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Arial" w:cs="Arial" w:eastAsia="Arial" w:hAnsi="Arial"/>
                <w:sz w:val="18"/>
                <w:szCs w:val="18"/>
                <w:b w:val="1"/>
                <w:bCs w:val="1"/>
                <w:color w:val="auto"/>
                <w:w w:val="97"/>
              </w:rPr>
              <w:t>UNITED STATES</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97"/>
              </w:rPr>
              <w:t>WASHINGTON, DC 20549</w:t>
            </w:r>
          </w:p>
        </w:tc>
      </w:tr>
      <w:tr>
        <w:trPr>
          <w:trHeight w:val="234"/>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__________________________</w:t>
            </w:r>
          </w:p>
        </w:tc>
      </w:tr>
      <w:tr>
        <w:trPr>
          <w:trHeight w:val="306"/>
        </w:trPr>
        <w:tc>
          <w:tcPr>
            <w:tcW w:w="3380" w:type="dxa"/>
            <w:vAlign w:val="bottom"/>
          </w:tcPr>
          <w:p>
            <w:pPr>
              <w:spacing w:after="0"/>
              <w:rPr>
                <w:sz w:val="24"/>
                <w:szCs w:val="24"/>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97"/>
              </w:rPr>
              <w:t>SCHEDULE 14A</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95"/>
              </w:rPr>
              <w:t>(RULE 14a-101)</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Information Required in Proxy Statement</w:t>
            </w:r>
          </w:p>
        </w:tc>
      </w:tr>
      <w:tr>
        <w:trPr>
          <w:trHeight w:val="234"/>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__________________________</w:t>
            </w:r>
          </w:p>
        </w:tc>
      </w:tr>
      <w:tr>
        <w:trPr>
          <w:trHeight w:val="306"/>
        </w:trPr>
        <w:tc>
          <w:tcPr>
            <w:tcW w:w="3380" w:type="dxa"/>
            <w:vAlign w:val="bottom"/>
          </w:tcPr>
          <w:p>
            <w:pPr>
              <w:spacing w:after="0"/>
              <w:rPr>
                <w:sz w:val="24"/>
                <w:szCs w:val="24"/>
                <w:color w:val="auto"/>
              </w:rPr>
            </w:pPr>
          </w:p>
        </w:tc>
        <w:tc>
          <w:tcPr>
            <w:tcW w:w="4160" w:type="dxa"/>
            <w:vAlign w:val="bottom"/>
          </w:tcPr>
          <w:p>
            <w:pPr>
              <w:jc w:val="center"/>
              <w:ind w:left="190"/>
              <w:spacing w:after="0"/>
              <w:rPr>
                <w:sz w:val="20"/>
                <w:szCs w:val="20"/>
                <w:color w:val="auto"/>
              </w:rPr>
            </w:pPr>
            <w:r>
              <w:rPr>
                <w:rFonts w:ascii="Arial" w:cs="Arial" w:eastAsia="Arial" w:hAnsi="Arial"/>
                <w:sz w:val="18"/>
                <w:szCs w:val="18"/>
                <w:b w:val="1"/>
                <w:bCs w:val="1"/>
                <w:color w:val="auto"/>
              </w:rPr>
              <w:t>SCHEDULE 14A INFORMATION</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Proxy Statement Pursuant to Section 14(a) of the</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Securities Exchange Act of 1934</w:t>
            </w:r>
          </w:p>
        </w:tc>
      </w:tr>
      <w:tr>
        <w:trPr>
          <w:trHeight w:val="234"/>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__________________________</w:t>
            </w:r>
          </w:p>
        </w:tc>
      </w:tr>
      <w:tr>
        <w:trPr>
          <w:trHeight w:val="297"/>
        </w:trPr>
        <w:tc>
          <w:tcPr>
            <w:tcW w:w="3380" w:type="dxa"/>
            <w:vAlign w:val="bottom"/>
          </w:tcPr>
          <w:p>
            <w:pPr>
              <w:spacing w:after="0"/>
              <w:rPr>
                <w:sz w:val="20"/>
                <w:szCs w:val="20"/>
                <w:color w:val="auto"/>
              </w:rPr>
            </w:pPr>
            <w:r>
              <w:rPr>
                <w:rFonts w:ascii="Arial" w:cs="Arial" w:eastAsia="Arial" w:hAnsi="Arial"/>
                <w:sz w:val="18"/>
                <w:szCs w:val="18"/>
                <w:color w:val="auto"/>
              </w:rPr>
              <w:t>Filed by the Registrant</w:t>
            </w:r>
          </w:p>
        </w:tc>
        <w:tc>
          <w:tcPr>
            <w:tcW w:w="4160" w:type="dxa"/>
            <w:vAlign w:val="bottom"/>
          </w:tcPr>
          <w:p>
            <w:pPr>
              <w:ind w:left="1740"/>
              <w:spacing w:after="0"/>
              <w:rPr>
                <w:sz w:val="20"/>
                <w:szCs w:val="20"/>
                <w:color w:val="auto"/>
              </w:rPr>
            </w:pPr>
            <w:r>
              <w:rPr>
                <w:rFonts w:ascii="Arial" w:cs="Arial" w:eastAsia="Arial" w:hAnsi="Arial"/>
                <w:sz w:val="18"/>
                <w:szCs w:val="18"/>
                <w:color w:val="auto"/>
              </w:rPr>
              <w:t>S</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w w:val="97"/>
              </w:rPr>
              <w:t>Filed by the Party other than the Registrant</w:t>
            </w:r>
          </w:p>
        </w:tc>
        <w:tc>
          <w:tcPr>
            <w:tcW w:w="4160" w:type="dxa"/>
            <w:vAlign w:val="bottom"/>
          </w:tcPr>
          <w:p>
            <w:pPr>
              <w:ind w:left="1740"/>
              <w:spacing w:after="0"/>
              <w:rPr>
                <w:sz w:val="20"/>
                <w:szCs w:val="20"/>
                <w:color w:val="auto"/>
              </w:rPr>
            </w:pPr>
            <w:r>
              <w:rPr>
                <w:rFonts w:ascii="Arial" w:cs="Arial" w:eastAsia="Arial" w:hAnsi="Arial"/>
                <w:sz w:val="18"/>
                <w:szCs w:val="18"/>
                <w:color w:val="auto"/>
              </w:rPr>
              <w:t>£</w:t>
            </w:r>
          </w:p>
        </w:tc>
      </w:tr>
    </w:tbl>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520" w:hanging="494"/>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sz w:val="24"/>
          <w:szCs w:val="24"/>
          <w:color w:val="auto"/>
        </w:rPr>
      </w:pPr>
    </w:p>
    <w:p>
      <w:pPr>
        <w:ind w:left="520" w:hanging="494"/>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Arial" w:cs="Arial" w:eastAsia="Arial" w:hAnsi="Arial"/>
          <w:sz w:val="18"/>
          <w:szCs w:val="18"/>
          <w:color w:val="auto"/>
        </w:rPr>
      </w:pPr>
    </w:p>
    <w:p>
      <w:pPr>
        <w:ind w:left="520" w:hanging="494"/>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rFonts w:ascii="Arial" w:cs="Arial" w:eastAsia="Arial" w:hAnsi="Arial"/>
          <w:sz w:val="18"/>
          <w:szCs w:val="18"/>
          <w:color w:val="auto"/>
        </w:rPr>
      </w:pPr>
    </w:p>
    <w:p>
      <w:pPr>
        <w:ind w:left="520" w:hanging="494"/>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520" w:hanging="494"/>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14a-11(c) or Rule 14a-12</w:t>
      </w:r>
    </w:p>
    <w:p>
      <w:pPr>
        <w:spacing w:after="0" w:line="180"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NEWTEK BUSINESS SERVICES CORP.</w:t>
      </w:r>
    </w:p>
    <w:p>
      <w:pPr>
        <w:spacing w:after="0" w:line="3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_____________________________________________________________</w:t>
      </w:r>
    </w:p>
    <w:p>
      <w:pPr>
        <w:spacing w:after="0" w:line="27"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50" w:lineRule="exact"/>
        <w:rPr>
          <w:sz w:val="24"/>
          <w:szCs w:val="24"/>
          <w:color w:val="auto"/>
        </w:rPr>
      </w:pPr>
    </w:p>
    <w:p>
      <w:pPr>
        <w:ind w:left="520" w:hanging="494"/>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20" w:hanging="494"/>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 (i) (1) and 0-11.</w:t>
      </w:r>
    </w:p>
    <w:p>
      <w:pPr>
        <w:spacing w:after="0" w:line="63" w:lineRule="exact"/>
        <w:rPr>
          <w:rFonts w:ascii="Arial" w:cs="Arial" w:eastAsia="Arial" w:hAnsi="Arial"/>
          <w:sz w:val="18"/>
          <w:szCs w:val="18"/>
          <w:color w:val="auto"/>
        </w:rPr>
      </w:pPr>
    </w:p>
    <w:p>
      <w:pPr>
        <w:ind w:left="1100" w:hanging="575"/>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1100" w:hanging="575"/>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1100" w:right="140" w:hanging="575"/>
        <w:spacing w:after="0" w:line="235" w:lineRule="auto"/>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83" w:lineRule="exact"/>
        <w:rPr>
          <w:rFonts w:ascii="Arial" w:cs="Arial" w:eastAsia="Arial" w:hAnsi="Arial"/>
          <w:sz w:val="18"/>
          <w:szCs w:val="18"/>
          <w:color w:val="auto"/>
        </w:rPr>
      </w:pPr>
    </w:p>
    <w:p>
      <w:pPr>
        <w:ind w:left="1100" w:hanging="575"/>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1100" w:hanging="575"/>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19" w:lineRule="exact"/>
        <w:rPr>
          <w:rFonts w:ascii="Arial" w:cs="Arial" w:eastAsia="Arial" w:hAnsi="Arial"/>
          <w:sz w:val="18"/>
          <w:szCs w:val="18"/>
          <w:color w:val="auto"/>
        </w:rPr>
      </w:pPr>
    </w:p>
    <w:p>
      <w:pPr>
        <w:ind w:left="520" w:hanging="494"/>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520" w:hanging="494"/>
        <w:spacing w:after="0" w:line="249"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575"/>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681990</wp:posOffset>
            </wp:positionH>
            <wp:positionV relativeFrom="paragraph">
              <wp:posOffset>-559435</wp:posOffset>
            </wp:positionV>
            <wp:extent cx="63436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-902335</wp:posOffset>
            </wp:positionV>
            <wp:extent cx="63436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-1245235</wp:posOffset>
            </wp:positionV>
            <wp:extent cx="63436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-1682115</wp:posOffset>
            </wp:positionV>
            <wp:extent cx="63436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-2025015</wp:posOffset>
            </wp:positionV>
            <wp:extent cx="6343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 w:name="page2"/>
    <w:bookmarkEnd w:id="1"/>
    <w:p>
      <w:pPr>
        <w:spacing w:after="0" w:line="306" w:lineRule="exact"/>
        <w:rPr>
          <w:sz w:val="20"/>
          <w:szCs w:val="20"/>
          <w:color w:val="auto"/>
        </w:rPr>
      </w:pPr>
    </w:p>
    <w:p>
      <w:pPr>
        <w:ind w:left="575" w:hanging="575"/>
        <w:spacing w:after="0"/>
        <w:tabs>
          <w:tab w:leader="none" w:pos="575"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56" w:lineRule="exact"/>
        <w:rPr>
          <w:rFonts w:ascii="Arial" w:cs="Arial" w:eastAsia="Arial" w:hAnsi="Arial"/>
          <w:sz w:val="16"/>
          <w:szCs w:val="16"/>
          <w:color w:val="auto"/>
        </w:rPr>
      </w:pPr>
    </w:p>
    <w:p>
      <w:pPr>
        <w:ind w:left="575" w:hanging="575"/>
        <w:spacing w:after="0"/>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575" w:hanging="575"/>
        <w:spacing w:after="0"/>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203200</wp:posOffset>
            </wp:positionV>
            <wp:extent cx="6343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-139065</wp:posOffset>
            </wp:positionV>
            <wp:extent cx="6343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-481965</wp:posOffset>
            </wp:positionV>
            <wp:extent cx="6343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-824865</wp:posOffset>
            </wp:positionV>
            <wp:extent cx="63436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ectPr>
          <w:pgSz w:w="11900" w:h="16838" w:orient="portrait"/>
          <w:cols w:equalWidth="0" w:num="1">
            <w:col w:w="9614"/>
          </w:cols>
          <w:pgMar w:left="845" w:top="1440" w:right="1440" w:bottom="1440" w:gutter="0" w:footer="0" w:header="0"/>
        </w:sectPr>
      </w:pPr>
    </w:p>
    <w:bookmarkStart w:id="2" w:name="page3"/>
    <w:bookmarkEnd w:id="2"/>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4800 T-Rex Avenue, Suite 120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Boca Raton, FL 33431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 356-9500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11,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 xml:space="preserve">We invite you to attend the Special Meeting of Shareholders (the “Meeting”) of Newtek Business Services Corp. (the “Company”) to be held electronically via live webcast on July 12, 2021 at 9:00 a.m., Eastern Daylight Time. Due to the public health impact of the coronavirus, or COVID-19, pandemic, and to support the health and well-being of our shareholders, service providers, personnel and other stakeholders, the Meeting will be held solely on the internet by virtual means. The live webcast will be accessible over the internet at </w:t>
      </w:r>
      <w:r>
        <w:rPr>
          <w:rFonts w:ascii="Arial" w:cs="Arial" w:eastAsia="Arial" w:hAnsi="Arial"/>
          <w:sz w:val="18"/>
          <w:szCs w:val="18"/>
          <w:i w:val="1"/>
          <w:iCs w:val="1"/>
          <w:color w:val="auto"/>
        </w:rPr>
        <w:t>https://web.lumiagm.com/220440912</w:t>
      </w:r>
      <w:r>
        <w:rPr>
          <w:rFonts w:ascii="Arial" w:cs="Arial" w:eastAsia="Arial" w:hAnsi="Arial"/>
          <w:sz w:val="18"/>
          <w:szCs w:val="18"/>
          <w:color w:val="auto"/>
        </w:rPr>
        <w:t>. Shareholders will NOT be able to attend the Meeting in-person. However, a shareholder may request the Company to provide a physical location from which to access the virtual meeting, subject to any restrictions in effect under federal or state law. Shareholders must submit their request for a physical location to the Company by close of business on July 5, 2021.</w:t>
      </w:r>
    </w:p>
    <w:p>
      <w:pPr>
        <w:spacing w:after="0" w:line="195" w:lineRule="exact"/>
        <w:rPr>
          <w:sz w:val="20"/>
          <w:szCs w:val="20"/>
          <w:color w:val="auto"/>
        </w:rPr>
      </w:pPr>
    </w:p>
    <w:p>
      <w:pPr>
        <w:ind w:right="480" w:firstLine="432"/>
        <w:spacing w:after="0" w:line="258" w:lineRule="auto"/>
        <w:rPr>
          <w:sz w:val="20"/>
          <w:szCs w:val="20"/>
          <w:color w:val="auto"/>
        </w:rPr>
      </w:pPr>
      <w:r>
        <w:rPr>
          <w:rFonts w:ascii="Arial" w:cs="Arial" w:eastAsia="Arial" w:hAnsi="Arial"/>
          <w:sz w:val="18"/>
          <w:szCs w:val="18"/>
          <w:color w:val="auto"/>
        </w:rPr>
        <w:t>The attached Notice of Special Meeting and Proxy Statement accompanying this letter provide an outline of the business to be conducted at the meeting. At the Meeting, you will be asked to consider and vote upon the following proposals:</w:t>
      </w:r>
    </w:p>
    <w:p>
      <w:pPr>
        <w:spacing w:after="0" w:line="1" w:lineRule="exact"/>
        <w:rPr>
          <w:sz w:val="20"/>
          <w:szCs w:val="20"/>
          <w:color w:val="auto"/>
        </w:rPr>
      </w:pPr>
    </w:p>
    <w:p>
      <w:pPr>
        <w:ind w:left="660" w:right="40" w:hanging="328"/>
        <w:spacing w:after="0" w:line="255"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proposal to authorize flexibility for the Company, with approval of its Board of Directors, to sell shares of its common stock (during the next 12 months) at a price below its then current net asset value per share subject to certain conditions as set forth in the accompanying Proxy Statement;</w:t>
      </w:r>
    </w:p>
    <w:p>
      <w:pPr>
        <w:spacing w:after="0" w:line="2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proposal to adjourn the Meeting, if necessary or appropriate, to solicit additional proxies;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of adjournment thereof.</w:t>
      </w:r>
    </w:p>
    <w:p>
      <w:pPr>
        <w:spacing w:after="0" w:line="23"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b w:val="1"/>
          <w:bCs w:val="1"/>
          <w:color w:val="auto"/>
        </w:rPr>
        <w:t xml:space="preserve">YOUR VOTE IS IMPORTANT, REGARDLESS OF THE NUMBER OF SHARES YOU OWN. </w:t>
      </w:r>
      <w:r>
        <w:rPr>
          <w:rFonts w:ascii="Arial" w:cs="Arial" w:eastAsia="Arial" w:hAnsi="Arial"/>
          <w:sz w:val="17"/>
          <w:szCs w:val="17"/>
          <w:color w:val="auto"/>
        </w:rPr>
        <w:t>On behalf of the Company’s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we urge you even if you plan to attend the Meeting virtually, to complete, date and sign the enclosed Proxy Card and promptly return it in the envelope provided. If you prefer, you can save time by authorizing your proxy through the Internet or by telephone as described in the Proxy Statement and on the enclosed Proxy Card. This will not prevent you from voting during the Meeting, but will assure that your vote is counted if you are unable to attend the Meeting. Your vote and participation in the governance of the Company is very important to us.</w:t>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Sincerely yours,</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3617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7595" cy="8890"/>
                    </a:xfrm>
                    <a:prstGeom prst="rect">
                      <a:avLst/>
                    </a:prstGeom>
                    <a:noFill/>
                  </pic:spPr>
                </pic:pic>
              </a:graphicData>
            </a:graphic>
          </wp:anchor>
        </w:drawing>
      </w:r>
    </w:p>
    <w:p>
      <w:pPr>
        <w:spacing w:after="0" w:line="1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Barry Sloane</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1440" w:right="339" w:bottom="1440" w:gutter="0" w:footer="0" w:header="0"/>
        </w:sectPr>
      </w:pPr>
    </w:p>
    <w:bookmarkStart w:id="3" w:name="page4"/>
    <w:bookmarkEnd w:id="3"/>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4800 T-Rex Avenue, Suite 120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Boca Raton, FL 33431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July 12,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of Newtek Business Services Corp.:</w:t>
      </w:r>
    </w:p>
    <w:p>
      <w:pPr>
        <w:spacing w:after="0" w:line="25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a Special Meeting of Shareholders (the “Meeting”) of Newtek Business Services Corp. (the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held electronically via live webcast on July 12, 2021 at 9:00 a.m., Eastern Daylight Time. Due to the public health impact of the coronavirus, or COVID-19, pandemic, and to support the health and well-being of our shareholders, service providers, personnel and other stakeholders, the Meeting will be held solely on the internet by virtual means. The live webcast will be accessible over the internet at </w:t>
      </w:r>
      <w:r>
        <w:rPr>
          <w:rFonts w:ascii="Arial" w:cs="Arial" w:eastAsia="Arial" w:hAnsi="Arial"/>
          <w:sz w:val="18"/>
          <w:szCs w:val="18"/>
          <w:i w:val="1"/>
          <w:iCs w:val="1"/>
          <w:color w:val="auto"/>
        </w:rPr>
        <w:t>https://web.lumiagm.com/220440912</w:t>
      </w:r>
      <w:r>
        <w:rPr>
          <w:rFonts w:ascii="Arial" w:cs="Arial" w:eastAsia="Arial" w:hAnsi="Arial"/>
          <w:sz w:val="18"/>
          <w:szCs w:val="18"/>
          <w:color w:val="auto"/>
        </w:rPr>
        <w:t>. Shareholders will NOT be able to attend the Meeting in-person. However, a shareholder may request the Company to provide a physical location from which to access the virtual Meeting, subject to any restrictions in effect under federal or state law. Shareholders must submit their request for a physical location to the Company by close of business on July 5, 2021.</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Meeting is for the following purposes, which are more completely described in the accompanying Proxy Statement:</w:t>
      </w:r>
    </w:p>
    <w:p>
      <w:pPr>
        <w:spacing w:after="0" w:line="117" w:lineRule="exact"/>
        <w:rPr>
          <w:sz w:val="20"/>
          <w:szCs w:val="20"/>
          <w:color w:val="auto"/>
        </w:rPr>
      </w:pPr>
    </w:p>
    <w:p>
      <w:pPr>
        <w:ind w:left="660" w:right="20" w:hanging="247"/>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shares of its common stock, par value $0.02 per share, at a price below the then current net asset value per share of such common stock in one or multiple offerings (subject to certain limitations described in the accompanying Proxy Statement) (“Proposal 1”);</w:t>
      </w:r>
    </w:p>
    <w:p>
      <w:pPr>
        <w:spacing w:after="0" w:line="75"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proposal to adjourn the Meeting, if necessary or appropriate, to solicit additional proxies (“Proposal 2,” and together with Proposal 1, the “Proposals”); and</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of adjournment thereof.</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Shareholders of record at the close of business on May 28, 2021 are entitled to vote on-line during the Meeting and any adjournment thereof.</w:t>
      </w:r>
    </w:p>
    <w:p>
      <w:pPr>
        <w:spacing w:after="0" w:line="264" w:lineRule="exact"/>
        <w:rPr>
          <w:sz w:val="20"/>
          <w:szCs w:val="20"/>
          <w:color w:val="auto"/>
        </w:rPr>
      </w:pPr>
    </w:p>
    <w:p>
      <w:pPr>
        <w:jc w:val="both"/>
        <w:ind w:right="420" w:firstLine="432"/>
        <w:spacing w:after="0" w:line="263" w:lineRule="auto"/>
        <w:rPr>
          <w:sz w:val="20"/>
          <w:szCs w:val="20"/>
          <w:color w:val="auto"/>
        </w:rPr>
      </w:pPr>
      <w:r>
        <w:rPr>
          <w:rFonts w:ascii="Arial" w:cs="Arial" w:eastAsia="Arial" w:hAnsi="Arial"/>
          <w:sz w:val="18"/>
          <w:szCs w:val="18"/>
          <w:color w:val="auto"/>
        </w:rPr>
        <w:t>We ask that you complete and sign the enclosed Proxy Card which is solicited by the Board of Directors and to mail it promptly in the enclosed envelope. You may also cast your vote by telephone or Internet as shown on the Proxy Card. The proxy will not be used if you attend and vote on-line during the Meeting.</w:t>
      </w:r>
    </w:p>
    <w:p>
      <w:pPr>
        <w:spacing w:after="0" w:line="25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42348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BARRY SLOANE</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CHAIRMAN, CHIEF EXECUTIVE OFFICER and PRESIDENT</w:t>
      </w: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Boca Raton, Florida</w:t>
      </w:r>
    </w:p>
    <w:p>
      <w:pPr>
        <w:spacing w:after="0" w:line="7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June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089140" cy="874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7439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40" w:right="180"/>
        <w:spacing w:after="0" w:line="258" w:lineRule="auto"/>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THE PROMPT RETURN OF PROXIES WILL SAVE THE COMPANY THE EXPENSE OF A FURTHER REQUEST FOR PROXIES</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TO ENSURE A QUORUM. A SELF-ADDRESSED ENVELOPE IS ENCLOSED FOR YOUR CONVENIENCE. NO POSTAGE IS REQUIRED IF MAILED WITHIN THE UNITED STATES. EVEN IF YOU VOTE YOUR SHARES PRIOR TO THE MEETING, YOU STILL MAY VIRTUALLY ATTEND THE MEETING AND VOTE YOUR SHARES ELECTRONICALLY DURING THE LIVE WEBCAST IF YOU WISH TO CHANGE YOUR VOTE.</w:t>
      </w:r>
    </w:p>
    <w:p>
      <w:pPr>
        <w:sectPr>
          <w:pgSz w:w="11900" w:h="16838" w:orient="portrait"/>
          <w:cols w:equalWidth="0" w:num="1">
            <w:col w:w="11240"/>
          </w:cols>
          <w:pgMar w:left="320" w:top="1440"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NEWTEK BUSINESS SERVICES CORP.</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4800 T-Rex Avenue, Suite 120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Boca Raton, FL 33431 (212) 356-9500</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JULY 12, 2021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 xml:space="preserve">This Proxy Statement is furnished in connection with the solicitation of proxies by the Board of Directors of Newtek Business Services Corp. (the “Company”) for the Special Meeting of Shareholders (the “Meeting”) to be held electronically via live webcast on July 12, 2021 at 9:00 a.m., Eastern Daylight Time. Due to the public health impact of the coronavirus, or COVID-19, pandemic, and to support the health and well-being of the Company’s shareholders, service providers, personnel and other stakeholders, the Meeting will be held solely on the internet by virtual means. The live webcast will be accessible over the internet at </w:t>
      </w:r>
      <w:r>
        <w:rPr>
          <w:rFonts w:ascii="Arial" w:cs="Arial" w:eastAsia="Arial" w:hAnsi="Arial"/>
          <w:sz w:val="16"/>
          <w:szCs w:val="16"/>
          <w:i w:val="1"/>
          <w:iCs w:val="1"/>
          <w:color w:val="auto"/>
        </w:rPr>
        <w:t>https://web.lumiagm.com/220440912</w:t>
      </w:r>
      <w:r>
        <w:rPr>
          <w:rFonts w:ascii="Arial" w:cs="Arial" w:eastAsia="Arial" w:hAnsi="Arial"/>
          <w:sz w:val="16"/>
          <w:szCs w:val="16"/>
          <w:color w:val="auto"/>
        </w:rPr>
        <w:t>. Shareholders will NOT be able to attend the Meeting in-person. However, a shareholder may request the Company to provide a physical location from which to access the virtual meeting, subject to any restrictions in effect under federal or state law. Shareholders must submit their request for a physical location to the Company by close of business on July 5, 2021.</w:t>
      </w:r>
    </w:p>
    <w:p>
      <w:pPr>
        <w:spacing w:after="0" w:line="8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accompanying Notice of Special Meeting and this Proxy Statement, together with the enclosed Proxy Card (collectively, the “Proxy Statement”), are first being mailed to shareholders on or about June 11, 2021.</w:t>
      </w:r>
    </w:p>
    <w:p>
      <w:pPr>
        <w:spacing w:after="0" w:line="166"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BELOW IS IMPORTANT INFORMATION ABOUT HOW YOU MAY OBTAIN VIRTUAL</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ACCESS TO THE MEETING AND VOTE YOUR SHARES.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Attending the Meeting Virtually</w:t>
      </w:r>
    </w:p>
    <w:p>
      <w:pPr>
        <w:spacing w:after="0" w:line="16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 xml:space="preserve">Only record or beneficial owners of the Company’s common stock as of the close of business on May 28, 2021 (the “Record Date”) or their proxies may virtually attend the Meeting. To participate in the virtual Meeting, go to </w:t>
      </w:r>
      <w:r>
        <w:rPr>
          <w:rFonts w:ascii="Arial" w:cs="Arial" w:eastAsia="Arial" w:hAnsi="Arial"/>
          <w:sz w:val="18"/>
          <w:szCs w:val="18"/>
          <w:i w:val="1"/>
          <w:iCs w:val="1"/>
          <w:color w:val="auto"/>
        </w:rPr>
        <w:t>https://web.lumiagm.com/220440912</w:t>
      </w:r>
      <w:r>
        <w:rPr>
          <w:rFonts w:ascii="Arial" w:cs="Arial" w:eastAsia="Arial" w:hAnsi="Arial"/>
          <w:sz w:val="18"/>
          <w:szCs w:val="18"/>
          <w:color w:val="auto"/>
        </w:rPr>
        <w:t>.</w:t>
      </w:r>
    </w:p>
    <w:p>
      <w:pPr>
        <w:spacing w:after="0" w:line="99" w:lineRule="exact"/>
        <w:rPr>
          <w:sz w:val="20"/>
          <w:szCs w:val="20"/>
          <w:color w:val="auto"/>
        </w:rPr>
      </w:pPr>
    </w:p>
    <w:p>
      <w:pPr>
        <w:ind w:right="100" w:firstLine="324"/>
        <w:spacing w:after="0" w:line="314" w:lineRule="auto"/>
        <w:rPr>
          <w:sz w:val="20"/>
          <w:szCs w:val="20"/>
          <w:color w:val="auto"/>
        </w:rPr>
      </w:pPr>
      <w:r>
        <w:rPr>
          <w:rFonts w:ascii="Arial" w:cs="Arial" w:eastAsia="Arial" w:hAnsi="Arial"/>
          <w:sz w:val="16"/>
          <w:szCs w:val="16"/>
          <w:color w:val="auto"/>
        </w:rPr>
        <w:t xml:space="preserve">If you are a </w:t>
      </w:r>
      <w:r>
        <w:rPr>
          <w:rFonts w:ascii="Arial" w:cs="Arial" w:eastAsia="Arial" w:hAnsi="Arial"/>
          <w:sz w:val="16"/>
          <w:szCs w:val="16"/>
          <w:b w:val="1"/>
          <w:bCs w:val="1"/>
          <w:color w:val="auto"/>
        </w:rPr>
        <w:t>shareholder of record</w:t>
      </w:r>
      <w:r>
        <w:rPr>
          <w:rFonts w:ascii="Arial" w:cs="Arial" w:eastAsia="Arial" w:hAnsi="Arial"/>
          <w:sz w:val="16"/>
          <w:szCs w:val="16"/>
          <w:color w:val="auto"/>
        </w:rPr>
        <w:t xml:space="preserve"> as of May 28, 2021, the Record Date for the Meeting, you should go to </w:t>
      </w:r>
      <w:r>
        <w:rPr>
          <w:rFonts w:ascii="Arial" w:cs="Arial" w:eastAsia="Arial" w:hAnsi="Arial"/>
          <w:sz w:val="16"/>
          <w:szCs w:val="16"/>
          <w:i w:val="1"/>
          <w:iCs w:val="1"/>
          <w:color w:val="auto"/>
        </w:rPr>
        <w:t>https://web.lumiagm.com/220440912</w:t>
      </w:r>
      <w:r>
        <w:rPr>
          <w:rFonts w:ascii="Arial" w:cs="Arial" w:eastAsia="Arial" w:hAnsi="Arial"/>
          <w:sz w:val="16"/>
          <w:szCs w:val="16"/>
          <w:color w:val="auto"/>
        </w:rPr>
        <w:t xml:space="preserve"> prior to the start of the Meeting at 9:00 a.m., Eastern Daylight Time, on July 12, 2021, click on “I have a login,” enter the control number found on your Proxy Card or Notice of Internet Availability of Proxy Materials you previously received, and enter the password “newtek2021” (the password is case sensitive).</w:t>
      </w:r>
    </w:p>
    <w:p>
      <w:pPr>
        <w:spacing w:after="0" w:line="61" w:lineRule="exact"/>
        <w:rPr>
          <w:sz w:val="20"/>
          <w:szCs w:val="20"/>
          <w:color w:val="auto"/>
        </w:rPr>
      </w:pPr>
    </w:p>
    <w:p>
      <w:pPr>
        <w:ind w:firstLine="324"/>
        <w:spacing w:after="0" w:line="274" w:lineRule="auto"/>
        <w:rPr>
          <w:sz w:val="20"/>
          <w:szCs w:val="20"/>
          <w:color w:val="auto"/>
        </w:rPr>
      </w:pPr>
      <w:r>
        <w:rPr>
          <w:rFonts w:ascii="Arial" w:cs="Arial" w:eastAsia="Arial" w:hAnsi="Arial"/>
          <w:sz w:val="17"/>
          <w:szCs w:val="17"/>
          <w:color w:val="auto"/>
        </w:rPr>
        <w:t>If your shares are held in “</w:t>
      </w:r>
      <w:r>
        <w:rPr>
          <w:rFonts w:ascii="Arial" w:cs="Arial" w:eastAsia="Arial" w:hAnsi="Arial"/>
          <w:sz w:val="17"/>
          <w:szCs w:val="17"/>
          <w:b w:val="1"/>
          <w:bCs w:val="1"/>
          <w:color w:val="auto"/>
        </w:rPr>
        <w:t>street name</w:t>
      </w:r>
      <w:r>
        <w:rPr>
          <w:rFonts w:ascii="Arial" w:cs="Arial" w:eastAsia="Arial" w:hAnsi="Arial"/>
          <w:sz w:val="17"/>
          <w:szCs w:val="17"/>
          <w:color w:val="auto"/>
        </w:rPr>
        <w:t xml:space="preserve">” through a broker, bank or other nominee, </w:t>
      </w:r>
      <w:r>
        <w:rPr>
          <w:rFonts w:ascii="Arial" w:cs="Arial" w:eastAsia="Arial" w:hAnsi="Arial"/>
          <w:sz w:val="17"/>
          <w:szCs w:val="17"/>
          <w:b w:val="1"/>
          <w:bCs w:val="1"/>
          <w:color w:val="auto"/>
        </w:rPr>
        <w:t>in order to participate in the virtual Meeting you must first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obtain a legal proxy from your broker, bank or other nominee </w:t>
      </w:r>
      <w:r>
        <w:rPr>
          <w:rFonts w:ascii="Arial" w:cs="Arial" w:eastAsia="Arial" w:hAnsi="Arial"/>
          <w:sz w:val="17"/>
          <w:szCs w:val="17"/>
          <w:color w:val="auto"/>
        </w:rPr>
        <w:t>reflecting the number of shares of Company common stock you held as of the Record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Date, your name and email address. You </w:t>
      </w:r>
      <w:r>
        <w:rPr>
          <w:rFonts w:ascii="Arial" w:cs="Arial" w:eastAsia="Arial" w:hAnsi="Arial"/>
          <w:sz w:val="17"/>
          <w:szCs w:val="17"/>
          <w:b w:val="1"/>
          <w:bCs w:val="1"/>
          <w:color w:val="auto"/>
        </w:rPr>
        <w:t>then must submit a request for registration</w:t>
      </w:r>
      <w:r>
        <w:rPr>
          <w:rFonts w:ascii="Arial" w:cs="Arial" w:eastAsia="Arial" w:hAnsi="Arial"/>
          <w:sz w:val="17"/>
          <w:szCs w:val="17"/>
          <w:color w:val="auto"/>
        </w:rPr>
        <w:t xml:space="preserve"> to American Stock Transfer &amp; Trust Company, LLC: (1) by email to proxy@astfinancial.com; (2) by facsimile to 718-765-8730 or (3) by mail to American Stock Transfer &amp; Trust Company, LLC, Attn: Proxy Tabulation Department, 6201 15</w:t>
      </w:r>
      <w:r>
        <w:rPr>
          <w:rFonts w:ascii="Arial" w:cs="Arial" w:eastAsia="Arial" w:hAnsi="Arial"/>
          <w:sz w:val="9"/>
          <w:szCs w:val="9"/>
          <w:color w:val="auto"/>
        </w:rPr>
        <w:t>th</w:t>
      </w:r>
      <w:r>
        <w:rPr>
          <w:rFonts w:ascii="Arial" w:cs="Arial" w:eastAsia="Arial" w:hAnsi="Arial"/>
          <w:sz w:val="17"/>
          <w:szCs w:val="17"/>
          <w:color w:val="auto"/>
        </w:rPr>
        <w:t xml:space="preserve"> Avenue, Brooklyn, NY 11219. Requests for registration must be labeled as “Legal Proxy” and be received by American Stock Transfer &amp; Trust Company, LLC by no later than 5:00 p.m. Eastern time on July 5, 2021.</w:t>
      </w:r>
    </w:p>
    <w:p>
      <w:pPr>
        <w:spacing w:after="0" w:line="200"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The Company encourages you to vote your shares</w:t>
      </w:r>
      <w:r>
        <w:rPr>
          <w:rFonts w:ascii="Arial" w:cs="Arial" w:eastAsia="Arial" w:hAnsi="Arial"/>
          <w:sz w:val="18"/>
          <w:szCs w:val="18"/>
          <w:color w:val="auto"/>
        </w:rPr>
        <w:t>, either by voting on-line during the Meeting or by granting a proxy (i.e., authorizing someone to</w:t>
      </w:r>
      <w:r>
        <w:rPr>
          <w:rFonts w:ascii="Arial" w:cs="Arial" w:eastAsia="Arial" w:hAnsi="Arial"/>
          <w:sz w:val="18"/>
          <w:szCs w:val="18"/>
          <w:b w:val="1"/>
          <w:bCs w:val="1"/>
          <w:color w:val="auto"/>
        </w:rPr>
        <w:t xml:space="preserve"> </w:t>
      </w:r>
      <w:r>
        <w:rPr>
          <w:rFonts w:ascii="Arial" w:cs="Arial" w:eastAsia="Arial" w:hAnsi="Arial"/>
          <w:sz w:val="18"/>
          <w:szCs w:val="18"/>
          <w:color w:val="auto"/>
        </w:rPr>
        <w:t>vote your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5" w:name="page6"/>
    <w:bookmarkEnd w:id="5"/>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How Do You Exercise Your Rights to Vote on the Proposals?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vote using any of the following methods:</w:t>
      </w:r>
    </w:p>
    <w:p>
      <w:pPr>
        <w:spacing w:after="0" w:line="140" w:lineRule="exact"/>
        <w:rPr>
          <w:sz w:val="20"/>
          <w:szCs w:val="20"/>
          <w:color w:val="auto"/>
        </w:rPr>
      </w:pPr>
    </w:p>
    <w:p>
      <w:pPr>
        <w:ind w:right="40" w:firstLine="324"/>
        <w:spacing w:after="0" w:line="303" w:lineRule="auto"/>
        <w:rPr>
          <w:sz w:val="20"/>
          <w:szCs w:val="20"/>
          <w:color w:val="auto"/>
        </w:rPr>
      </w:pPr>
      <w:r>
        <w:rPr>
          <w:rFonts w:ascii="Arial" w:cs="Arial" w:eastAsia="Arial" w:hAnsi="Arial"/>
          <w:sz w:val="16"/>
          <w:szCs w:val="16"/>
          <w:b w:val="1"/>
          <w:bCs w:val="1"/>
          <w:color w:val="auto"/>
        </w:rPr>
        <w:t xml:space="preserve">By Mail </w:t>
      </w:r>
      <w:r>
        <w:rPr>
          <w:rFonts w:ascii="Arial" w:cs="Arial" w:eastAsia="Arial" w:hAnsi="Arial"/>
          <w:sz w:val="16"/>
          <w:szCs w:val="16"/>
          <w:color w:val="auto"/>
        </w:rPr>
        <w:t>— Shareholders of record may submit proxies by completing, signing and dating each Proxy Card received and returning it in the prepaid</w:t>
      </w:r>
      <w:r>
        <w:rPr>
          <w:rFonts w:ascii="Arial" w:cs="Arial" w:eastAsia="Arial" w:hAnsi="Arial"/>
          <w:sz w:val="16"/>
          <w:szCs w:val="16"/>
          <w:b w:val="1"/>
          <w:bCs w:val="1"/>
          <w:color w:val="auto"/>
        </w:rPr>
        <w:t xml:space="preserve"> </w:t>
      </w:r>
      <w:r>
        <w:rPr>
          <w:rFonts w:ascii="Arial" w:cs="Arial" w:eastAsia="Arial" w:hAnsi="Arial"/>
          <w:sz w:val="16"/>
          <w:szCs w:val="16"/>
          <w:color w:val="auto"/>
        </w:rPr>
        <w:t>envelope. Sign your name exactly as it appears on the proxy. If you return your signed proxy but do not indicate your voting preferences, your shares will be voted on your behalf “FOR” each of the Proposals listed in this Proxy Statement. Shareholders who hold shares beneficially in street name may provide voting instructions by mail by completing, signing and dating the voting instruction forms provided by their brokers, banks or other nominees.</w:t>
      </w:r>
    </w:p>
    <w:p>
      <w:pPr>
        <w:spacing w:after="0" w:line="83" w:lineRule="exact"/>
        <w:rPr>
          <w:sz w:val="20"/>
          <w:szCs w:val="20"/>
          <w:color w:val="auto"/>
        </w:rPr>
      </w:pPr>
    </w:p>
    <w:p>
      <w:pPr>
        <w:ind w:right="40" w:firstLine="324"/>
        <w:spacing w:after="0" w:line="277" w:lineRule="auto"/>
        <w:rPr>
          <w:sz w:val="20"/>
          <w:szCs w:val="20"/>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 Shareholders of record may submit proxies by following the telephone voting instructions on each Proxy Card. Most shareholders</w:t>
      </w:r>
      <w:r>
        <w:rPr>
          <w:rFonts w:ascii="Arial" w:cs="Arial" w:eastAsia="Arial" w:hAnsi="Arial"/>
          <w:sz w:val="17"/>
          <w:szCs w:val="17"/>
          <w:b w:val="1"/>
          <w:bCs w:val="1"/>
          <w:color w:val="auto"/>
        </w:rPr>
        <w:t xml:space="preserve"> </w:t>
      </w:r>
      <w:r>
        <w:rPr>
          <w:rFonts w:ascii="Arial" w:cs="Arial" w:eastAsia="Arial" w:hAnsi="Arial"/>
          <w:sz w:val="17"/>
          <w:szCs w:val="17"/>
          <w:color w:val="auto"/>
        </w:rPr>
        <w:t>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Time, the day before the meeting date.</w:t>
      </w:r>
    </w:p>
    <w:p>
      <w:pPr>
        <w:spacing w:after="0" w:line="100"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Shareholders of record with internet access may submit proxies by following the internet voting instructions on their Proxy Cards.</w:t>
      </w:r>
      <w:r>
        <w:rPr>
          <w:rFonts w:ascii="Arial" w:cs="Arial" w:eastAsia="Arial" w:hAnsi="Arial"/>
          <w:sz w:val="18"/>
          <w:szCs w:val="18"/>
          <w:b w:val="1"/>
          <w:bCs w:val="1"/>
          <w:color w:val="auto"/>
        </w:rPr>
        <w:t xml:space="preserve"> </w:t>
      </w:r>
      <w:r>
        <w:rPr>
          <w:rFonts w:ascii="Arial" w:cs="Arial" w:eastAsia="Arial" w:hAnsi="Arial"/>
          <w:sz w:val="18"/>
          <w:szCs w:val="18"/>
          <w:color w:val="auto"/>
        </w:rPr>
        <w:t>Most shareholders who hold shares beneficially in street name may provide voting instructions by accessing the website specified on the voting instruction form provided by their brokers, banks or nominees.</w:t>
      </w:r>
    </w:p>
    <w:p>
      <w:pPr>
        <w:spacing w:after="0" w:line="20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99" w:lineRule="exact"/>
        <w:rPr>
          <w:sz w:val="20"/>
          <w:szCs w:val="20"/>
          <w:color w:val="auto"/>
        </w:rPr>
      </w:pPr>
    </w:p>
    <w:p>
      <w:pPr>
        <w:ind w:right="200" w:firstLine="324"/>
        <w:spacing w:after="0" w:line="258" w:lineRule="auto"/>
        <w:rPr>
          <w:sz w:val="20"/>
          <w:szCs w:val="20"/>
          <w:color w:val="auto"/>
        </w:rPr>
      </w:pPr>
      <w:r>
        <w:rPr>
          <w:rFonts w:ascii="Arial" w:cs="Arial" w:eastAsia="Arial" w:hAnsi="Arial"/>
          <w:sz w:val="18"/>
          <w:szCs w:val="18"/>
          <w:b w:val="1"/>
          <w:bCs w:val="1"/>
          <w:color w:val="auto"/>
        </w:rPr>
        <w:t xml:space="preserve">Virtually During the Meeting </w:t>
      </w:r>
      <w:r>
        <w:rPr>
          <w:rFonts w:ascii="Arial" w:cs="Arial" w:eastAsia="Arial" w:hAnsi="Arial"/>
          <w:sz w:val="18"/>
          <w:szCs w:val="18"/>
          <w:color w:val="auto"/>
        </w:rPr>
        <w:t>— If you are a shareholder of record as of May 28, 2021, the Record Date for the Meeting, you may vote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virtual Meeting by (a) visiting </w:t>
      </w:r>
      <w:r>
        <w:rPr>
          <w:rFonts w:ascii="Arial" w:cs="Arial" w:eastAsia="Arial" w:hAnsi="Arial"/>
          <w:sz w:val="18"/>
          <w:szCs w:val="18"/>
          <w:i w:val="1"/>
          <w:iCs w:val="1"/>
          <w:color w:val="auto"/>
        </w:rPr>
        <w:t>www.voteproxy.com</w:t>
      </w:r>
      <w:r>
        <w:rPr>
          <w:rFonts w:ascii="Arial" w:cs="Arial" w:eastAsia="Arial" w:hAnsi="Arial"/>
          <w:sz w:val="18"/>
          <w:szCs w:val="18"/>
          <w:color w:val="auto"/>
        </w:rPr>
        <w:t xml:space="preserve"> and following the on screen instructions (have your proxy card or Notice of Internet Availability of Proxy Materials available when you access the webpage), or (b) calling toll-free 1-800-PROXIES (1-800-776-9437) in the U.S. or 1-718-921-8500 from foreign countries from any touch-tone phone and follow the instructions (have your proxy card or Notice of Internet Availability of Proxy Materials available when you call).</w:t>
      </w:r>
    </w:p>
    <w:p>
      <w:pPr>
        <w:spacing w:after="0" w:line="12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Whether or not you expect to participate in the virtual Meeting, the Board of Directors urges shareholders to submit a proxy to vote your shares in advance of the Meeting by (a) visiting </w:t>
      </w:r>
      <w:r>
        <w:rPr>
          <w:rFonts w:ascii="Arial" w:cs="Arial" w:eastAsia="Arial" w:hAnsi="Arial"/>
          <w:sz w:val="18"/>
          <w:szCs w:val="18"/>
          <w:i w:val="1"/>
          <w:iCs w:val="1"/>
          <w:color w:val="auto"/>
        </w:rPr>
        <w:t>www.voteproxy.com</w:t>
      </w:r>
      <w:r>
        <w:rPr>
          <w:rFonts w:ascii="Arial" w:cs="Arial" w:eastAsia="Arial" w:hAnsi="Arial"/>
          <w:sz w:val="18"/>
          <w:szCs w:val="18"/>
          <w:color w:val="auto"/>
        </w:rPr>
        <w:t xml:space="preserve"> and following the on screen instructions (have your proxy card or Notice of Internet Availability of Proxy Materials available when you access the webpage), or (b) calling toll-free 1-800-PROXIES (1-800-776-9437) in the U.S. or 1-718-921-8500 from foreign countries from any touch-tone phone and follow the instructions (have your proxy card or Notice of Internet Availability of Proxy Materials available when you call), or (c) submitting your proxy card by mail by using the previously provided self-addressed, stamped envelope. Submitting a proxy will not prevent you from revoking a previously submitted proxy or changing your vote as described above, but it will help to secure a quorum and avoid added solicitation costs.</w:t>
      </w:r>
    </w:p>
    <w:p>
      <w:pPr>
        <w:spacing w:after="0" w:line="127"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Shareholders who execute the enclosed Proxy Card retain the right to revoke such proxies at any time prior to voting. Unless so revoked, the shares represented by properly executed proxies will be voted at the Meeting and all adjournments thereof. Proxies may be revoked at any time prior to exercise by written notice to the Corporate Secretary of the Company or by the filing of a properly executed, later-dated proxy. A proxy will not be voted if a shareholder attends the Meeting and votes on-line during the Meeting. The presence of a shareholder at the Meeting alone will not revoke such shareholder’s proxy. Shareholders have no dissenters’ or appraisal rights in connection with the Proposals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440" w:right="379" w:bottom="1440" w:gutter="0" w:footer="0" w:header="0"/>
        </w:sectPr>
      </w:pPr>
    </w:p>
    <w:bookmarkStart w:id="6" w:name="page7"/>
    <w:bookmarkEnd w:id="6"/>
    <w:p>
      <w:pPr>
        <w:ind w:left="4600"/>
        <w:spacing w:after="0"/>
        <w:rPr>
          <w:sz w:val="20"/>
          <w:szCs w:val="20"/>
          <w:color w:val="auto"/>
        </w:rPr>
      </w:pPr>
      <w:r>
        <w:rPr>
          <w:rFonts w:ascii="Arial" w:cs="Arial" w:eastAsia="Arial" w:hAnsi="Arial"/>
          <w:sz w:val="18"/>
          <w:szCs w:val="18"/>
          <w:b w:val="1"/>
          <w:bCs w:val="1"/>
          <w:color w:val="auto"/>
        </w:rPr>
        <w:t>PURPOSE OF MEETING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9" w:lineRule="exact"/>
        <w:rPr>
          <w:sz w:val="20"/>
          <w:szCs w:val="20"/>
          <w:color w:val="auto"/>
        </w:rPr>
      </w:pPr>
    </w:p>
    <w:p>
      <w:pPr>
        <w:ind w:left="660" w:right="30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shares of its common stock, par value $0.02 per share (“Common Shares”), at a price below the then current net asset value per share of such Common Shares in one or multiple offerings, subject to certain limitations described in this Proxy Statement;</w:t>
      </w:r>
    </w:p>
    <w:p>
      <w:pPr>
        <w:spacing w:after="0" w:line="189" w:lineRule="exact"/>
        <w:rPr>
          <w:rFonts w:ascii="Arial" w:cs="Arial" w:eastAsia="Arial" w:hAnsi="Arial"/>
          <w:sz w:val="18"/>
          <w:szCs w:val="18"/>
          <w:color w:val="auto"/>
        </w:rPr>
      </w:pPr>
    </w:p>
    <w:p>
      <w:pPr>
        <w:ind w:left="700" w:hanging="368"/>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 proposal to adjourn the Meeting, if necessary or appropriate, to solicit additional proxies;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of adjournment thereof.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QUORUM REQUIRED</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quorum must be present at the Meeting for any business to be conducted. The presence at the Meeting, virtually or by proxy, of holders entitled to cast a majority of the votes entitled to be cast as of the Record Date will constitute a quorum. Abstentions and broker non-votes, if any, will be deemed present for the purpose of determining a quorum for the Meeting. If there are not enough votes for a quorum, the Chairman of the Meeting may adjourn the Meeting to permit the further solicitation of proxies.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REQUIRED</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160" w:type="dxa"/>
            <w:vAlign w:val="bottom"/>
          </w:tcPr>
          <w:p>
            <w:pPr>
              <w:jc w:val="center"/>
              <w:ind w:left="179"/>
              <w:spacing w:after="0"/>
              <w:rPr>
                <w:sz w:val="20"/>
                <w:szCs w:val="20"/>
                <w:color w:val="auto"/>
              </w:rPr>
            </w:pPr>
            <w:r>
              <w:rPr>
                <w:rFonts w:ascii="Arial" w:cs="Arial" w:eastAsia="Arial" w:hAnsi="Arial"/>
                <w:sz w:val="16"/>
                <w:szCs w:val="16"/>
                <w:b w:val="1"/>
                <w:bCs w:val="1"/>
                <w:color w:val="auto"/>
                <w:w w:val="96"/>
              </w:rPr>
              <w:t>Broker</w:t>
            </w: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16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1"/>
              </w:rPr>
              <w:t>Discretionary</w:t>
            </w:r>
          </w:p>
        </w:tc>
        <w:tc>
          <w:tcPr>
            <w:tcW w:w="2220" w:type="dxa"/>
            <w:vAlign w:val="bottom"/>
            <w:vMerge w:val="restart"/>
          </w:tcPr>
          <w:p>
            <w:pPr>
              <w:jc w:val="center"/>
              <w:ind w:left="379"/>
              <w:spacing w:after="0"/>
              <w:rPr>
                <w:sz w:val="20"/>
                <w:szCs w:val="20"/>
                <w:color w:val="auto"/>
              </w:rPr>
            </w:pPr>
            <w:r>
              <w:rPr>
                <w:rFonts w:ascii="Arial" w:cs="Arial" w:eastAsia="Arial" w:hAnsi="Arial"/>
                <w:sz w:val="16"/>
                <w:szCs w:val="16"/>
                <w:b w:val="1"/>
                <w:bCs w:val="1"/>
                <w:color w:val="auto"/>
                <w:w w:val="90"/>
              </w:rPr>
              <w:t>Effect of Abstentions and</w:t>
            </w:r>
          </w:p>
        </w:tc>
        <w:tc>
          <w:tcPr>
            <w:tcW w:w="0" w:type="dxa"/>
            <w:vAlign w:val="bottom"/>
          </w:tcPr>
          <w:p>
            <w:pPr>
              <w:spacing w:after="0"/>
              <w:rPr>
                <w:sz w:val="1"/>
                <w:szCs w:val="1"/>
                <w:color w:val="auto"/>
              </w:rPr>
            </w:pPr>
          </w:p>
        </w:tc>
      </w:tr>
      <w:tr>
        <w:trPr>
          <w:trHeight w:val="162"/>
        </w:trPr>
        <w:tc>
          <w:tcPr>
            <w:tcW w:w="2580" w:type="dxa"/>
            <w:vAlign w:val="bottom"/>
            <w:vMerge w:val="restart"/>
          </w:tcPr>
          <w:p>
            <w:pPr>
              <w:spacing w:after="0"/>
              <w:rPr>
                <w:sz w:val="20"/>
                <w:szCs w:val="20"/>
                <w:color w:val="auto"/>
              </w:rPr>
            </w:pPr>
            <w:r>
              <w:rPr>
                <w:rFonts w:ascii="Arial" w:cs="Arial" w:eastAsia="Arial" w:hAnsi="Arial"/>
                <w:sz w:val="16"/>
                <w:szCs w:val="16"/>
                <w:b w:val="1"/>
                <w:bCs w:val="1"/>
                <w:color w:val="auto"/>
              </w:rPr>
              <w:t>Proposal</w:t>
            </w:r>
          </w:p>
        </w:tc>
        <w:tc>
          <w:tcPr>
            <w:tcW w:w="3700" w:type="dxa"/>
            <w:vAlign w:val="bottom"/>
            <w:vMerge w:val="restart"/>
          </w:tcPr>
          <w:p>
            <w:pPr>
              <w:ind w:left="1940"/>
              <w:spacing w:after="0"/>
              <w:rPr>
                <w:sz w:val="20"/>
                <w:szCs w:val="20"/>
                <w:color w:val="auto"/>
              </w:rPr>
            </w:pPr>
            <w:r>
              <w:rPr>
                <w:rFonts w:ascii="Arial" w:cs="Arial" w:eastAsia="Arial" w:hAnsi="Arial"/>
                <w:sz w:val="16"/>
                <w:szCs w:val="16"/>
                <w:b w:val="1"/>
                <w:bCs w:val="1"/>
                <w:color w:val="auto"/>
              </w:rPr>
              <w:t>Vote Required</w:t>
            </w:r>
          </w:p>
        </w:tc>
        <w:tc>
          <w:tcPr>
            <w:tcW w:w="216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2"/>
              </w:rPr>
              <w:t>Voting</w:t>
            </w:r>
          </w:p>
        </w:tc>
        <w:tc>
          <w:tcPr>
            <w:tcW w:w="2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80" w:type="dxa"/>
            <w:vAlign w:val="bottom"/>
            <w:vMerge w:val="continue"/>
          </w:tcPr>
          <w:p>
            <w:pPr>
              <w:spacing w:after="0"/>
              <w:rPr>
                <w:sz w:val="18"/>
                <w:szCs w:val="18"/>
                <w:color w:val="auto"/>
              </w:rPr>
            </w:pPr>
          </w:p>
        </w:tc>
        <w:tc>
          <w:tcPr>
            <w:tcW w:w="3700" w:type="dxa"/>
            <w:vAlign w:val="bottom"/>
            <w:vMerge w:val="continue"/>
          </w:tcPr>
          <w:p>
            <w:pPr>
              <w:spacing w:after="0"/>
              <w:rPr>
                <w:sz w:val="18"/>
                <w:szCs w:val="18"/>
                <w:color w:val="auto"/>
              </w:rPr>
            </w:pPr>
          </w:p>
        </w:tc>
        <w:tc>
          <w:tcPr>
            <w:tcW w:w="2160" w:type="dxa"/>
            <w:vAlign w:val="bottom"/>
          </w:tcPr>
          <w:p>
            <w:pPr>
              <w:jc w:val="center"/>
              <w:ind w:left="239"/>
              <w:spacing w:after="0"/>
              <w:rPr>
                <w:sz w:val="20"/>
                <w:szCs w:val="20"/>
                <w:color w:val="auto"/>
              </w:rPr>
            </w:pPr>
            <w:r>
              <w:rPr>
                <w:rFonts w:ascii="Arial" w:cs="Arial" w:eastAsia="Arial" w:hAnsi="Arial"/>
                <w:sz w:val="16"/>
                <w:szCs w:val="16"/>
                <w:b w:val="1"/>
                <w:bCs w:val="1"/>
                <w:color w:val="auto"/>
                <w:w w:val="89"/>
              </w:rPr>
              <w:t>Allowed?</w:t>
            </w:r>
          </w:p>
        </w:tc>
        <w:tc>
          <w:tcPr>
            <w:tcW w:w="2220" w:type="dxa"/>
            <w:vAlign w:val="bottom"/>
          </w:tcPr>
          <w:p>
            <w:pPr>
              <w:jc w:val="center"/>
              <w:ind w:left="419"/>
              <w:spacing w:after="0"/>
              <w:rPr>
                <w:sz w:val="20"/>
                <w:szCs w:val="20"/>
                <w:color w:val="auto"/>
              </w:rPr>
            </w:pPr>
            <w:r>
              <w:rPr>
                <w:rFonts w:ascii="Arial" w:cs="Arial" w:eastAsia="Arial" w:hAnsi="Arial"/>
                <w:sz w:val="16"/>
                <w:szCs w:val="16"/>
                <w:b w:val="1"/>
                <w:bCs w:val="1"/>
                <w:color w:val="auto"/>
                <w:w w:val="91"/>
              </w:rPr>
              <w:t>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057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18" w:lineRule="exact"/>
        <w:rPr>
          <w:sz w:val="20"/>
          <w:szCs w:val="20"/>
          <w:color w:val="auto"/>
        </w:rPr>
      </w:pPr>
    </w:p>
    <w:p>
      <w:pPr>
        <w:ind w:left="20"/>
        <w:spacing w:after="0" w:line="239" w:lineRule="auto"/>
        <w:rPr>
          <w:sz w:val="20"/>
          <w:szCs w:val="20"/>
          <w:color w:val="auto"/>
        </w:rPr>
      </w:pPr>
      <w:r>
        <w:rPr>
          <w:rFonts w:ascii="Arial" w:cs="Arial" w:eastAsia="Arial" w:hAnsi="Arial"/>
          <w:sz w:val="16"/>
          <w:szCs w:val="16"/>
          <w:b w:val="1"/>
          <w:bCs w:val="1"/>
          <w:i w:val="1"/>
          <w:iCs w:val="1"/>
          <w:color w:val="auto"/>
        </w:rPr>
        <w:t xml:space="preserve">Proposal 1 </w:t>
      </w:r>
      <w:r>
        <w:rPr>
          <w:rFonts w:ascii="Arial" w:cs="Arial" w:eastAsia="Arial" w:hAnsi="Arial"/>
          <w:sz w:val="16"/>
          <w:szCs w:val="16"/>
          <w:color w:val="auto"/>
        </w:rPr>
        <w:t>— To approve a proposal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authorize the Company to sell shares of its Common Shares, at a price below the then current net asset value per share of such Common Shares in one or multiple offerings (subject to certain limitations described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right="140"/>
        <w:spacing w:after="0" w:line="261" w:lineRule="auto"/>
        <w:rPr>
          <w:sz w:val="20"/>
          <w:szCs w:val="20"/>
          <w:color w:val="auto"/>
        </w:rPr>
      </w:pPr>
      <w:r>
        <w:rPr>
          <w:rFonts w:ascii="Arial" w:cs="Arial" w:eastAsia="Arial" w:hAnsi="Arial"/>
          <w:sz w:val="16"/>
          <w:szCs w:val="16"/>
          <w:b w:val="1"/>
          <w:bCs w:val="1"/>
          <w:i w:val="1"/>
          <w:iCs w:val="1"/>
          <w:color w:val="auto"/>
        </w:rPr>
        <w:t xml:space="preserve">Proposal 2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approve a proposal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adjourn the Meeting, if necessary or appropriate, to solicit additional proxies.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324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8"/>
                <w:szCs w:val="18"/>
                <w:color w:val="auto"/>
              </w:rPr>
              <w:t>Pursuant to Investment Company Act of</w:t>
            </w:r>
          </w:p>
        </w:tc>
        <w:tc>
          <w:tcPr>
            <w:tcW w:w="180" w:type="dxa"/>
            <w:vAlign w:val="bottom"/>
          </w:tcPr>
          <w:p>
            <w:pPr>
              <w:spacing w:after="0"/>
              <w:rPr>
                <w:sz w:val="15"/>
                <w:szCs w:val="15"/>
                <w:color w:val="auto"/>
              </w:rPr>
            </w:pPr>
          </w:p>
        </w:tc>
        <w:tc>
          <w:tcPr>
            <w:tcW w:w="1380" w:type="dxa"/>
            <w:vAlign w:val="bottom"/>
            <w:tcBorders>
              <w:top w:val="single" w:sz="8" w:color="auto"/>
            </w:tcBorders>
          </w:tcPr>
          <w:p>
            <w:pPr>
              <w:ind w:left="580"/>
              <w:spacing w:after="0" w:line="175" w:lineRule="exact"/>
              <w:rPr>
                <w:sz w:val="20"/>
                <w:szCs w:val="20"/>
                <w:color w:val="auto"/>
              </w:rPr>
            </w:pPr>
            <w:r>
              <w:rPr>
                <w:rFonts w:ascii="Arial" w:cs="Arial" w:eastAsia="Arial" w:hAnsi="Arial"/>
                <w:sz w:val="18"/>
                <w:szCs w:val="18"/>
                <w:color w:val="auto"/>
              </w:rPr>
              <w:t>No</w:t>
            </w:r>
          </w:p>
        </w:tc>
        <w:tc>
          <w:tcPr>
            <w:tcW w:w="180" w:type="dxa"/>
            <w:vAlign w:val="bottom"/>
          </w:tcPr>
          <w:p>
            <w:pPr>
              <w:spacing w:after="0"/>
              <w:rPr>
                <w:sz w:val="15"/>
                <w:szCs w:val="15"/>
                <w:color w:val="auto"/>
              </w:rPr>
            </w:pPr>
          </w:p>
        </w:tc>
        <w:tc>
          <w:tcPr>
            <w:tcW w:w="284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8"/>
                <w:szCs w:val="18"/>
                <w:color w:val="auto"/>
                <w:w w:val="97"/>
              </w:rPr>
              <w:t>Abstentions and broker non-votes, if</w:t>
            </w:r>
          </w:p>
        </w:tc>
      </w:tr>
      <w:tr>
        <w:trPr>
          <w:trHeight w:val="176"/>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1940, as amended (the “1940 Act”),</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ind w:left="20"/>
              <w:spacing w:after="0" w:line="176" w:lineRule="exact"/>
              <w:rPr>
                <w:sz w:val="20"/>
                <w:szCs w:val="20"/>
                <w:color w:val="auto"/>
              </w:rPr>
            </w:pPr>
            <w:r>
              <w:rPr>
                <w:rFonts w:ascii="Arial" w:cs="Arial" w:eastAsia="Arial" w:hAnsi="Arial"/>
                <w:sz w:val="18"/>
                <w:szCs w:val="18"/>
                <w:color w:val="auto"/>
              </w:rPr>
              <w:t>any, will have the effect of a vote</w:t>
            </w:r>
          </w:p>
        </w:tc>
      </w:tr>
      <w:tr>
        <w:trPr>
          <w:trHeight w:val="176"/>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approval of this proposal requires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ind w:left="20"/>
              <w:spacing w:after="0" w:line="176" w:lineRule="exact"/>
              <w:rPr>
                <w:sz w:val="20"/>
                <w:szCs w:val="20"/>
                <w:color w:val="auto"/>
              </w:rPr>
            </w:pPr>
            <w:r>
              <w:rPr>
                <w:rFonts w:ascii="Arial" w:cs="Arial" w:eastAsia="Arial" w:hAnsi="Arial"/>
                <w:sz w:val="18"/>
                <w:szCs w:val="18"/>
                <w:color w:val="auto"/>
              </w:rPr>
              <w:t>against this proposal.</w:t>
            </w: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affirmative vote of: (i) a majority of</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6"/>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outstanding Common Shares entitled to vote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at the Meeting; and (ii) a majority of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outstanding Common Shares entitled to vote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at the Meeting which are not held by</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affiliated persons of the Company.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1940 Act defines “a majority of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outstanding shares” as: (1) 67% or more of</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6"/>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the voting securities present at the Meeting</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if the holders of more than 50% of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outstanding voting securities of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Company are present or represented by</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proxy; or (2) more than 50% of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outstanding voting securities of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22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Company, whichever is less.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176"/>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Affirmative vote of the holders of a</w:t>
            </w:r>
          </w:p>
        </w:tc>
        <w:tc>
          <w:tcPr>
            <w:tcW w:w="1560" w:type="dxa"/>
            <w:vAlign w:val="bottom"/>
            <w:gridSpan w:val="2"/>
          </w:tcPr>
          <w:p>
            <w:pPr>
              <w:ind w:left="580"/>
              <w:spacing w:after="0" w:line="176" w:lineRule="exact"/>
              <w:rPr>
                <w:sz w:val="20"/>
                <w:szCs w:val="20"/>
                <w:color w:val="auto"/>
              </w:rPr>
            </w:pPr>
            <w:r>
              <w:rPr>
                <w:rFonts w:ascii="Arial" w:cs="Arial" w:eastAsia="Arial" w:hAnsi="Arial"/>
                <w:sz w:val="18"/>
                <w:szCs w:val="18"/>
                <w:color w:val="auto"/>
              </w:rPr>
              <w:t>No</w:t>
            </w:r>
          </w:p>
        </w:tc>
        <w:tc>
          <w:tcPr>
            <w:tcW w:w="2840" w:type="dxa"/>
            <w:vAlign w:val="bottom"/>
          </w:tcPr>
          <w:p>
            <w:pPr>
              <w:ind w:left="20"/>
              <w:spacing w:after="0" w:line="176" w:lineRule="exact"/>
              <w:rPr>
                <w:sz w:val="20"/>
                <w:szCs w:val="20"/>
                <w:color w:val="auto"/>
              </w:rPr>
            </w:pPr>
            <w:r>
              <w:rPr>
                <w:rFonts w:ascii="Arial" w:cs="Arial" w:eastAsia="Arial" w:hAnsi="Arial"/>
                <w:sz w:val="18"/>
                <w:szCs w:val="18"/>
                <w:color w:val="auto"/>
                <w:w w:val="97"/>
              </w:rPr>
              <w:t>Abstentions and broker non-votes, if</w:t>
            </w:r>
          </w:p>
        </w:tc>
      </w:tr>
      <w:tr>
        <w:trPr>
          <w:trHeight w:val="176"/>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majority of the votes cast at the Meeting.</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ind w:left="20"/>
              <w:spacing w:after="0" w:line="176" w:lineRule="exact"/>
              <w:rPr>
                <w:sz w:val="20"/>
                <w:szCs w:val="20"/>
                <w:color w:val="auto"/>
              </w:rPr>
            </w:pPr>
            <w:r>
              <w:rPr>
                <w:rFonts w:ascii="Arial" w:cs="Arial" w:eastAsia="Arial" w:hAnsi="Arial"/>
                <w:sz w:val="18"/>
                <w:szCs w:val="18"/>
                <w:color w:val="auto"/>
              </w:rPr>
              <w:t>any, will have no effect on the</w:t>
            </w:r>
          </w:p>
        </w:tc>
      </w:tr>
      <w:tr>
        <w:trPr>
          <w:trHeight w:val="230"/>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outcome of the vote.</w:t>
            </w:r>
          </w:p>
        </w:tc>
      </w:tr>
    </w:tbl>
    <w:p>
      <w:pPr>
        <w:spacing w:after="0" w:line="214" w:lineRule="exact"/>
        <w:rPr>
          <w:sz w:val="20"/>
          <w:szCs w:val="20"/>
          <w:color w:val="auto"/>
        </w:rPr>
      </w:pPr>
    </w:p>
    <w:p>
      <w:pPr>
        <w:sectPr>
          <w:pgSz w:w="11900" w:h="16838" w:orient="portrait"/>
          <w:cols w:equalWidth="0" w:num="2">
            <w:col w:w="3080" w:space="340"/>
            <w:col w:w="7820"/>
          </w:cols>
          <w:pgMar w:left="320" w:top="1417" w:right="339" w:bottom="1440" w:gutter="0" w:footer="0" w:header="0"/>
          <w:type w:val="continuous"/>
        </w:sectPr>
      </w:pPr>
    </w:p>
    <w:p>
      <w:pPr>
        <w:spacing w:after="0" w:line="8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If there are not enough Common Shares represented at the Meeting for votes to approve any of the Proposals at the Meeting, the Chairman of the Meeting may adjourn the Meeting to permit the further solicitation of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7" w:right="3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BROKER NON-VOTES</w:t>
      </w:r>
    </w:p>
    <w:p>
      <w:pPr>
        <w:spacing w:after="0" w:line="2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If a shareholder of the Company does not vote at the Meeting or does not submit voting instructions to its broker, bank or other nominee, the broker, bank or other nominee will not be permitted to vote the shareholder’s shares on non-routine proposals. Each of the Proposals is a non-routine proposal. As a result, if you hold Common Shares in street name through a broker, your broker will not be permitted to exercise voting discretion with respect to the Proposals. Thus, your broker cannot vote with respect to any of the Proposals unless you give your broker specific instructions on how to vote for you. While broker non-votes would have the effect of a vote “against” Proposal 1, and would have no effect on Proposal 2, we do not expect any broker non-votes at the Meeting because there are no routine proposals to be voted on at the Meeting.</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AND REVOCATION OF PROXIES</w:t>
      </w:r>
    </w:p>
    <w:p>
      <w:pPr>
        <w:spacing w:after="0" w:line="162"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Proxies solicited by the Board of Directors will be voted in accordance with the directions given therein. If any other matters are properly brought before the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matters incident to the conduct of the Meeting and with respect to any other matter presented at the Meeting if notice of such matter has not been delivered to the Company within a reasonable time before the date of this Proxy Statement. Proxies marked as abstentions will not be counted as votes cast. In addition, shares held in street name that have been designated by brokers on Proxy Cards as not voted (“broker non-votes”) will not be counted as votes cast. Proxies marked as abstentions or as broker non-votes will be treated as shares present for purposes of determining whether a quorum exists.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PROXIES FOR THE MEETING</w:t>
      </w:r>
    </w:p>
    <w:p>
      <w:pPr>
        <w:spacing w:after="0" w:line="2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named proxies for the Meeting are Michael A. Schwartz and Barry Sloane (or their duly authorized designees), who will follow submitted proxy voting instructions. They will vote as the Board of Directors recommends herein as to any submitted proxies that do not direct how to vote on any item, and will vote on any other matters properly presented at the Meeting in their judgment.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SECURITIES</w:t>
      </w:r>
    </w:p>
    <w:p>
      <w:pPr>
        <w:spacing w:after="0" w:line="148"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The securities which can be voted at the Meeting consist of the Company’s Common Shares. Shareholders of record as of the close of business on May 28, 2021 (the “Record Date”) are entitled to one vote for each Common Share then held on all matters. As of the Record Date, 22,509,718 Common Shares were issued and outstanding.</w:t>
      </w:r>
    </w:p>
    <w:p>
      <w:pPr>
        <w:spacing w:after="0" w:line="116"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2" w:lineRule="exact"/>
        <w:rPr>
          <w:sz w:val="20"/>
          <w:szCs w:val="20"/>
          <w:color w:val="auto"/>
        </w:rPr>
      </w:pPr>
    </w:p>
    <w:p>
      <w:pPr>
        <w:ind w:right="140" w:firstLine="432"/>
        <w:spacing w:after="0" w:line="263" w:lineRule="auto"/>
        <w:rPr>
          <w:sz w:val="20"/>
          <w:szCs w:val="20"/>
          <w:color w:val="auto"/>
        </w:rPr>
      </w:pPr>
      <w:r>
        <w:rPr>
          <w:rFonts w:ascii="Arial" w:cs="Arial" w:eastAsia="Arial" w:hAnsi="Arial"/>
          <w:sz w:val="18"/>
          <w:szCs w:val="18"/>
          <w:color w:val="auto"/>
        </w:rPr>
        <w:t>The following table sets forth, as of May 21, 2021, the beneficial ownership of each current director, the Company’s executive officers, each person known to the Company to beneficially own 5% or more of the outstanding Common Shares, and the executive officers and directors as a group. The percentage of beneficial ownership is based on 22,509,718 Common Shares outstanding as of May 28, 2021.</w:t>
      </w:r>
    </w:p>
    <w:p>
      <w:pPr>
        <w:spacing w:after="0" w:line="211"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Ownership information for those persons who beneficially own 5% or more of the Company’s Common Shares is based upon filings by such persons with the SEC and other information obtained from such persons, if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17" w:right="359" w:bottom="1440" w:gutter="0" w:footer="0" w:header="0"/>
        </w:sectPr>
      </w:pPr>
    </w:p>
    <w:bookmarkStart w:id="8" w:name="page9"/>
    <w:bookmarkEnd w:id="8"/>
    <w:p>
      <w:pPr>
        <w:spacing w:after="0" w:line="130" w:lineRule="exact"/>
        <w:rPr>
          <w:sz w:val="20"/>
          <w:szCs w:val="20"/>
          <w:color w:val="auto"/>
        </w:rPr>
      </w:pPr>
    </w:p>
    <w:p>
      <w:pPr>
        <w:jc w:val="both"/>
        <w:ind w:right="140" w:firstLine="432"/>
        <w:spacing w:after="0" w:line="277" w:lineRule="auto"/>
        <w:rPr>
          <w:sz w:val="20"/>
          <w:szCs w:val="20"/>
          <w:color w:val="auto"/>
        </w:rPr>
      </w:pPr>
      <w:r>
        <w:rPr>
          <w:rFonts w:ascii="Arial" w:cs="Arial" w:eastAsia="Arial" w:hAnsi="Arial"/>
          <w:sz w:val="17"/>
          <w:szCs w:val="17"/>
          <w:color w:val="auto"/>
        </w:rPr>
        <w:t>Unless otherwise indicated, the Company believes that each beneficial owner set forth in the table has sole voting and investment power and has the same address as the Company. The Company’s directors are divided into two groups — interested directors and independent directors. Interested directors are “interested persons” of the Company as defined in Section 2(a)(19) of the 1940 Act. Unless otherwise indicated, the addresses of all executive officers and directors are c/o Newtek Business Services Corp.,4800 T-Rex Avenue, Suite 120, Boca Raton, FL 33431.</w:t>
      </w:r>
    </w:p>
    <w:tbl>
      <w:tblPr>
        <w:tblLayout w:type="fixed"/>
        <w:tblInd w:w="0" w:type="dxa"/>
        <w:tblCellMar>
          <w:top w:w="0" w:type="dxa"/>
          <w:left w:w="0" w:type="dxa"/>
          <w:bottom w:w="0" w:type="dxa"/>
          <w:right w:w="0" w:type="dxa"/>
        </w:tblCellMar>
      </w:tblPr>
      <w:tr>
        <w:trPr>
          <w:trHeight w:val="165"/>
        </w:trPr>
        <w:tc>
          <w:tcPr>
            <w:tcW w:w="9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2"/>
          </w:tcPr>
          <w:p>
            <w:pPr>
              <w:jc w:val="center"/>
              <w:ind w:right="160"/>
              <w:spacing w:after="0" w:line="165" w:lineRule="exact"/>
              <w:rPr>
                <w:sz w:val="20"/>
                <w:szCs w:val="20"/>
                <w:color w:val="auto"/>
              </w:rPr>
            </w:pPr>
            <w:r>
              <w:rPr>
                <w:rFonts w:ascii="Arial" w:cs="Arial" w:eastAsia="Arial" w:hAnsi="Arial"/>
                <w:sz w:val="16"/>
                <w:szCs w:val="16"/>
                <w:b w:val="1"/>
                <w:bCs w:val="1"/>
                <w:color w:val="auto"/>
                <w:w w:val="94"/>
              </w:rPr>
              <w:t>Number of</w:t>
            </w:r>
          </w:p>
        </w:tc>
        <w:tc>
          <w:tcPr>
            <w:tcW w:w="152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162"/>
        </w:trPr>
        <w:tc>
          <w:tcPr>
            <w:tcW w:w="7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 of Beneficial Owner</w:t>
            </w:r>
          </w:p>
        </w:tc>
        <w:tc>
          <w:tcPr>
            <w:tcW w:w="120" w:type="dxa"/>
            <w:vAlign w:val="bottom"/>
            <w:vMerge w:val="restart"/>
          </w:tcPr>
          <w:p>
            <w:pPr>
              <w:spacing w:after="0"/>
              <w:rPr>
                <w:sz w:val="14"/>
                <w:szCs w:val="14"/>
                <w:color w:val="auto"/>
              </w:rPr>
            </w:pPr>
          </w:p>
        </w:tc>
        <w:tc>
          <w:tcPr>
            <w:tcW w:w="23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Shares Beneficially</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2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Owned</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Class</w:t>
            </w:r>
          </w:p>
        </w:tc>
        <w:tc>
          <w:tcPr>
            <w:tcW w:w="0" w:type="dxa"/>
            <w:vAlign w:val="bottom"/>
          </w:tcPr>
          <w:p>
            <w:pPr>
              <w:spacing w:after="0"/>
              <w:rPr>
                <w:sz w:val="1"/>
                <w:szCs w:val="1"/>
                <w:color w:val="auto"/>
              </w:rPr>
            </w:pPr>
          </w:p>
        </w:tc>
      </w:tr>
      <w:tr>
        <w:trPr>
          <w:trHeight w:val="266"/>
        </w:trPr>
        <w:tc>
          <w:tcPr>
            <w:tcW w:w="74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Interested Directors:</w:t>
            </w:r>
          </w:p>
        </w:tc>
        <w:tc>
          <w:tcPr>
            <w:tcW w:w="2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Barry Sloane</w:t>
            </w:r>
            <w:r>
              <w:rPr>
                <w:rFonts w:ascii="Arial" w:cs="Arial" w:eastAsia="Arial" w:hAnsi="Arial"/>
                <w:sz w:val="9"/>
                <w:szCs w:val="9"/>
                <w:color w:val="auto"/>
              </w:rPr>
              <w:t>(1)</w:t>
            </w:r>
          </w:p>
        </w:tc>
        <w:tc>
          <w:tcPr>
            <w:tcW w:w="2200" w:type="dxa"/>
            <w:vAlign w:val="bottom"/>
          </w:tcPr>
          <w:p>
            <w:pPr>
              <w:jc w:val="right"/>
              <w:spacing w:after="0"/>
              <w:rPr>
                <w:sz w:val="20"/>
                <w:szCs w:val="20"/>
                <w:color w:val="auto"/>
              </w:rPr>
            </w:pPr>
            <w:r>
              <w:rPr>
                <w:rFonts w:ascii="Arial" w:cs="Arial" w:eastAsia="Arial" w:hAnsi="Arial"/>
                <w:sz w:val="18"/>
                <w:szCs w:val="18"/>
                <w:color w:val="auto"/>
              </w:rPr>
              <w:t>1,150,551</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163"/>
        </w:trPr>
        <w:tc>
          <w:tcPr>
            <w:tcW w:w="9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9"/>
                <w:shd w:val="clear" w:color="auto" w:fill="CCEEFF"/>
              </w:rPr>
              <w:t>Peter Downs</w:t>
            </w:r>
          </w:p>
        </w:tc>
        <w:tc>
          <w:tcPr>
            <w:tcW w:w="6320" w:type="dxa"/>
            <w:vAlign w:val="bottom"/>
            <w:shd w:val="clear" w:color="auto" w:fill="CCEEFF"/>
          </w:tcPr>
          <w:p>
            <w:pPr>
              <w:jc w:val="right"/>
              <w:ind w:right="6173"/>
              <w:spacing w:after="0"/>
              <w:rPr>
                <w:sz w:val="20"/>
                <w:szCs w:val="20"/>
                <w:color w:val="auto"/>
              </w:rPr>
            </w:pPr>
            <w:r>
              <w:rPr>
                <w:rFonts w:ascii="Arial" w:cs="Arial" w:eastAsia="Arial" w:hAnsi="Arial"/>
                <w:sz w:val="9"/>
                <w:szCs w:val="9"/>
                <w:color w:val="auto"/>
                <w:w w:val="72"/>
                <w:shd w:val="clear" w:color="auto" w:fill="CCEEFF"/>
              </w:rPr>
              <w:t>(2)</w:t>
            </w:r>
          </w:p>
        </w:tc>
        <w:tc>
          <w:tcPr>
            <w:tcW w:w="120" w:type="dxa"/>
            <w:vAlign w:val="bottom"/>
            <w:shd w:val="clear" w:color="auto" w:fill="CCEEFF"/>
          </w:tcPr>
          <w:p>
            <w:pPr>
              <w:spacing w:after="0"/>
              <w:rPr>
                <w:sz w:val="14"/>
                <w:szCs w:val="14"/>
                <w:color w:val="auto"/>
              </w:rPr>
            </w:pPr>
          </w:p>
        </w:tc>
        <w:tc>
          <w:tcPr>
            <w:tcW w:w="2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45,307</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960" w:type="dxa"/>
            <w:vAlign w:val="bottom"/>
            <w:tcBorders>
              <w:bottom w:val="single" w:sz="8" w:color="CCEEFF"/>
            </w:tcBorders>
            <w:vMerge w:val="continue"/>
            <w:shd w:val="clear" w:color="auto" w:fill="CCEEFF"/>
          </w:tcPr>
          <w:p>
            <w:pPr>
              <w:spacing w:after="0"/>
              <w:rPr>
                <w:sz w:val="7"/>
                <w:szCs w:val="7"/>
                <w:color w:val="auto"/>
              </w:rPr>
            </w:pPr>
          </w:p>
        </w:tc>
        <w:tc>
          <w:tcPr>
            <w:tcW w:w="63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5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7400" w:type="dxa"/>
            <w:vAlign w:val="bottom"/>
            <w:gridSpan w:val="3"/>
          </w:tcPr>
          <w:p>
            <w:pPr>
              <w:ind w:left="200"/>
              <w:spacing w:after="0"/>
              <w:rPr>
                <w:sz w:val="20"/>
                <w:szCs w:val="20"/>
                <w:color w:val="auto"/>
              </w:rPr>
            </w:pPr>
            <w:r>
              <w:rPr>
                <w:rFonts w:ascii="Arial" w:cs="Arial" w:eastAsia="Arial" w:hAnsi="Arial"/>
                <w:sz w:val="18"/>
                <w:szCs w:val="18"/>
                <w:b w:val="1"/>
                <w:bCs w:val="1"/>
                <w:i w:val="1"/>
                <w:iCs w:val="1"/>
                <w:color w:val="auto"/>
              </w:rPr>
              <w:t>Independent Directors:</w:t>
            </w:r>
          </w:p>
        </w:tc>
        <w:tc>
          <w:tcPr>
            <w:tcW w:w="2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Gregory Zink</w:t>
            </w:r>
            <w:r>
              <w:rPr>
                <w:rFonts w:ascii="Arial" w:cs="Arial" w:eastAsia="Arial" w:hAnsi="Arial"/>
                <w:sz w:val="9"/>
                <w:szCs w:val="9"/>
                <w:color w:val="auto"/>
              </w:rPr>
              <w:t>(4)</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17,668</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Salvatore Mulia</w:t>
            </w:r>
            <w:r>
              <w:rPr>
                <w:rFonts w:ascii="Arial" w:cs="Arial" w:eastAsia="Arial" w:hAnsi="Arial"/>
                <w:sz w:val="9"/>
                <w:szCs w:val="9"/>
                <w:color w:val="auto"/>
              </w:rPr>
              <w:t>(4)</w:t>
            </w:r>
          </w:p>
        </w:tc>
        <w:tc>
          <w:tcPr>
            <w:tcW w:w="2200" w:type="dxa"/>
            <w:vAlign w:val="bottom"/>
          </w:tcPr>
          <w:p>
            <w:pPr>
              <w:jc w:val="right"/>
              <w:spacing w:after="0"/>
              <w:rPr>
                <w:sz w:val="20"/>
                <w:szCs w:val="20"/>
                <w:color w:val="auto"/>
              </w:rPr>
            </w:pPr>
            <w:r>
              <w:rPr>
                <w:rFonts w:ascii="Arial" w:cs="Arial" w:eastAsia="Arial" w:hAnsi="Arial"/>
                <w:sz w:val="18"/>
                <w:szCs w:val="18"/>
                <w:color w:val="auto"/>
              </w:rPr>
              <w:t>67,769</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Richard Salute</w:t>
            </w:r>
            <w:r>
              <w:rPr>
                <w:rFonts w:ascii="Arial" w:cs="Arial" w:eastAsia="Arial" w:hAnsi="Arial"/>
                <w:sz w:val="9"/>
                <w:szCs w:val="9"/>
                <w:color w:val="auto"/>
              </w:rPr>
              <w:t>(4)</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18,174</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00" w:type="dxa"/>
            <w:vAlign w:val="bottom"/>
            <w:gridSpan w:val="3"/>
          </w:tcPr>
          <w:p>
            <w:pPr>
              <w:ind w:left="200"/>
              <w:spacing w:after="0"/>
              <w:rPr>
                <w:sz w:val="20"/>
                <w:szCs w:val="20"/>
                <w:color w:val="auto"/>
              </w:rPr>
            </w:pPr>
            <w:r>
              <w:rPr>
                <w:rFonts w:ascii="Arial" w:cs="Arial" w:eastAsia="Arial" w:hAnsi="Arial"/>
                <w:sz w:val="18"/>
                <w:szCs w:val="18"/>
                <w:b w:val="1"/>
                <w:bCs w:val="1"/>
                <w:i w:val="1"/>
                <w:iCs w:val="1"/>
                <w:color w:val="auto"/>
              </w:rPr>
              <w:t>Executive Officers:</w:t>
            </w:r>
          </w:p>
        </w:tc>
        <w:tc>
          <w:tcPr>
            <w:tcW w:w="2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Nicholas Leger</w:t>
            </w:r>
            <w:r>
              <w:rPr>
                <w:rFonts w:ascii="Arial" w:cs="Arial" w:eastAsia="Arial" w:hAnsi="Arial"/>
                <w:sz w:val="9"/>
                <w:szCs w:val="9"/>
                <w:color w:val="auto"/>
              </w:rPr>
              <w:t>(5)</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Michael Schwartz</w:t>
            </w:r>
            <w:r>
              <w:rPr>
                <w:rFonts w:ascii="Arial" w:cs="Arial" w:eastAsia="Arial" w:hAnsi="Arial"/>
                <w:sz w:val="9"/>
                <w:szCs w:val="9"/>
                <w:color w:val="auto"/>
              </w:rPr>
              <w:t>(3)</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24,978</w:t>
            </w:r>
          </w:p>
        </w:tc>
        <w:tc>
          <w:tcPr>
            <w:tcW w:w="12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4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All current directors and executive officers as a group</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1,329,459</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Less than 1% of total Common Shares outstanding as of the Record Date.</w:t>
      </w:r>
    </w:p>
    <w:p>
      <w:pPr>
        <w:spacing w:after="0" w:line="248" w:lineRule="exact"/>
        <w:rPr>
          <w:sz w:val="20"/>
          <w:szCs w:val="20"/>
          <w:color w:val="auto"/>
        </w:rPr>
      </w:pPr>
    </w:p>
    <w:p>
      <w:pPr>
        <w:jc w:val="both"/>
        <w:ind w:left="440" w:right="220" w:hanging="432"/>
        <w:spacing w:after="0" w:line="261"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176,221 Shares owned by The B Sloane Family Foundation, a 501(c)(3) private foundation, of which Mr. Sloane shares voting and dispositive power, and 83,217 restricted Common Shares awarded to Mr. Sloane in February 2021, with one-third vesting on each of the following dates: February 15, 2022; February 15, 2023; and February 15, 2024.</w:t>
      </w:r>
    </w:p>
    <w:p>
      <w:pPr>
        <w:spacing w:after="0" w:line="209" w:lineRule="exact"/>
        <w:rPr>
          <w:rFonts w:ascii="Arial" w:cs="Arial" w:eastAsia="Arial" w:hAnsi="Arial"/>
          <w:sz w:val="16"/>
          <w:szCs w:val="16"/>
          <w:color w:val="auto"/>
        </w:rPr>
      </w:pPr>
    </w:p>
    <w:p>
      <w:pPr>
        <w:ind w:left="440" w:right="240" w:hanging="432"/>
        <w:spacing w:after="0" w:line="275"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11,557 restricted Common Shares awarded in February 2021 with one-third vesting on each of the following dates: February 15, 2022, February 15, 2023 and February 15, 2024.</w:t>
      </w:r>
    </w:p>
    <w:p>
      <w:pPr>
        <w:spacing w:after="0" w:line="199" w:lineRule="exact"/>
        <w:rPr>
          <w:rFonts w:ascii="Arial" w:cs="Arial" w:eastAsia="Arial" w:hAnsi="Arial"/>
          <w:sz w:val="16"/>
          <w:szCs w:val="16"/>
          <w:color w:val="auto"/>
        </w:rPr>
      </w:pPr>
    </w:p>
    <w:p>
      <w:pPr>
        <w:ind w:left="440" w:hanging="432"/>
        <w:spacing w:after="0"/>
        <w:tabs>
          <w:tab w:leader="none" w:pos="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3,082 restricted Common Shares awarded in March 2021 with one-third vesting on each of the following date: March 15, 2022, March 15, 2023 and March</w:t>
      </w:r>
    </w:p>
    <w:p>
      <w:pPr>
        <w:spacing w:after="0" w:line="42" w:lineRule="exact"/>
        <w:rPr>
          <w:rFonts w:ascii="Arial" w:cs="Arial" w:eastAsia="Arial" w:hAnsi="Arial"/>
          <w:sz w:val="14"/>
          <w:szCs w:val="14"/>
          <w:color w:val="auto"/>
        </w:rPr>
      </w:pPr>
    </w:p>
    <w:p>
      <w:pPr>
        <w:ind w:left="440" w:right="340"/>
        <w:spacing w:after="0" w:line="257" w:lineRule="auto"/>
        <w:rPr>
          <w:rFonts w:ascii="Arial" w:cs="Arial" w:eastAsia="Arial" w:hAnsi="Arial"/>
          <w:sz w:val="14"/>
          <w:szCs w:val="14"/>
          <w:color w:val="auto"/>
        </w:rPr>
      </w:pPr>
      <w:r>
        <w:rPr>
          <w:rFonts w:ascii="Arial" w:cs="Arial" w:eastAsia="Arial" w:hAnsi="Arial"/>
          <w:sz w:val="16"/>
          <w:szCs w:val="16"/>
          <w:color w:val="auto"/>
        </w:rPr>
        <w:t>15, 2024; and 6,934 restricted Common Shares awarded in February 2021 with one-third vesting on each of the following dates: February 15, 2022, February 15, 2023 and February 15, 2024.</w:t>
      </w:r>
    </w:p>
    <w:p>
      <w:pPr>
        <w:spacing w:after="0" w:line="212" w:lineRule="exact"/>
        <w:rPr>
          <w:rFonts w:ascii="Arial" w:cs="Arial" w:eastAsia="Arial" w:hAnsi="Arial"/>
          <w:sz w:val="14"/>
          <w:szCs w:val="14"/>
          <w:color w:val="auto"/>
        </w:rPr>
      </w:pPr>
    </w:p>
    <w:p>
      <w:pPr>
        <w:ind w:left="440" w:right="60" w:hanging="432"/>
        <w:spacing w:after="0" w:line="349" w:lineRule="auto"/>
        <w:tabs>
          <w:tab w:leader="none" w:pos="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1,332 restricted Company Shares awarded in June 2019 as equity-based compensation to each non-employee director at the beginning of their 2019 terms of service, which forfeiture restrictions will lapse as to one-third of such Company Shares each year for three years, plus accrued dividends through March 31, 2021.</w:t>
      </w:r>
    </w:p>
    <w:p>
      <w:pPr>
        <w:spacing w:after="0" w:line="152" w:lineRule="exact"/>
        <w:rPr>
          <w:rFonts w:ascii="Arial" w:cs="Arial" w:eastAsia="Arial" w:hAnsi="Arial"/>
          <w:sz w:val="14"/>
          <w:szCs w:val="14"/>
          <w:color w:val="auto"/>
        </w:rPr>
      </w:pPr>
    </w:p>
    <w:p>
      <w:pPr>
        <w:ind w:left="440" w:right="500" w:hanging="432"/>
        <w:spacing w:after="0" w:line="275" w:lineRule="auto"/>
        <w:tabs>
          <w:tab w:leader="none" w:pos="2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4,623 restricted Common Shares awarded in February 2021 with one-third vesting on each of the following dates: April 30, 2021, February 15, 2023 and February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Dollar Range of Equity Securities in the Company Beneficially Owned by Each Director:</w:t>
            </w:r>
          </w:p>
        </w:tc>
      </w:tr>
      <w:tr>
        <w:trPr>
          <w:trHeight w:val="174"/>
        </w:trPr>
        <w:tc>
          <w:tcPr>
            <w:tcW w:w="208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Dollar Range of Equity Securities in</w:t>
            </w:r>
          </w:p>
        </w:tc>
      </w:tr>
      <w:tr>
        <w:trPr>
          <w:trHeight w:val="251"/>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Director</w:t>
            </w:r>
          </w:p>
        </w:tc>
        <w:tc>
          <w:tcPr>
            <w:tcW w:w="540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600" w:type="dxa"/>
            <w:vAlign w:val="bottom"/>
            <w:tcBorders>
              <w:bottom w:val="single" w:sz="8" w:color="auto"/>
            </w:tcBorders>
          </w:tcPr>
          <w:p>
            <w:pPr>
              <w:ind w:left="20"/>
              <w:spacing w:after="0" w:line="251" w:lineRule="exact"/>
              <w:rPr>
                <w:sz w:val="20"/>
                <w:szCs w:val="20"/>
                <w:color w:val="auto"/>
              </w:rPr>
            </w:pPr>
            <w:r>
              <w:rPr>
                <w:rFonts w:ascii="Arial" w:cs="Arial" w:eastAsia="Arial" w:hAnsi="Arial"/>
                <w:sz w:val="16"/>
                <w:szCs w:val="16"/>
                <w:b w:val="1"/>
                <w:bCs w:val="1"/>
                <w:color w:val="auto"/>
              </w:rPr>
              <w:t>Newtek Business Services Corp.</w:t>
            </w:r>
            <w:r>
              <w:rPr>
                <w:rFonts w:ascii="Arial" w:cs="Arial" w:eastAsia="Arial" w:hAnsi="Arial"/>
                <w:sz w:val="23"/>
                <w:szCs w:val="23"/>
                <w:b w:val="1"/>
                <w:bCs w:val="1"/>
                <w:color w:val="auto"/>
                <w:vertAlign w:val="superscript"/>
              </w:rPr>
              <w:t>(1)(2)</w:t>
            </w:r>
          </w:p>
        </w:tc>
      </w:tr>
      <w:tr>
        <w:trPr>
          <w:trHeight w:val="263"/>
        </w:trPr>
        <w:tc>
          <w:tcPr>
            <w:tcW w:w="2080" w:type="dxa"/>
            <w:vAlign w:val="bottom"/>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Interested Directors:</w:t>
            </w:r>
          </w:p>
        </w:tc>
        <w:tc>
          <w:tcPr>
            <w:tcW w:w="5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0" w:type="dxa"/>
            <w:vAlign w:val="bottom"/>
            <w:shd w:val="clear" w:color="auto" w:fill="CCEEFF"/>
          </w:tcPr>
          <w:p>
            <w:pPr>
              <w:spacing w:after="0"/>
              <w:rPr>
                <w:sz w:val="22"/>
                <w:szCs w:val="22"/>
                <w:color w:val="auto"/>
              </w:rPr>
            </w:pPr>
          </w:p>
        </w:tc>
      </w:tr>
      <w:tr>
        <w:trPr>
          <w:trHeight w:val="270"/>
        </w:trPr>
        <w:tc>
          <w:tcPr>
            <w:tcW w:w="2080" w:type="dxa"/>
            <w:vAlign w:val="bottom"/>
          </w:tcPr>
          <w:p>
            <w:pPr>
              <w:ind w:left="200"/>
              <w:spacing w:after="0"/>
              <w:rPr>
                <w:sz w:val="20"/>
                <w:szCs w:val="20"/>
                <w:color w:val="auto"/>
              </w:rPr>
            </w:pPr>
            <w:r>
              <w:rPr>
                <w:rFonts w:ascii="Arial" w:cs="Arial" w:eastAsia="Arial" w:hAnsi="Arial"/>
                <w:sz w:val="18"/>
                <w:szCs w:val="18"/>
                <w:color w:val="auto"/>
              </w:rPr>
              <w:t>Barry Sloane</w:t>
            </w:r>
          </w:p>
        </w:tc>
        <w:tc>
          <w:tcPr>
            <w:tcW w:w="5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tcPr>
          <w:p>
            <w:pPr>
              <w:ind w:left="1260"/>
              <w:spacing w:after="0"/>
              <w:rPr>
                <w:sz w:val="20"/>
                <w:szCs w:val="20"/>
                <w:color w:val="auto"/>
              </w:rPr>
            </w:pPr>
            <w:r>
              <w:rPr>
                <w:rFonts w:ascii="Arial" w:cs="Arial" w:eastAsia="Arial" w:hAnsi="Arial"/>
                <w:sz w:val="18"/>
                <w:szCs w:val="18"/>
                <w:color w:val="auto"/>
              </w:rPr>
              <w:t>Over $100,000</w:t>
            </w:r>
          </w:p>
        </w:tc>
      </w:tr>
      <w:tr>
        <w:trPr>
          <w:trHeight w:val="270"/>
        </w:trPr>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Peter Downs</w:t>
            </w:r>
          </w:p>
        </w:tc>
        <w:tc>
          <w:tcPr>
            <w:tcW w:w="5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Over $100,000</w:t>
            </w:r>
          </w:p>
        </w:tc>
      </w:tr>
      <w:tr>
        <w:trPr>
          <w:trHeight w:val="270"/>
        </w:trPr>
        <w:tc>
          <w:tcPr>
            <w:tcW w:w="2080" w:type="dxa"/>
            <w:vAlign w:val="bottom"/>
          </w:tcPr>
          <w:p>
            <w:pPr>
              <w:ind w:left="200"/>
              <w:spacing w:after="0"/>
              <w:rPr>
                <w:sz w:val="20"/>
                <w:szCs w:val="20"/>
                <w:color w:val="auto"/>
              </w:rPr>
            </w:pPr>
            <w:r>
              <w:rPr>
                <w:rFonts w:ascii="Arial" w:cs="Arial" w:eastAsia="Arial" w:hAnsi="Arial"/>
                <w:sz w:val="18"/>
                <w:szCs w:val="18"/>
                <w:b w:val="1"/>
                <w:bCs w:val="1"/>
                <w:i w:val="1"/>
                <w:iCs w:val="1"/>
                <w:color w:val="auto"/>
                <w:w w:val="94"/>
              </w:rPr>
              <w:t>Independent Directors:</w:t>
            </w:r>
          </w:p>
        </w:tc>
        <w:tc>
          <w:tcPr>
            <w:tcW w:w="5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0"/>
        </w:trPr>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Richard Salute</w:t>
            </w:r>
          </w:p>
        </w:tc>
        <w:tc>
          <w:tcPr>
            <w:tcW w:w="5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Over $100,000</w:t>
            </w:r>
          </w:p>
        </w:tc>
      </w:tr>
      <w:tr>
        <w:trPr>
          <w:trHeight w:val="270"/>
        </w:trPr>
        <w:tc>
          <w:tcPr>
            <w:tcW w:w="2080" w:type="dxa"/>
            <w:vAlign w:val="bottom"/>
          </w:tcPr>
          <w:p>
            <w:pPr>
              <w:ind w:left="200"/>
              <w:spacing w:after="0"/>
              <w:rPr>
                <w:sz w:val="20"/>
                <w:szCs w:val="20"/>
                <w:color w:val="auto"/>
              </w:rPr>
            </w:pPr>
            <w:r>
              <w:rPr>
                <w:rFonts w:ascii="Arial" w:cs="Arial" w:eastAsia="Arial" w:hAnsi="Arial"/>
                <w:sz w:val="18"/>
                <w:szCs w:val="18"/>
                <w:color w:val="auto"/>
              </w:rPr>
              <w:t>Salvatore Mulia</w:t>
            </w:r>
          </w:p>
        </w:tc>
        <w:tc>
          <w:tcPr>
            <w:tcW w:w="5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tcPr>
          <w:p>
            <w:pPr>
              <w:ind w:left="1260"/>
              <w:spacing w:after="0"/>
              <w:rPr>
                <w:sz w:val="20"/>
                <w:szCs w:val="20"/>
                <w:color w:val="auto"/>
              </w:rPr>
            </w:pPr>
            <w:r>
              <w:rPr>
                <w:rFonts w:ascii="Arial" w:cs="Arial" w:eastAsia="Arial" w:hAnsi="Arial"/>
                <w:sz w:val="18"/>
                <w:szCs w:val="18"/>
                <w:color w:val="auto"/>
              </w:rPr>
              <w:t>Over $100,000</w:t>
            </w:r>
          </w:p>
        </w:tc>
      </w:tr>
      <w:tr>
        <w:trPr>
          <w:trHeight w:val="270"/>
        </w:trPr>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Gregory Zink</w:t>
            </w:r>
          </w:p>
        </w:tc>
        <w:tc>
          <w:tcPr>
            <w:tcW w:w="5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Over $100,000</w:t>
            </w:r>
          </w:p>
        </w:tc>
      </w:tr>
      <w:tr>
        <w:trPr>
          <w:trHeight w:val="399"/>
        </w:trPr>
        <w:tc>
          <w:tcPr>
            <w:tcW w:w="2080" w:type="dxa"/>
            <w:vAlign w:val="bottom"/>
          </w:tcPr>
          <w:p>
            <w:pPr>
              <w:ind w:left="60"/>
              <w:spacing w:after="0"/>
              <w:rPr>
                <w:sz w:val="20"/>
                <w:szCs w:val="20"/>
                <w:color w:val="auto"/>
              </w:rPr>
            </w:pPr>
            <w:r>
              <w:rPr>
                <w:rFonts w:ascii="Arial" w:cs="Arial" w:eastAsia="Arial" w:hAnsi="Arial"/>
                <w:sz w:val="16"/>
                <w:szCs w:val="16"/>
                <w:color w:val="auto"/>
              </w:rPr>
              <w:t>____________</w:t>
            </w:r>
          </w:p>
        </w:tc>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0"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Dollar ranges are as follows: None, $1 – $10,000, $10,001 – $50,000, $50,001 – $100,000, or Over $100,000.</w:t>
      </w:r>
    </w:p>
    <w:p>
      <w:pPr>
        <w:spacing w:after="0" w:line="248" w:lineRule="exact"/>
        <w:rPr>
          <w:rFonts w:ascii="Arial" w:cs="Arial" w:eastAsia="Arial" w:hAnsi="Arial"/>
          <w:sz w:val="16"/>
          <w:szCs w:val="16"/>
          <w:color w:val="auto"/>
        </w:rPr>
      </w:pPr>
    </w:p>
    <w:p>
      <w:pPr>
        <w:ind w:left="440" w:right="440" w:hanging="432"/>
        <w:spacing w:after="0" w:line="275" w:lineRule="auto"/>
        <w:tabs>
          <w:tab w:leader="none" w:pos="43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dollar range of equity securities beneficially owned is based on the closing price for our Common Shares of $32.88 on May 21, 2021 on the Nasdaq Global Market. Beneficial ownership has been determined in accordance with Rule 13d-3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jc w:val="center"/>
        <w:ind w:left="340"/>
        <w:spacing w:after="0" w:line="266" w:lineRule="auto"/>
        <w:rPr>
          <w:sz w:val="20"/>
          <w:szCs w:val="20"/>
          <w:color w:val="auto"/>
        </w:rPr>
      </w:pPr>
      <w:r>
        <w:rPr>
          <w:rFonts w:ascii="Arial" w:cs="Arial" w:eastAsia="Arial" w:hAnsi="Arial"/>
          <w:sz w:val="18"/>
          <w:szCs w:val="18"/>
          <w:b w:val="1"/>
          <w:bCs w:val="1"/>
          <w:color w:val="auto"/>
        </w:rPr>
        <w:t>PROPOSAL 1 — AUTHORIZATION FOR THE COMPANY TO SELL ITS COMMON STOCK, PAR VALUE $0.02 PER SHARE, (“COMMON SHARES”) AT A PRICE BELOW THE COMPANY’S THEN CURRENT NET ASSET VALUE PER SHARE IN ONE OR MULTIPLE OFFERINGS (SUBJECT TO CERTAIN CONDITIONS SET FORTH IN THIS PROPOSAL)</w:t>
      </w:r>
    </w:p>
    <w:p>
      <w:pPr>
        <w:spacing w:after="0" w:line="18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Under the 1940 Act, the Company, as a business development company (“BDC”), may not sell its Common Shares at a price below its then current net asset value (“NAV”), exclusive of sales compensation, unless its shareholders approve such a sale and the Board of Directors makes certain determinations. The Company is seeking authorization of its shareholders so that it may, in one or multiple public or private offerings, sell or otherwise issue Common Shares at a price below its then-current NAV, subject to certain conditions discussed below. The Board of Directors believes that having the flexibility to sell its Common Shares below NAV in certain instances is in the best interests of shareholders.</w:t>
      </w:r>
    </w:p>
    <w:p>
      <w:pPr>
        <w:spacing w:after="0" w:line="17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While the Company has been able to access the capital necessary to finance its investment activities, capital may not be available to it on favorable terms, or at all, in light of the inherent uncertainty and volatility of the financial markets, which uncertainty and volatility has been highlighted by the COVID-19 pandemic. To capitalize on investment opportunities as they arise, the Company needs to be able to maintain consistent access to capital. Flexibility to sell Common Shares below NAV may provide the Company with better access to the capital markets as attractive investment opportunities arise, and improve its ability to grow over time and pay dividends to shareholders. Accordingly, even when the Company’s Common Shares trade at a market price below NAV, this Proposal 1 would permit it to offer and sell its Common Shares in accordance with pricing standards that market conditions generally require, subject to the conditions described below in connection with any offering undertaken pursuant to this Proposal 1. If approved, as required under the 1940 Act, the authorization would be effective for securities sold during a period beginning on the date of such shareholder approval and expiring on the earlier of the one year anniversary of the date of the Meeting, or the date of the Company’s 2022 Annual Meeting of Shareholders.</w:t>
      </w:r>
    </w:p>
    <w:p>
      <w:pPr>
        <w:spacing w:after="0" w:line="16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has no immediate plans to sell its Common Shares below NAV. However, the Company is seeking shareholder approval for multiple such offerings in order to maintain access to the markets if the Board of Directors determines that the Company should sell Common Shares below NAV. These sales typically must be undertaken quickly. The final terms of any such sale will be determined by the Board of Directors at the time of sale, and it is impracticable to describe the transaction or transactions in which the Company’s Common Shares would be sold at a price below NAV. Instead, any transaction where the Company sells such Common Shares, including the nature and amount of consideration that the Company would receive at the time of sale and the use of any such consideration, will be reviewed and approved by the Board of Directors at the time of sale.</w:t>
      </w:r>
    </w:p>
    <w:p>
      <w:pPr>
        <w:spacing w:after="0" w:line="160" w:lineRule="exact"/>
        <w:rPr>
          <w:sz w:val="20"/>
          <w:szCs w:val="20"/>
          <w:color w:val="auto"/>
        </w:rPr>
      </w:pPr>
    </w:p>
    <w:p>
      <w:pPr>
        <w:ind w:right="220" w:firstLine="324"/>
        <w:spacing w:after="0" w:line="303" w:lineRule="auto"/>
        <w:rPr>
          <w:sz w:val="20"/>
          <w:szCs w:val="20"/>
          <w:color w:val="auto"/>
        </w:rPr>
      </w:pPr>
      <w:r>
        <w:rPr>
          <w:rFonts w:ascii="Arial" w:cs="Arial" w:eastAsia="Arial" w:hAnsi="Arial"/>
          <w:sz w:val="16"/>
          <w:szCs w:val="16"/>
          <w:b w:val="1"/>
          <w:bCs w:val="1"/>
          <w:u w:val="single" w:color="auto"/>
          <w:color w:val="auto"/>
        </w:rPr>
        <w:t>Subject to the condition that the cumulative number of Common Shares issued and sold pursuant to such authority does not exceed 20% of the Company’s then outstanding Common Shares immediately prior to each such sale, there will be no limit on the percentage below NAV at which the Company’s Common Shares may be sold in an offering by the Company under this Proposal 1</w:t>
      </w:r>
      <w:r>
        <w:rPr>
          <w:rFonts w:ascii="Arial" w:cs="Arial" w:eastAsia="Arial" w:hAnsi="Arial"/>
          <w:sz w:val="16"/>
          <w:szCs w:val="16"/>
          <w:b w:val="1"/>
          <w:bCs w:val="1"/>
          <w:color w:val="auto"/>
        </w:rPr>
        <w:t xml:space="preserve">. </w:t>
      </w:r>
      <w:r>
        <w:rPr>
          <w:rFonts w:ascii="Arial" w:cs="Arial" w:eastAsia="Arial" w:hAnsi="Arial"/>
          <w:sz w:val="16"/>
          <w:szCs w:val="16"/>
          <w:color w:val="auto"/>
        </w:rPr>
        <w:t>If Proposal 1 is approved, no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authorization from the shareholders will be solicited prior to any such sale in accordance with the terms of Proposal 1.</w:t>
      </w:r>
    </w:p>
    <w:p>
      <w:pPr>
        <w:spacing w:after="0" w:line="151" w:lineRule="exact"/>
        <w:rPr>
          <w:sz w:val="20"/>
          <w:szCs w:val="20"/>
          <w:color w:val="auto"/>
        </w:rPr>
      </w:pPr>
    </w:p>
    <w:p>
      <w:pPr>
        <w:ind w:right="280" w:firstLine="324"/>
        <w:spacing w:after="0" w:line="281" w:lineRule="auto"/>
        <w:rPr>
          <w:sz w:val="20"/>
          <w:szCs w:val="20"/>
          <w:color w:val="auto"/>
        </w:rPr>
      </w:pPr>
      <w:r>
        <w:rPr>
          <w:rFonts w:ascii="Arial" w:cs="Arial" w:eastAsia="Arial" w:hAnsi="Arial"/>
          <w:sz w:val="17"/>
          <w:szCs w:val="17"/>
          <w:b w:val="1"/>
          <w:bCs w:val="1"/>
          <w:color w:val="auto"/>
        </w:rPr>
        <w:t>THE BOARD OF DIRECTORS BELIEVES THAT A VOTE “FOR” PROPOSAL 1 TO AUTHORIZE THE COMPANY TO SELL ITS COMMON SHARES AT A PRICE OR PRICES BELOW THE COMPANY’S THEN CURRENT NET ASSET VALUE PER SHARE IN ONE OR MULTIPLE OFFERINGS, SUBJECT TO CERTAIN LIMITATIONS DESCRIBED IN THIS PROXY STATEMENT, AS DESCRIBED HEREIN IS IN THE BEST INTERESTS OF THE COMPANY’S SHAREHOLDERS AND RECOMMENDS A VOTE “FOR”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41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Conditions for Sales below NAV</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BDC’s ability to issue shares of its common stock at a price below NAV is governed by the 1940 Act. If shareholders approve this Proposal 1,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will only sell Company Shares at a price below NAV if the following conditions are met:</w:t>
      </w:r>
    </w:p>
    <w:p>
      <w:pPr>
        <w:spacing w:after="0" w:line="238" w:lineRule="exact"/>
        <w:rPr>
          <w:sz w:val="20"/>
          <w:szCs w:val="20"/>
          <w:color w:val="auto"/>
        </w:rPr>
      </w:pPr>
    </w:p>
    <w:p>
      <w:pPr>
        <w:ind w:left="660" w:right="32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majority of the Company’s directors who are not “interested persons” of the Company as defined in the 1940 Act, and who have no financial interest in the sale, shall have approved the sale and determined that it is in the best interests of the Company and its shareholders;</w:t>
      </w:r>
    </w:p>
    <w:p>
      <w:pPr>
        <w:spacing w:after="0" w:line="150" w:lineRule="exact"/>
        <w:rPr>
          <w:rFonts w:ascii="Arial" w:cs="Arial" w:eastAsia="Arial" w:hAnsi="Arial"/>
          <w:sz w:val="16"/>
          <w:szCs w:val="16"/>
          <w:color w:val="auto"/>
        </w:rPr>
      </w:pPr>
    </w:p>
    <w:p>
      <w:pPr>
        <w:ind w:left="660" w:right="6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majority of such directors, who are not interested persons of the Company, in consultation with the underwriter or underwriters of the offering if it is to be underwritten, have determined in good faith, and as of a time immediately prior to the first solicitation by or on behalf of the Company of firm commitments to purchase such securities or immediately prior to the issuance of such securities, that the price at which such securities are to be sold is not less than a price which closely approximates the market value of those securities, less any underwriting commission or discount; and the cumulative number of shares issued and sold does not exceed 20% of the Company’s then outstanding Common Shares immediately prior to each such 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Approval</w:t>
      </w:r>
    </w:p>
    <w:p>
      <w:pPr>
        <w:spacing w:after="0" w:line="229"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On May 25, 2021, the Board of Directors, including a majority of the non-interested directors who have no financial interest in Proposal 1, approved Proposal 1 as in the best interests of the Company and its shareholders and is recommending that the Company’s shareholders vote in favor of this Proposal 1 to offer and sell the Company’s Common Shares at prices that may be less than NAV. In evaluating Proposal 1, the Company’s Board of Directors, including the non-interested directors, considered and evaluated factors including the following, as discussed more fully below:</w:t>
      </w:r>
    </w:p>
    <w:p>
      <w:pPr>
        <w:spacing w:after="0" w:line="15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long-term benefits to the Company’s shareholders;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dilution to the Company’s NAV;</w:t>
      </w:r>
    </w:p>
    <w:p>
      <w:pPr>
        <w:spacing w:after="0" w:line="117"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benefits of a Common Share offering below NAV compared to other possible means for raising capital or concluding not to raise capital;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of a Common Share offering in relation to the number of Common Shares outstanding;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Prior to approving this Proposal 1, the Board of Directors met to consider and evaluate material that the Company’s management provided on the merits of the Company possibly raising additional capital and the merits of publicly offering Common Shares at a price below NAV. The Board of Directors considered the objectives of a possible offering, the mechanics of an offering, establishing size parameters for an offering, the possible effects of dilution, Common Shares trading volume, and other matters, including that the Company’s Common Shares generally have not traded below NAV in recent years until the current COVID-19 impact on the capital markets. The Board of Directors evaluated a full range of offering sizes. However, the Board of Directors has not yet drawn any definite conclusions regarding the size of the any contemplated capital raises at this time, to the extent the Company’s Common Shares may trade below NAV. In determining whether or not to offer and sell Common Shares, including below NAV, the Board of Directors has a duty to act in the Company’s best interests of its shareholders and must comply with the other requirements of the 1940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1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Reasons to Offer Common Shares Below NAV</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Company’s Board of Directors believes that having the flexibility for the Company to sell its Common Shares below NAV in certain instances is in the Company’s best interests and the best interests of its shareholders. Such flexibility will enhance the Company’s ability to expand its business finance platform. If the Company is unable to access the capital markets when attractive investment opportunities arise, the Company’s ability to grow over time and to continue to pay dividends to shareholders could be adversely affected. In reaching that conclusion, the Board of Directors considered the following possible benefits to its shareholders: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Current Market Conditions May Create Attractive Opportunities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Current market opportunities may create favorable opportunities to invest, including opportunities that, all else being equal, may increase the Company’s NAV over the longer-term, even if financed with the issuance of Common Shares below NAV. For example, the novel coronavirus (“COVID-19”) pandemic has had, and may continue to have, a material adverse impact on the global economy, including the United States, as cross border commercial activity and market sentiment have been negatively impacted by the pandemic and government and other measures seeking to contain its spread. The Company believes that favorable investment opportunities to invest at attractive risk-adjusted returns may be created during this volatile period and during other periods of disruption and volatility. Shareholder approval of this Proposal 1, subject to the conditions detailed below, may provide the Company with the flexibility to expand its business finance platform and invest in the attractive opportunities it believes are presented by current market conditions.</w:t>
      </w:r>
    </w:p>
    <w:p>
      <w:pPr>
        <w:spacing w:after="0" w:line="19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Current market conditions also have beneficial effects for capital providers, including reduced competition, more favorable pricing of credit risk, more conservative capital structures and more creditor-friendly contractual terms. Despite actions of the United States federal government and foreign governments, the uncertainty surrounding the COVID-19 pandemic and other factors have contributed to significant volatility and declines in global public equity markets and global debt capital markets. BDCs as an industry have been trading below NAV. Periods of market disruption and instability may adversely affect the Company’s access to sufficient debt and equity capital in order to take advantage of attractive investment opportunities. Accordingly, the Company believes that it could benefit from access to capital in this credit market and that the current environment should provide attractive investment opportunities. The Company’s ability to take advantage of these opportunities will depend upon its continued access to capital.</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Greater Investment Opportunities Due to Larger Capital Resources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Board of Directors believes that additional capital raised through an offering of Common Shares may help it generate additional deal flow. Based on discussions with management, the Board of Directors believes that greater deal flow, which may be achieved with more capital, may enable the Company to be a more significant participant in the private debt and equity markets and to compete more effectively for attractive investment opportunities. Management has represented to the Board of Directors that such investment opportunities may be funded with proceeds of future offerings of Common Shares. However, management has not identified specific companies in which to invest the proceeds of an offering given that specific investment opportunities will change depending on the timing of any offering.</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Higher Market Capitalization and Liquidity May Make the Company’s Common Shares More Attractive to Investors</w:t>
      </w:r>
    </w:p>
    <w:p>
      <w:pPr>
        <w:spacing w:after="0" w:line="2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If the Company issues Common Shares, its market capitalization and the amount of its publicly-tradable Common Shares will increase, which may afford all holders of its Common Shares greater liquidity. A larger market capitalization may make the Common Shares more attractive to a larger number of investors who have limitations of the size of companies in which they invest. Furthermore, a larger number of Common Shares outstanding may increase the Common Shares trading volume, which could decrease the volatility in the secondary market price of its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417" w:right="35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b w:val="1"/>
          <w:bCs w:val="1"/>
          <w:i w:val="1"/>
          <w:iCs w:val="1"/>
          <w:color w:val="auto"/>
        </w:rPr>
        <w:t>Initiation and Possible Increase of Dividends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larger and more diversified portfolio could provide the Company with more consistent cash flow, which may support the growth of its dividend.</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Reduced Expenses Per Share</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An offering that increases the Company’s total assets may reduce its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Status as a BDC and RIC and Maintaining a Favorable Debt-to-Equity Ratio</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a BDC, and as a Company that has elected to be treated as a RIC for tax purposes beginning with its tax year ended December 31, 2015, the Company is dependent on its ability to raise capital through the sale of Common Shares. RICs generally must distribute substantially all of their earnings from dividends, interest and short-term gains to shareholders as dividends in order to achieve tax treatment as a RIC, which prevents the Company from using those earnings to support new investments. Further, BDCs generally must maintain a debt to equity ratio of less than 1:1, which currently requires the Company to finance its investments with at least as much equity as debt, in the aggregate. On July 26, 2018, the Company’s shareholders approved a proposal that permits the Company to be subject to a debt to equity ratio of 2:1, effective July 27, 2018.</w:t>
      </w:r>
    </w:p>
    <w:p>
      <w:pPr>
        <w:spacing w:after="0" w:line="17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Exceeding the applicable debt to equity ratio could have negative consequences for the Company, including the inability to pay dividends, breach of covenants and failure to qualify for tax treatment as a RIC. Volatility in capital markets could continue to adversely impact the valuations of assets and create unrealized losses across the BDC industry. Any write downs in value, as well as unrealized losses based on the underlying performance of the Company’s portfolio companies will negatively impact stockholders’ equity and the resulting debt to equity ratio. Issuing additional equity would allow the Company to realign its debt to equity ratio and avoid these negative consequences.</w:t>
      </w:r>
    </w:p>
    <w:p>
      <w:pPr>
        <w:spacing w:after="0" w:line="17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To continue to build the Company’s investment portfolio, and thereby support maintenance and growth of the Company’s dividends, the Company endeavors to maintain consistent access to capital through the public and private equity markets to enable it to take advantage of investment opportunities as they arise.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Trading History</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Shares of BDCs may trade at a market price that is less than the value of the net assets attributable to those shares. The possibility that the Company’s Common Shares will trade at a discount from NAV, or at premiums that are unsustainable over the long term, are separate and distinct from the risk that the Company’s NAV will decrease. The Company’s Common Shares have traded at a price both above and below their NAV since they began trading on the Nasdaq Global Market. It is not possible to predict whether the Company’s Common Shares will trade at, above, or below NAV. The following table sets forth, for the two most recent fiscal years and the current fiscal year, the range of high and low sales prices of the Company’s Common Shares as reported on the Nasdaq Global Market, the Company’s NAV per share, the premium (discount) of high sales price to NAV and the premium (discount) of low sales price to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421" w:right="379" w:bottom="1440" w:gutter="0" w:footer="0" w:header="0"/>
        </w:sectPr>
      </w:pPr>
    </w:p>
    <w:bookmarkStart w:id="14" w:name="page15"/>
    <w:bookmarkEnd w:id="14"/>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rPr>
              <w:t>Premium (Discount)</w:t>
            </w:r>
          </w:p>
        </w:tc>
        <w:tc>
          <w:tcPr>
            <w:tcW w:w="1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Premium (Discount)</w:t>
            </w:r>
          </w:p>
        </w:tc>
        <w:tc>
          <w:tcPr>
            <w:tcW w:w="0" w:type="dxa"/>
            <w:vAlign w:val="bottom"/>
          </w:tcPr>
          <w:p>
            <w:pPr>
              <w:spacing w:after="0"/>
              <w:rPr>
                <w:sz w:val="1"/>
                <w:szCs w:val="1"/>
                <w:color w:val="auto"/>
              </w:rPr>
            </w:pPr>
          </w:p>
        </w:tc>
      </w:tr>
      <w:tr>
        <w:trPr>
          <w:trHeight w:val="94"/>
        </w:trPr>
        <w:tc>
          <w:tcPr>
            <w:tcW w:w="3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of High Sales Price to</w:t>
            </w:r>
          </w:p>
        </w:tc>
        <w:tc>
          <w:tcPr>
            <w:tcW w:w="1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gridSpan w:val="4"/>
            <w:vMerge w:val="restart"/>
          </w:tcPr>
          <w:p>
            <w:pPr>
              <w:jc w:val="right"/>
              <w:ind w:right="450"/>
              <w:spacing w:after="0"/>
              <w:rPr>
                <w:sz w:val="20"/>
                <w:szCs w:val="20"/>
                <w:color w:val="auto"/>
              </w:rPr>
            </w:pPr>
            <w:r>
              <w:rPr>
                <w:rFonts w:ascii="Arial" w:cs="Arial" w:eastAsia="Arial" w:hAnsi="Arial"/>
                <w:sz w:val="18"/>
                <w:szCs w:val="18"/>
                <w:b w:val="1"/>
                <w:bCs w:val="1"/>
                <w:color w:val="auto"/>
              </w:rPr>
              <w:t>Price Range</w:t>
            </w: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176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4"/>
              </w:rPr>
              <w:t>of Low Sales Price to</w:t>
            </w:r>
          </w:p>
        </w:tc>
        <w:tc>
          <w:tcPr>
            <w:tcW w:w="0" w:type="dxa"/>
            <w:vAlign w:val="bottom"/>
          </w:tcPr>
          <w:p>
            <w:pPr>
              <w:spacing w:after="0"/>
              <w:rPr>
                <w:sz w:val="1"/>
                <w:szCs w:val="1"/>
                <w:color w:val="auto"/>
              </w:rPr>
            </w:pPr>
          </w:p>
        </w:tc>
      </w:tr>
      <w:tr>
        <w:trPr>
          <w:trHeight w:val="113"/>
        </w:trPr>
        <w:tc>
          <w:tcPr>
            <w:tcW w:w="3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NAV(2)</w:t>
            </w: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High</w:t>
            </w:r>
          </w:p>
        </w:tc>
        <w:tc>
          <w:tcPr>
            <w:tcW w:w="120" w:type="dxa"/>
            <w:vAlign w:val="bottom"/>
            <w:vMerge w:val="restart"/>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340" w:type="dxa"/>
            <w:vAlign w:val="bottom"/>
          </w:tcPr>
          <w:p>
            <w:pPr>
              <w:spacing w:after="0"/>
              <w:rPr>
                <w:sz w:val="8"/>
                <w:szCs w:val="8"/>
                <w:color w:val="auto"/>
              </w:rPr>
            </w:pPr>
          </w:p>
        </w:tc>
        <w:tc>
          <w:tcPr>
            <w:tcW w:w="8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9"/>
              </w:rPr>
              <w:t>NAV(1)</w:t>
            </w:r>
          </w:p>
        </w:tc>
        <w:tc>
          <w:tcPr>
            <w:tcW w:w="16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7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NAV(2)</w:t>
            </w:r>
          </w:p>
        </w:tc>
        <w:tc>
          <w:tcPr>
            <w:tcW w:w="0" w:type="dxa"/>
            <w:vAlign w:val="bottom"/>
          </w:tcPr>
          <w:p>
            <w:pPr>
              <w:spacing w:after="0"/>
              <w:rPr>
                <w:sz w:val="1"/>
                <w:szCs w:val="1"/>
                <w:color w:val="auto"/>
              </w:rPr>
            </w:pPr>
          </w:p>
        </w:tc>
      </w:tr>
      <w:tr>
        <w:trPr>
          <w:trHeight w:val="121"/>
        </w:trPr>
        <w:tc>
          <w:tcPr>
            <w:tcW w:w="334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7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340" w:type="dxa"/>
            <w:vAlign w:val="bottom"/>
            <w:shd w:val="clear" w:color="auto" w:fill="CCEEFF"/>
          </w:tcPr>
          <w:p>
            <w:pPr>
              <w:ind w:left="140"/>
              <w:spacing w:after="0" w:line="169" w:lineRule="exact"/>
              <w:rPr>
                <w:sz w:val="20"/>
                <w:szCs w:val="20"/>
                <w:color w:val="auto"/>
              </w:rPr>
            </w:pPr>
            <w:r>
              <w:rPr>
                <w:rFonts w:ascii="Arial" w:cs="Arial" w:eastAsia="Arial" w:hAnsi="Arial"/>
                <w:sz w:val="18"/>
                <w:szCs w:val="18"/>
                <w:color w:val="auto"/>
              </w:rPr>
              <w:t>First Quarter: January 1, 2019</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90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4"/>
              </w:rPr>
              <w:t>35%</w:t>
            </w:r>
          </w:p>
        </w:tc>
        <w:tc>
          <w:tcPr>
            <w:tcW w:w="14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Through March 31, 2019</w:t>
            </w:r>
          </w:p>
        </w:tc>
        <w:tc>
          <w:tcPr>
            <w:tcW w:w="2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Second Quarter: April 1, 2019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19.70</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15.33</w:t>
            </w:r>
          </w:p>
        </w:tc>
        <w:tc>
          <w:tcPr>
            <w:tcW w:w="190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94"/>
              </w:rPr>
              <w:t>55%</w:t>
            </w:r>
          </w:p>
        </w:tc>
        <w:tc>
          <w:tcPr>
            <w:tcW w:w="14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8"/>
              </w:rPr>
              <w:t>29%</w:t>
            </w:r>
          </w:p>
        </w:tc>
        <w:tc>
          <w:tcPr>
            <w:tcW w:w="0" w:type="dxa"/>
            <w:vAlign w:val="bottom"/>
          </w:tcPr>
          <w:p>
            <w:pPr>
              <w:spacing w:after="0"/>
              <w:rPr>
                <w:sz w:val="1"/>
                <w:szCs w:val="1"/>
                <w:color w:val="auto"/>
              </w:rPr>
            </w:pPr>
          </w:p>
        </w:tc>
      </w:tr>
      <w:tr>
        <w:trPr>
          <w:trHeight w:val="229"/>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Through June 30, 2019</w:t>
            </w:r>
          </w:p>
        </w:tc>
        <w:tc>
          <w:tcPr>
            <w:tcW w:w="2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Third Quarter: July 1, 2019</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90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4"/>
              </w:rPr>
              <w:t>56%</w:t>
            </w:r>
          </w:p>
        </w:tc>
        <w:tc>
          <w:tcPr>
            <w:tcW w:w="14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31%</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Through September 30, 2019</w:t>
            </w:r>
          </w:p>
        </w:tc>
        <w:tc>
          <w:tcPr>
            <w:tcW w:w="2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Fourth Quarter: October 1, 2019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23.73</w:t>
            </w:r>
          </w:p>
        </w:tc>
        <w:tc>
          <w:tcPr>
            <w:tcW w:w="12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20.75</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15.70</w:t>
            </w:r>
          </w:p>
        </w:tc>
        <w:tc>
          <w:tcPr>
            <w:tcW w:w="190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94"/>
              </w:rPr>
              <w:t>51%</w:t>
            </w:r>
          </w:p>
        </w:tc>
        <w:tc>
          <w:tcPr>
            <w:tcW w:w="14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8"/>
              </w:rPr>
              <w:t>32%</w:t>
            </w:r>
          </w:p>
        </w:tc>
        <w:tc>
          <w:tcPr>
            <w:tcW w:w="0" w:type="dxa"/>
            <w:vAlign w:val="bottom"/>
          </w:tcPr>
          <w:p>
            <w:pPr>
              <w:spacing w:after="0"/>
              <w:rPr>
                <w:sz w:val="1"/>
                <w:szCs w:val="1"/>
                <w:color w:val="auto"/>
              </w:rPr>
            </w:pPr>
          </w:p>
        </w:tc>
      </w:tr>
      <w:tr>
        <w:trPr>
          <w:trHeight w:val="229"/>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Through December 31, 2019</w:t>
            </w:r>
          </w:p>
        </w:tc>
        <w:tc>
          <w:tcPr>
            <w:tcW w:w="2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First Quarter: January 1, 2020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90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4"/>
              </w:rPr>
              <w:t>54%</w:t>
            </w:r>
          </w:p>
        </w:tc>
        <w:tc>
          <w:tcPr>
            <w:tcW w:w="14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(49)%</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Through March 31, 2020</w:t>
            </w:r>
          </w:p>
        </w:tc>
        <w:tc>
          <w:tcPr>
            <w:tcW w:w="2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Second Quarter: April 1, 2020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9.03</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15.66</w:t>
            </w:r>
          </w:p>
        </w:tc>
        <w:tc>
          <w:tcPr>
            <w:tcW w:w="190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94"/>
              </w:rPr>
              <w:t>20%</w:t>
            </w:r>
          </w:p>
        </w:tc>
        <w:tc>
          <w:tcPr>
            <w:tcW w:w="14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1"/>
              </w:rPr>
              <w:t>(42)%</w:t>
            </w:r>
          </w:p>
        </w:tc>
        <w:tc>
          <w:tcPr>
            <w:tcW w:w="0" w:type="dxa"/>
            <w:vAlign w:val="bottom"/>
          </w:tcPr>
          <w:p>
            <w:pPr>
              <w:spacing w:after="0"/>
              <w:rPr>
                <w:sz w:val="1"/>
                <w:szCs w:val="1"/>
                <w:color w:val="auto"/>
              </w:rPr>
            </w:pPr>
          </w:p>
        </w:tc>
      </w:tr>
      <w:tr>
        <w:trPr>
          <w:trHeight w:val="229"/>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Through June 30, 2020</w:t>
            </w:r>
          </w:p>
        </w:tc>
        <w:tc>
          <w:tcPr>
            <w:tcW w:w="2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Third Quarter: July 1, 2020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90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4"/>
              </w:rPr>
              <w:t>35%</w:t>
            </w:r>
          </w:p>
        </w:tc>
        <w:tc>
          <w:tcPr>
            <w:tcW w:w="14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Through September 30, 2020</w:t>
            </w:r>
          </w:p>
        </w:tc>
        <w:tc>
          <w:tcPr>
            <w:tcW w:w="2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Fourth Quarter: October 1, 2020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16.24</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15.45</w:t>
            </w:r>
          </w:p>
        </w:tc>
        <w:tc>
          <w:tcPr>
            <w:tcW w:w="190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94"/>
              </w:rPr>
              <w:t>28%</w:t>
            </w:r>
          </w:p>
        </w:tc>
        <w:tc>
          <w:tcPr>
            <w:tcW w:w="14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29"/>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Through December 31, 2020</w:t>
            </w:r>
          </w:p>
        </w:tc>
        <w:tc>
          <w:tcPr>
            <w:tcW w:w="2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First Quarter: January 1, 2021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90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4"/>
              </w:rPr>
              <w:t>76%</w:t>
            </w:r>
          </w:p>
        </w:tc>
        <w:tc>
          <w:tcPr>
            <w:tcW w:w="14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Through March 31, 2021</w:t>
            </w:r>
          </w:p>
        </w:tc>
        <w:tc>
          <w:tcPr>
            <w:tcW w:w="2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Second Quarter: April 1, 2021</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33.55</w:t>
            </w:r>
          </w:p>
        </w:tc>
        <w:tc>
          <w:tcPr>
            <w:tcW w:w="12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26.41</w:t>
            </w:r>
          </w:p>
        </w:tc>
        <w:tc>
          <w:tcPr>
            <w:tcW w:w="3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Through May 21, 2021</w:t>
            </w:r>
          </w:p>
        </w:tc>
        <w:tc>
          <w:tcPr>
            <w:tcW w:w="20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w:t>
      </w:r>
    </w:p>
    <w:p>
      <w:pPr>
        <w:spacing w:after="0" w:line="36" w:lineRule="exact"/>
        <w:rPr>
          <w:sz w:val="20"/>
          <w:szCs w:val="20"/>
          <w:color w:val="auto"/>
        </w:rPr>
      </w:pPr>
    </w:p>
    <w:p>
      <w:pPr>
        <w:ind w:left="340" w:right="20" w:hanging="332"/>
        <w:spacing w:after="0" w:line="308" w:lineRule="auto"/>
        <w:tabs>
          <w:tab w:leader="none" w:pos="451" w:val="left"/>
        </w:tabs>
        <w:numPr>
          <w:ilvl w:val="0"/>
          <w:numId w:val="14"/>
        </w:numPr>
        <w:rPr>
          <w:rFonts w:ascii="Arial" w:cs="Arial" w:eastAsia="Arial" w:hAnsi="Arial"/>
          <w:sz w:val="17"/>
          <w:szCs w:val="17"/>
          <w:color w:val="auto"/>
        </w:rPr>
      </w:pPr>
      <w:r>
        <w:rPr>
          <w:rFonts w:ascii="Arial" w:cs="Arial" w:eastAsia="Arial" w:hAnsi="Arial"/>
          <w:sz w:val="17"/>
          <w:szCs w:val="17"/>
          <w:color w:val="auto"/>
        </w:rPr>
        <w:t>NAV per share is determined as of the last day in the relevant quarter and therefore may not reflect the NAV per share on the date of the high and low sales prices. The values reflect shareholders’ equity per share/NAV and are based on outstanding shares at the end of each period.</w:t>
      </w:r>
    </w:p>
    <w:p>
      <w:pPr>
        <w:spacing w:after="0" w:line="173" w:lineRule="exact"/>
        <w:rPr>
          <w:rFonts w:ascii="Arial" w:cs="Arial" w:eastAsia="Arial" w:hAnsi="Arial"/>
          <w:sz w:val="17"/>
          <w:szCs w:val="17"/>
          <w:color w:val="auto"/>
        </w:rPr>
      </w:pPr>
    </w:p>
    <w:p>
      <w:pPr>
        <w:ind w:left="340" w:right="480" w:hanging="332"/>
        <w:spacing w:after="0" w:line="277" w:lineRule="auto"/>
        <w:tabs>
          <w:tab w:leader="none" w:pos="4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as the respective high or low sales price less NAV or shareholders’ equity per share, as applicable, divided by NAV or shareholders’ equity per share, as applicable and subtracting 1.</w:t>
      </w:r>
    </w:p>
    <w:p>
      <w:pPr>
        <w:spacing w:after="0" w:line="19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determinable at time of filing.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Shareholder Considerations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Dilution</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Before voting on this Proposal 1 or giving proxies with regard to this matter, shareholders should consider the potentially dilutive effect of the issuance of the Company’s Common Shares at a price that is less than the NAV per share and the expenses associated with such issuance on the NAV per outstanding Common Shares. Any sale of Common Shares at a price below NAV would result in an immediate decrease (often called dilution) in the NAV of the Common Shares held by existing common shareholders. This dilution would include reduction in the NAV per share as a result of the issuance of shares at a price below the NAV per share and a disproportionately greater decrease in a shareholder’s interest in the earnings and assets of the Company and voting interest in the Company than the increase in the assets of the Company resulting from such issuance. </w:t>
      </w:r>
      <w:r>
        <w:rPr>
          <w:rFonts w:ascii="Arial" w:cs="Arial" w:eastAsia="Arial" w:hAnsi="Arial"/>
          <w:sz w:val="17"/>
          <w:szCs w:val="17"/>
          <w:b w:val="1"/>
          <w:bCs w:val="1"/>
          <w:u w:val="single" w:color="auto"/>
          <w:color w:val="auto"/>
        </w:rPr>
        <w:t>Subject to the condition that 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cumulative number of Common Shares issued and sold pursuant to such authority does not exceed 20% of the Company’s then outstanding Common Shares immediately prior to each such sale, there will be no limit on the percentage below NAV at which Common Shares may be sold in an offering by the Company under this Proposal 1.</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of the Company will consider the potential dilutive effect of the issuance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Shares at a price below the NAV per share and will consider again such dilutive effect when considering whether to authorize any specific issuance of Common Shares below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440" w:right="359" w:bottom="1440" w:gutter="0" w:footer="0" w:header="0"/>
        </w:sectPr>
      </w:pPr>
    </w:p>
    <w:bookmarkStart w:id="15" w:name="page16"/>
    <w:bookmarkEnd w:id="15"/>
    <w:p>
      <w:pPr>
        <w:ind w:firstLine="324"/>
        <w:spacing w:after="0" w:line="270" w:lineRule="auto"/>
        <w:rPr>
          <w:sz w:val="20"/>
          <w:szCs w:val="20"/>
          <w:color w:val="auto"/>
        </w:rPr>
      </w:pPr>
      <w:r>
        <w:rPr>
          <w:rFonts w:ascii="Arial" w:cs="Arial" w:eastAsia="Arial" w:hAnsi="Arial"/>
          <w:sz w:val="17"/>
          <w:szCs w:val="17"/>
          <w:color w:val="auto"/>
        </w:rPr>
        <w:t>In addition, shareholders should consider the risk that the approval of this Proposal 1 could cause the market price of the Company’s Common Shares to decline in anticipation of sales of its Common Shares below NAV, thus causing the Company’s Common Shares to trade at a discount to NAV. The 1940 Act establishes a connection between common share sale price and NAV because, when common shares are sold at a sale price below NAV per share, the resulting increase in the number of outstanding shares reduces NAV per share. Shareholders should also consider that they will have no subscription, preferential or preemptive rights to additional Common Shares proposed to be authorized for issuance, and thus any future issuance of Common Shares will dilute such shareholders’ holdings of Common Shares as a percentage of the Company’s Common Shares outstanding to the extent shareholders do not purchase sufficient Common Shares in the offering or otherwise to maintain their percentage interest. Further, if current shareholders of the Company do not purchase any Common Shares to maintain their percentage interest, regardless of whether such offering is above or below the then-current NAV, their voting power will be diluted.</w:t>
      </w:r>
    </w:p>
    <w:p>
      <w:pPr>
        <w:spacing w:after="0" w:line="18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precise extent of any such dilution cannot be estimated before the terms of a Common Share offering are set. As a general proposition, however, the amount of potential dilution will increase as the size of the offering increases. Another factor that will influence the amount of dilution in an offering is the amount of net proceeds that the Company receives from such offering. The Board of Directors would expect that the net proceeds to the Company will be equal to the price that investors pay per share less the amount of any underwriting discounts and commissions.</w:t>
      </w:r>
    </w:p>
    <w:p>
      <w:pPr>
        <w:spacing w:after="0" w:line="171"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As discussed above, it should be noted that the cumulative number of Common Shares issued and sold from an offering of Company’s Common Shares will not exceed 20% of the Company’s then outstanding Common Shares immediately prior to each such sale.</w:t>
      </w:r>
    </w:p>
    <w:p>
      <w:pPr>
        <w:spacing w:after="0" w:line="146"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The tables below provide hypothetical examples of the impact that an offering at a price less than NAV per share may have on the NAV per share of shareholders and investors who do and do not participate in such an offering. However, the tables below do not show, nor are they intended to show, any potential changes in market price that may occur from an offering at a price less than NAV per share and it is not possible to predict any potential market price change that may occur from such an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Existing Shareholders Who Do Not Participate in an Offering of Common Shares</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Company’s existing shareholders who do not participate in an offering below net asset value per share or who do not buy additional Common Shares in the secondary market at the same or lower price the Company obtains in the offering (after expenses and commissions) face the greatest potential risk of an immediate decrease (often called dilution) in the net asset value of the Common Shares they hold and their net asset value per share. These shareholders will experience a disproportionately greater decrease in their participation in the Company’s earnings and assets and their voting power than the increase the Company will experience in its assets, potential earning power and voting interests due to the offering. These shareholders also may experience a decline in the market price of their Common Shares, which often reflects to some degree announced or potential increases and decreases in net asset value per share. This decrease could be more pronounced as the size of the offering and level of discounts increases.</w:t>
      </w:r>
    </w:p>
    <w:p>
      <w:pPr>
        <w:spacing w:after="0" w:line="166"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following chart illustrates the level of net asset value dilution that would be experienced by a nonparticipating shareholder in three different hypothetical offerings of different sizes and levels of discount from net asset value per share. It is not possible to predict the level of market price decline that may occur.</w:t>
      </w:r>
    </w:p>
    <w:p>
      <w:pPr>
        <w:spacing w:after="0" w:line="18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examples assume that the issuer has 22,530,000 Common Shares outstanding, $903,569,000 in total assets and $536,718,000 in total liabilities. The current net asset value and net asset value per share are thus $366,851,000 and $16.28. The chart illustrates the dilutive effect on Shareholder A of (1) an offering of 1,126,500 Common Shares (5% of the outstanding Common Shares) at $15.47 per share after offering expenses and commission (a 5% discount from net asset value), (2) an offering of 2,253,000 Common Shares (10% of the outstanding Common Shares) at $14.65 per share after offering expenses and commissions (a 10% discount from net asset value), (3) an offering of 4,506,000 Common Shares (20% of the outstanding Common Shares) at $13.02 per share after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21" w:right="339" w:bottom="1440" w:gutter="0" w:footer="0" w:header="0"/>
        </w:sectPr>
      </w:pPr>
    </w:p>
    <w:bookmarkStart w:id="16" w:name="page17"/>
    <w:bookmarkEnd w:id="16"/>
    <w:p>
      <w:pPr>
        <w:ind w:right="400"/>
        <w:spacing w:after="0" w:line="277" w:lineRule="auto"/>
        <w:rPr>
          <w:sz w:val="20"/>
          <w:szCs w:val="20"/>
          <w:color w:val="auto"/>
        </w:rPr>
      </w:pPr>
      <w:r>
        <w:rPr>
          <w:rFonts w:ascii="Arial" w:cs="Arial" w:eastAsia="Arial" w:hAnsi="Arial"/>
          <w:sz w:val="18"/>
          <w:szCs w:val="18"/>
          <w:color w:val="auto"/>
        </w:rPr>
        <w:t>expenses and commissions (a 20% discount from net asset value) and (4) an offering of 4,506,000 Common Shares (20% of the outstanding Common Shares) at $0.02 per share after offering expenses and commissions (a 100% discount from net asset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3"/>
              </w:rPr>
              <w:t>Example 1</w:t>
            </w:r>
          </w:p>
        </w:tc>
        <w:tc>
          <w:tcPr>
            <w:tcW w:w="160" w:type="dxa"/>
            <w:vAlign w:val="bottom"/>
          </w:tcPr>
          <w:p>
            <w:pPr>
              <w:spacing w:after="0"/>
              <w:rPr>
                <w:sz w:val="16"/>
                <w:szCs w:val="16"/>
                <w:color w:val="auto"/>
              </w:rPr>
            </w:pPr>
          </w:p>
        </w:tc>
        <w:tc>
          <w:tcPr>
            <w:tcW w:w="20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Example 2</w:t>
            </w:r>
          </w:p>
        </w:tc>
        <w:tc>
          <w:tcPr>
            <w:tcW w:w="160" w:type="dxa"/>
            <w:vAlign w:val="bottom"/>
          </w:tcPr>
          <w:p>
            <w:pPr>
              <w:spacing w:after="0"/>
              <w:rPr>
                <w:sz w:val="16"/>
                <w:szCs w:val="16"/>
                <w:color w:val="auto"/>
              </w:rPr>
            </w:pPr>
          </w:p>
        </w:tc>
        <w:tc>
          <w:tcPr>
            <w:tcW w:w="20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3"/>
              </w:rPr>
              <w:t>Example 3</w:t>
            </w:r>
          </w:p>
        </w:tc>
        <w:tc>
          <w:tcPr>
            <w:tcW w:w="160" w:type="dxa"/>
            <w:vAlign w:val="bottom"/>
          </w:tcPr>
          <w:p>
            <w:pPr>
              <w:spacing w:after="0"/>
              <w:rPr>
                <w:sz w:val="16"/>
                <w:szCs w:val="16"/>
                <w:color w:val="auto"/>
              </w:rPr>
            </w:pPr>
          </w:p>
        </w:tc>
        <w:tc>
          <w:tcPr>
            <w:tcW w:w="196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0"/>
              </w:rPr>
              <w:t>Example 4</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5% Offering</w:t>
            </w:r>
          </w:p>
        </w:tc>
        <w:tc>
          <w:tcPr>
            <w:tcW w:w="160" w:type="dxa"/>
            <w:vAlign w:val="bottom"/>
          </w:tcPr>
          <w:p>
            <w:pPr>
              <w:spacing w:after="0"/>
              <w:rPr>
                <w:sz w:val="14"/>
                <w:szCs w:val="14"/>
                <w:color w:val="auto"/>
              </w:rPr>
            </w:pPr>
          </w:p>
        </w:tc>
        <w:tc>
          <w:tcPr>
            <w:tcW w:w="2000" w:type="dxa"/>
            <w:vAlign w:val="bottom"/>
            <w:gridSpan w:val="3"/>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10% Offering</w:t>
            </w:r>
          </w:p>
        </w:tc>
        <w:tc>
          <w:tcPr>
            <w:tcW w:w="160" w:type="dxa"/>
            <w:vAlign w:val="bottom"/>
          </w:tcPr>
          <w:p>
            <w:pPr>
              <w:spacing w:after="0"/>
              <w:rPr>
                <w:sz w:val="14"/>
                <w:szCs w:val="14"/>
                <w:color w:val="auto"/>
              </w:rPr>
            </w:pPr>
          </w:p>
        </w:tc>
        <w:tc>
          <w:tcPr>
            <w:tcW w:w="2060" w:type="dxa"/>
            <w:vAlign w:val="bottom"/>
            <w:gridSpan w:val="3"/>
          </w:tcPr>
          <w:p>
            <w:pPr>
              <w:jc w:val="center"/>
              <w:ind w:right="260"/>
              <w:spacing w:after="0" w:line="162" w:lineRule="exact"/>
              <w:rPr>
                <w:sz w:val="20"/>
                <w:szCs w:val="20"/>
                <w:color w:val="auto"/>
              </w:rPr>
            </w:pPr>
            <w:r>
              <w:rPr>
                <w:rFonts w:ascii="Arial" w:cs="Arial" w:eastAsia="Arial" w:hAnsi="Arial"/>
                <w:sz w:val="16"/>
                <w:szCs w:val="16"/>
                <w:b w:val="1"/>
                <w:bCs w:val="1"/>
                <w:color w:val="auto"/>
                <w:w w:val="97"/>
              </w:rPr>
              <w:t>20% Offering</w:t>
            </w:r>
          </w:p>
        </w:tc>
        <w:tc>
          <w:tcPr>
            <w:tcW w:w="160" w:type="dxa"/>
            <w:vAlign w:val="bottom"/>
          </w:tcPr>
          <w:p>
            <w:pPr>
              <w:spacing w:after="0"/>
              <w:rPr>
                <w:sz w:val="14"/>
                <w:szCs w:val="14"/>
                <w:color w:val="auto"/>
              </w:rPr>
            </w:pPr>
          </w:p>
        </w:tc>
        <w:tc>
          <w:tcPr>
            <w:tcW w:w="1960" w:type="dxa"/>
            <w:vAlign w:val="bottom"/>
            <w:gridSpan w:val="2"/>
          </w:tcPr>
          <w:p>
            <w:pPr>
              <w:jc w:val="center"/>
              <w:ind w:right="79"/>
              <w:spacing w:after="0" w:line="162" w:lineRule="exact"/>
              <w:rPr>
                <w:sz w:val="20"/>
                <w:szCs w:val="20"/>
                <w:color w:val="auto"/>
              </w:rPr>
            </w:pPr>
            <w:r>
              <w:rPr>
                <w:rFonts w:ascii="Arial" w:cs="Arial" w:eastAsia="Arial" w:hAnsi="Arial"/>
                <w:sz w:val="16"/>
                <w:szCs w:val="16"/>
                <w:b w:val="1"/>
                <w:bCs w:val="1"/>
                <w:color w:val="auto"/>
                <w:w w:val="97"/>
              </w:rPr>
              <w:t>20% Offering</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left="579"/>
              <w:spacing w:after="0" w:line="162" w:lineRule="exact"/>
              <w:rPr>
                <w:sz w:val="20"/>
                <w:szCs w:val="20"/>
                <w:color w:val="auto"/>
              </w:rPr>
            </w:pPr>
            <w:r>
              <w:rPr>
                <w:rFonts w:ascii="Arial" w:cs="Arial" w:eastAsia="Arial" w:hAnsi="Arial"/>
                <w:sz w:val="16"/>
                <w:szCs w:val="16"/>
                <w:b w:val="1"/>
                <w:bCs w:val="1"/>
                <w:color w:val="auto"/>
              </w:rPr>
              <w:t>at 5%</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3"/>
          </w:tcPr>
          <w:p>
            <w:pPr>
              <w:jc w:val="center"/>
              <w:ind w:right="260"/>
              <w:spacing w:after="0" w:line="162" w:lineRule="exact"/>
              <w:rPr>
                <w:sz w:val="20"/>
                <w:szCs w:val="20"/>
                <w:color w:val="auto"/>
              </w:rPr>
            </w:pPr>
            <w:r>
              <w:rPr>
                <w:rFonts w:ascii="Arial" w:cs="Arial" w:eastAsia="Arial" w:hAnsi="Arial"/>
                <w:sz w:val="16"/>
                <w:szCs w:val="16"/>
                <w:b w:val="1"/>
                <w:bCs w:val="1"/>
                <w:color w:val="auto"/>
                <w:w w:val="98"/>
              </w:rPr>
              <w:t>at 10%</w:t>
            </w:r>
          </w:p>
        </w:tc>
        <w:tc>
          <w:tcPr>
            <w:tcW w:w="160" w:type="dxa"/>
            <w:vAlign w:val="bottom"/>
          </w:tcPr>
          <w:p>
            <w:pPr>
              <w:spacing w:after="0"/>
              <w:rPr>
                <w:sz w:val="14"/>
                <w:szCs w:val="14"/>
                <w:color w:val="auto"/>
              </w:rPr>
            </w:pPr>
          </w:p>
        </w:tc>
        <w:tc>
          <w:tcPr>
            <w:tcW w:w="2060" w:type="dxa"/>
            <w:vAlign w:val="bottom"/>
            <w:gridSpan w:val="3"/>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at 20%</w:t>
            </w:r>
          </w:p>
        </w:tc>
        <w:tc>
          <w:tcPr>
            <w:tcW w:w="160" w:type="dxa"/>
            <w:vAlign w:val="bottom"/>
          </w:tcPr>
          <w:p>
            <w:pPr>
              <w:spacing w:after="0"/>
              <w:rPr>
                <w:sz w:val="14"/>
                <w:szCs w:val="14"/>
                <w:color w:val="auto"/>
              </w:rPr>
            </w:pPr>
          </w:p>
        </w:tc>
        <w:tc>
          <w:tcPr>
            <w:tcW w:w="1960" w:type="dxa"/>
            <w:vAlign w:val="bottom"/>
            <w:gridSpan w:val="2"/>
          </w:tcPr>
          <w:p>
            <w:pPr>
              <w:jc w:val="center"/>
              <w:ind w:right="79"/>
              <w:spacing w:after="0" w:line="162" w:lineRule="exact"/>
              <w:rPr>
                <w:sz w:val="20"/>
                <w:szCs w:val="20"/>
                <w:color w:val="auto"/>
              </w:rPr>
            </w:pPr>
            <w:r>
              <w:rPr>
                <w:rFonts w:ascii="Arial" w:cs="Arial" w:eastAsia="Arial" w:hAnsi="Arial"/>
                <w:sz w:val="16"/>
                <w:szCs w:val="16"/>
                <w:b w:val="1"/>
                <w:bCs w:val="1"/>
                <w:color w:val="auto"/>
              </w:rPr>
              <w:t>at 100%</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6"/>
                <w:szCs w:val="16"/>
                <w:b w:val="1"/>
                <w:bCs w:val="1"/>
                <w:color w:val="auto"/>
                <w:w w:val="90"/>
              </w:rPr>
              <w:t>Discount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w w:val="87"/>
              </w:rPr>
              <w:t>Discount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6"/>
                <w:szCs w:val="16"/>
                <w:b w:val="1"/>
                <w:bCs w:val="1"/>
                <w:color w:val="auto"/>
                <w:w w:val="90"/>
              </w:rPr>
              <w:t>Discount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w w:val="87"/>
              </w:rPr>
              <w:t>Discount</w:t>
            </w:r>
          </w:p>
        </w:tc>
        <w:tc>
          <w:tcPr>
            <w:tcW w:w="0" w:type="dxa"/>
            <w:vAlign w:val="bottom"/>
          </w:tcPr>
          <w:p>
            <w:pPr>
              <w:spacing w:after="0"/>
              <w:rPr>
                <w:sz w:val="1"/>
                <w:szCs w:val="1"/>
                <w:color w:val="auto"/>
              </w:rPr>
            </w:pPr>
          </w:p>
        </w:tc>
      </w:tr>
      <w:tr>
        <w:trPr>
          <w:trHeight w:val="148"/>
        </w:trPr>
        <w:tc>
          <w:tcPr>
            <w:tcW w:w="1360" w:type="dxa"/>
            <w:vAlign w:val="bottom"/>
            <w:gridSpan w:val="2"/>
          </w:tcPr>
          <w:p>
            <w:pPr>
              <w:ind w:left="20"/>
              <w:spacing w:after="0" w:line="148" w:lineRule="exact"/>
              <w:rPr>
                <w:sz w:val="20"/>
                <w:szCs w:val="20"/>
                <w:color w:val="auto"/>
              </w:rPr>
            </w:pPr>
            <w:r>
              <w:rPr>
                <w:rFonts w:ascii="Arial" w:cs="Arial" w:eastAsia="Arial" w:hAnsi="Arial"/>
                <w:sz w:val="16"/>
                <w:szCs w:val="16"/>
                <w:b w:val="1"/>
                <w:bCs w:val="1"/>
                <w:color w:val="auto"/>
              </w:rPr>
              <w:t>Prior to Sale</w:t>
            </w:r>
          </w:p>
        </w:tc>
        <w:tc>
          <w:tcPr>
            <w:tcW w:w="100" w:type="dxa"/>
            <w:vAlign w:val="bottom"/>
          </w:tcPr>
          <w:p>
            <w:pPr>
              <w:spacing w:after="0"/>
              <w:rPr>
                <w:sz w:val="12"/>
                <w:szCs w:val="12"/>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1"/>
              </w:rPr>
              <w:t>Prior to Sale</w:t>
            </w:r>
          </w:p>
        </w:tc>
        <w:tc>
          <w:tcPr>
            <w:tcW w:w="100" w:type="dxa"/>
            <w:vAlign w:val="bottom"/>
            <w:vMerge w:val="restart"/>
          </w:tcPr>
          <w:p>
            <w:pPr>
              <w:spacing w:after="0"/>
              <w:rPr>
                <w:sz w:val="12"/>
                <w:szCs w:val="12"/>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Following Sale</w:t>
            </w:r>
          </w:p>
        </w:tc>
        <w:tc>
          <w:tcPr>
            <w:tcW w:w="1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 Change</w:t>
            </w:r>
          </w:p>
        </w:tc>
        <w:tc>
          <w:tcPr>
            <w:tcW w:w="80" w:type="dxa"/>
            <w:vAlign w:val="bottom"/>
            <w:vMerge w:val="restart"/>
          </w:tcPr>
          <w:p>
            <w:pPr>
              <w:spacing w:after="0"/>
              <w:rPr>
                <w:sz w:val="12"/>
                <w:szCs w:val="12"/>
                <w:color w:val="auto"/>
              </w:rPr>
            </w:pPr>
          </w:p>
        </w:tc>
        <w:tc>
          <w:tcPr>
            <w:tcW w:w="120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w w:val="94"/>
              </w:rPr>
              <w:t>Following Sale</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Change</w:t>
            </w:r>
          </w:p>
        </w:tc>
        <w:tc>
          <w:tcPr>
            <w:tcW w:w="80" w:type="dxa"/>
            <w:vAlign w:val="bottom"/>
            <w:vMerge w:val="restart"/>
          </w:tcPr>
          <w:p>
            <w:pPr>
              <w:spacing w:after="0"/>
              <w:rPr>
                <w:sz w:val="12"/>
                <w:szCs w:val="12"/>
                <w:color w:val="auto"/>
              </w:rPr>
            </w:pPr>
          </w:p>
        </w:tc>
        <w:tc>
          <w:tcPr>
            <w:tcW w:w="122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w w:val="94"/>
              </w:rPr>
              <w:t>Following Sale</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Change</w:t>
            </w:r>
          </w:p>
        </w:tc>
        <w:tc>
          <w:tcPr>
            <w:tcW w:w="100" w:type="dxa"/>
            <w:vAlign w:val="bottom"/>
            <w:vMerge w:val="restart"/>
          </w:tcPr>
          <w:p>
            <w:pPr>
              <w:spacing w:after="0"/>
              <w:rPr>
                <w:sz w:val="12"/>
                <w:szCs w:val="12"/>
                <w:color w:val="auto"/>
              </w:rPr>
            </w:pPr>
          </w:p>
        </w:tc>
        <w:tc>
          <w:tcPr>
            <w:tcW w:w="122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w w:val="94"/>
              </w:rPr>
              <w:t>Following Sale</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Below NAV</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Offering Price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6"/>
                <w:szCs w:val="16"/>
                <w:color w:val="auto"/>
                <w:w w:val="99"/>
              </w:rPr>
              <w:t>Price per Share to</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15.42</w:t>
            </w:r>
          </w:p>
        </w:tc>
        <w:tc>
          <w:tcPr>
            <w:tcW w:w="960" w:type="dxa"/>
            <w:vAlign w:val="bottom"/>
            <w:gridSpan w:val="2"/>
            <w:vMerge w:val="restart"/>
            <w:shd w:val="clear" w:color="auto" w:fill="CCEEFF"/>
          </w:tcPr>
          <w:p>
            <w:pPr>
              <w:jc w:val="center"/>
              <w:ind w:left="11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13.71</w:t>
            </w:r>
          </w:p>
        </w:tc>
        <w:tc>
          <w:tcPr>
            <w:tcW w:w="1000" w:type="dxa"/>
            <w:vAlign w:val="bottom"/>
            <w:gridSpan w:val="2"/>
            <w:vMerge w:val="restart"/>
            <w:shd w:val="clear" w:color="auto" w:fill="CCEEFF"/>
          </w:tcPr>
          <w:p>
            <w:pPr>
              <w:jc w:val="center"/>
              <w:ind w:left="15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0.02</w:t>
            </w:r>
          </w:p>
        </w:tc>
        <w:tc>
          <w:tcPr>
            <w:tcW w:w="9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Public</w:t>
            </w: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360" w:type="dxa"/>
            <w:vAlign w:val="bottom"/>
            <w:gridSpan w:val="2"/>
          </w:tcPr>
          <w:p>
            <w:pPr>
              <w:ind w:left="60"/>
              <w:spacing w:after="0" w:line="166" w:lineRule="exact"/>
              <w:rPr>
                <w:sz w:val="20"/>
                <w:szCs w:val="20"/>
                <w:color w:val="auto"/>
              </w:rPr>
            </w:pPr>
            <w:r>
              <w:rPr>
                <w:rFonts w:ascii="Arial" w:cs="Arial" w:eastAsia="Arial" w:hAnsi="Arial"/>
                <w:sz w:val="16"/>
                <w:szCs w:val="16"/>
                <w:color w:val="auto"/>
              </w:rPr>
              <w:t>Net Proceeds per</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119"/>
              <w:spacing w:after="0"/>
              <w:rPr>
                <w:sz w:val="20"/>
                <w:szCs w:val="20"/>
                <w:color w:val="auto"/>
              </w:rPr>
            </w:pPr>
            <w:r>
              <w:rPr>
                <w:rFonts w:ascii="Arial" w:cs="Arial" w:eastAsia="Arial" w:hAnsi="Arial"/>
                <w:sz w:val="16"/>
                <w:szCs w:val="16"/>
                <w:color w:val="auto"/>
              </w:rPr>
              <w:t>15.47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199"/>
              <w:spacing w:after="0"/>
              <w:rPr>
                <w:sz w:val="20"/>
                <w:szCs w:val="20"/>
                <w:color w:val="auto"/>
              </w:rPr>
            </w:pPr>
            <w:r>
              <w:rPr>
                <w:rFonts w:ascii="Arial" w:cs="Arial" w:eastAsia="Arial" w:hAnsi="Arial"/>
                <w:sz w:val="16"/>
                <w:szCs w:val="16"/>
                <w:color w:val="auto"/>
              </w:rPr>
              <w:t>14.65</w:t>
            </w:r>
          </w:p>
        </w:tc>
        <w:tc>
          <w:tcPr>
            <w:tcW w:w="960" w:type="dxa"/>
            <w:vAlign w:val="bottom"/>
            <w:gridSpan w:val="2"/>
            <w:vMerge w:val="restart"/>
          </w:tcPr>
          <w:p>
            <w:pPr>
              <w:jc w:val="center"/>
              <w:ind w:left="11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199"/>
              <w:spacing w:after="0"/>
              <w:rPr>
                <w:sz w:val="20"/>
                <w:szCs w:val="20"/>
                <w:color w:val="auto"/>
              </w:rPr>
            </w:pPr>
            <w:r>
              <w:rPr>
                <w:rFonts w:ascii="Arial" w:cs="Arial" w:eastAsia="Arial" w:hAnsi="Arial"/>
                <w:sz w:val="16"/>
                <w:szCs w:val="16"/>
                <w:color w:val="auto"/>
              </w:rPr>
              <w:t>13.02</w:t>
            </w:r>
          </w:p>
        </w:tc>
        <w:tc>
          <w:tcPr>
            <w:tcW w:w="1000" w:type="dxa"/>
            <w:vAlign w:val="bottom"/>
            <w:gridSpan w:val="2"/>
            <w:vMerge w:val="restart"/>
          </w:tcPr>
          <w:p>
            <w:pPr>
              <w:jc w:val="center"/>
              <w:ind w:left="15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199"/>
              <w:spacing w:after="0"/>
              <w:rPr>
                <w:sz w:val="20"/>
                <w:szCs w:val="20"/>
                <w:color w:val="auto"/>
              </w:rPr>
            </w:pPr>
            <w:r>
              <w:rPr>
                <w:rFonts w:ascii="Arial" w:cs="Arial" w:eastAsia="Arial" w:hAnsi="Arial"/>
                <w:sz w:val="16"/>
                <w:szCs w:val="16"/>
                <w:color w:val="auto"/>
              </w:rPr>
              <w:t>0.02</w:t>
            </w: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360" w:type="dxa"/>
            <w:vAlign w:val="bottom"/>
            <w:gridSpan w:val="2"/>
          </w:tcPr>
          <w:p>
            <w:pPr>
              <w:ind w:left="60"/>
              <w:spacing w:after="0"/>
              <w:rPr>
                <w:sz w:val="20"/>
                <w:szCs w:val="20"/>
                <w:color w:val="auto"/>
              </w:rPr>
            </w:pPr>
            <w:r>
              <w:rPr>
                <w:rFonts w:ascii="Arial" w:cs="Arial" w:eastAsia="Arial" w:hAnsi="Arial"/>
                <w:sz w:val="16"/>
                <w:szCs w:val="16"/>
                <w:color w:val="auto"/>
              </w:rPr>
              <w:t>Share to Issuer</w:t>
            </w: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6"/>
                <w:szCs w:val="16"/>
                <w:b w:val="1"/>
                <w:bCs w:val="1"/>
                <w:i w:val="1"/>
                <w:iCs w:val="1"/>
                <w:color w:val="auto"/>
              </w:rPr>
              <w:t>Decrease to Net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6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i w:val="1"/>
                <w:iCs w:val="1"/>
                <w:color w:val="auto"/>
              </w:rPr>
              <w:t>Asset Value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360" w:type="dxa"/>
            <w:vAlign w:val="bottom"/>
            <w:gridSpan w:val="2"/>
          </w:tcPr>
          <w:p>
            <w:pPr>
              <w:ind w:left="60"/>
              <w:spacing w:after="0" w:line="166" w:lineRule="exact"/>
              <w:rPr>
                <w:sz w:val="20"/>
                <w:szCs w:val="20"/>
                <w:color w:val="auto"/>
              </w:rPr>
            </w:pPr>
            <w:r>
              <w:rPr>
                <w:rFonts w:ascii="Arial" w:cs="Arial" w:eastAsia="Arial" w:hAnsi="Arial"/>
                <w:sz w:val="16"/>
                <w:szCs w:val="16"/>
                <w:color w:val="auto"/>
              </w:rPr>
              <w:t>Total Shares</w:t>
            </w:r>
          </w:p>
        </w:tc>
        <w:tc>
          <w:tcPr>
            <w:tcW w:w="100" w:type="dxa"/>
            <w:vAlign w:val="bottom"/>
          </w:tcPr>
          <w:p>
            <w:pPr>
              <w:spacing w:after="0"/>
              <w:rPr>
                <w:sz w:val="14"/>
                <w:szCs w:val="14"/>
                <w:color w:val="auto"/>
              </w:rPr>
            </w:pPr>
          </w:p>
        </w:tc>
        <w:tc>
          <w:tcPr>
            <w:tcW w:w="1000" w:type="dxa"/>
            <w:vAlign w:val="bottom"/>
            <w:vMerge w:val="restart"/>
          </w:tcPr>
          <w:p>
            <w:pPr>
              <w:jc w:val="right"/>
              <w:ind w:right="99"/>
              <w:spacing w:after="0"/>
              <w:rPr>
                <w:sz w:val="20"/>
                <w:szCs w:val="20"/>
                <w:color w:val="auto"/>
              </w:rPr>
            </w:pPr>
            <w:r>
              <w:rPr>
                <w:rFonts w:ascii="Arial" w:cs="Arial" w:eastAsia="Arial" w:hAnsi="Arial"/>
                <w:sz w:val="16"/>
                <w:szCs w:val="16"/>
                <w:color w:val="auto"/>
                <w:w w:val="99"/>
              </w:rPr>
              <w:t>22,530,000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119"/>
              <w:spacing w:after="0"/>
              <w:rPr>
                <w:sz w:val="20"/>
                <w:szCs w:val="20"/>
                <w:color w:val="auto"/>
              </w:rPr>
            </w:pPr>
            <w:r>
              <w:rPr>
                <w:rFonts w:ascii="Arial" w:cs="Arial" w:eastAsia="Arial" w:hAnsi="Arial"/>
                <w:sz w:val="16"/>
                <w:szCs w:val="16"/>
                <w:color w:val="auto"/>
                <w:w w:val="94"/>
              </w:rPr>
              <w:t>23,656,500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5.00 %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179"/>
              <w:spacing w:after="0"/>
              <w:rPr>
                <w:sz w:val="20"/>
                <w:szCs w:val="20"/>
                <w:color w:val="auto"/>
              </w:rPr>
            </w:pPr>
            <w:r>
              <w:rPr>
                <w:rFonts w:ascii="Arial" w:cs="Arial" w:eastAsia="Arial" w:hAnsi="Arial"/>
                <w:sz w:val="16"/>
                <w:szCs w:val="16"/>
                <w:color w:val="auto"/>
                <w:w w:val="94"/>
              </w:rPr>
              <w:t>24,783,000</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99"/>
              <w:spacing w:after="0"/>
              <w:rPr>
                <w:sz w:val="20"/>
                <w:szCs w:val="20"/>
                <w:color w:val="auto"/>
              </w:rPr>
            </w:pPr>
            <w:r>
              <w:rPr>
                <w:rFonts w:ascii="Arial" w:cs="Arial" w:eastAsia="Arial" w:hAnsi="Arial"/>
                <w:sz w:val="16"/>
                <w:szCs w:val="16"/>
                <w:color w:val="auto"/>
                <w:w w:val="94"/>
              </w:rPr>
              <w:t>27,036,000</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20.00 %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99"/>
              <w:spacing w:after="0"/>
              <w:rPr>
                <w:sz w:val="20"/>
                <w:szCs w:val="20"/>
                <w:color w:val="auto"/>
              </w:rPr>
            </w:pPr>
            <w:r>
              <w:rPr>
                <w:rFonts w:ascii="Arial" w:cs="Arial" w:eastAsia="Arial" w:hAnsi="Arial"/>
                <w:sz w:val="16"/>
                <w:szCs w:val="16"/>
                <w:color w:val="auto"/>
                <w:w w:val="94"/>
              </w:rPr>
              <w:t>27,036,000</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20.00 %</w:t>
            </w:r>
          </w:p>
        </w:tc>
        <w:tc>
          <w:tcPr>
            <w:tcW w:w="0" w:type="dxa"/>
            <w:vAlign w:val="bottom"/>
          </w:tcPr>
          <w:p>
            <w:pPr>
              <w:spacing w:after="0"/>
              <w:rPr>
                <w:sz w:val="1"/>
                <w:szCs w:val="1"/>
                <w:color w:val="auto"/>
              </w:rPr>
            </w:pPr>
          </w:p>
        </w:tc>
      </w:tr>
      <w:tr>
        <w:trPr>
          <w:trHeight w:val="209"/>
        </w:trPr>
        <w:tc>
          <w:tcPr>
            <w:tcW w:w="1360" w:type="dxa"/>
            <w:vAlign w:val="bottom"/>
            <w:gridSpan w:val="2"/>
          </w:tcPr>
          <w:p>
            <w:pPr>
              <w:ind w:left="60"/>
              <w:spacing w:after="0"/>
              <w:rPr>
                <w:sz w:val="20"/>
                <w:szCs w:val="20"/>
                <w:color w:val="auto"/>
              </w:rPr>
            </w:pPr>
            <w:r>
              <w:rPr>
                <w:rFonts w:ascii="Arial" w:cs="Arial" w:eastAsia="Arial" w:hAnsi="Arial"/>
                <w:sz w:val="16"/>
                <w:szCs w:val="16"/>
                <w:color w:val="auto"/>
              </w:rPr>
              <w:t>Outstanding</w:t>
            </w: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6"/>
                <w:szCs w:val="16"/>
                <w:color w:val="auto"/>
              </w:rPr>
              <w:t>Net Asset Value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16.24</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center"/>
              <w:ind w:left="139"/>
              <w:spacing w:after="0"/>
              <w:rPr>
                <w:sz w:val="20"/>
                <w:szCs w:val="20"/>
                <w:color w:val="auto"/>
              </w:rPr>
            </w:pPr>
            <w:r>
              <w:rPr>
                <w:rFonts w:ascii="Arial" w:cs="Arial" w:eastAsia="Arial" w:hAnsi="Arial"/>
                <w:sz w:val="16"/>
                <w:szCs w:val="16"/>
                <w:color w:val="auto"/>
                <w:w w:val="96"/>
              </w:rPr>
              <w:t>(0.22)%</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16.13</w:t>
            </w:r>
          </w:p>
        </w:tc>
        <w:tc>
          <w:tcPr>
            <w:tcW w:w="880" w:type="dxa"/>
            <w:vAlign w:val="bottom"/>
            <w:vMerge w:val="restart"/>
            <w:shd w:val="clear" w:color="auto" w:fill="CCEEFF"/>
          </w:tcPr>
          <w:p>
            <w:pPr>
              <w:jc w:val="center"/>
              <w:ind w:left="219"/>
              <w:spacing w:after="0"/>
              <w:rPr>
                <w:sz w:val="20"/>
                <w:szCs w:val="20"/>
                <w:color w:val="auto"/>
              </w:rPr>
            </w:pPr>
            <w:r>
              <w:rPr>
                <w:rFonts w:ascii="Arial" w:cs="Arial" w:eastAsia="Arial" w:hAnsi="Arial"/>
                <w:sz w:val="16"/>
                <w:szCs w:val="16"/>
                <w:color w:val="auto"/>
                <w:w w:val="96"/>
              </w:rPr>
              <w:t>(0.89)%</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15.74</w:t>
            </w:r>
          </w:p>
        </w:tc>
        <w:tc>
          <w:tcPr>
            <w:tcW w:w="900" w:type="dxa"/>
            <w:vAlign w:val="bottom"/>
            <w:vMerge w:val="restart"/>
            <w:shd w:val="clear" w:color="auto" w:fill="CCEEFF"/>
          </w:tcPr>
          <w:p>
            <w:pPr>
              <w:jc w:val="center"/>
              <w:ind w:left="259"/>
              <w:spacing w:after="0"/>
              <w:rPr>
                <w:sz w:val="20"/>
                <w:szCs w:val="20"/>
                <w:color w:val="auto"/>
              </w:rPr>
            </w:pPr>
            <w:r>
              <w:rPr>
                <w:rFonts w:ascii="Arial" w:cs="Arial" w:eastAsia="Arial" w:hAnsi="Arial"/>
                <w:sz w:val="16"/>
                <w:szCs w:val="16"/>
                <w:color w:val="auto"/>
                <w:w w:val="92"/>
              </w:rPr>
              <w:t>(3.32)%</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13.57</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212"/>
        </w:trPr>
        <w:tc>
          <w:tcPr>
            <w:tcW w:w="1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per Share</w:t>
            </w:r>
          </w:p>
        </w:tc>
        <w:tc>
          <w:tcPr>
            <w:tcW w:w="1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360" w:type="dxa"/>
            <w:vAlign w:val="bottom"/>
            <w:gridSpan w:val="2"/>
          </w:tcPr>
          <w:p>
            <w:pPr>
              <w:ind w:left="60"/>
              <w:spacing w:after="0" w:line="166" w:lineRule="exact"/>
              <w:rPr>
                <w:sz w:val="20"/>
                <w:szCs w:val="20"/>
                <w:color w:val="auto"/>
              </w:rPr>
            </w:pPr>
            <w:r>
              <w:rPr>
                <w:rFonts w:ascii="Arial" w:cs="Arial" w:eastAsia="Arial" w:hAnsi="Arial"/>
                <w:sz w:val="16"/>
                <w:szCs w:val="16"/>
                <w:b w:val="1"/>
                <w:bCs w:val="1"/>
                <w:i w:val="1"/>
                <w:iCs w:val="1"/>
                <w:color w:val="auto"/>
              </w:rPr>
              <w:t>Dilution to Non-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Arial" w:cs="Arial" w:eastAsia="Arial" w:hAnsi="Arial"/>
                <w:sz w:val="16"/>
                <w:szCs w:val="16"/>
                <w:b w:val="1"/>
                <w:bCs w:val="1"/>
                <w:i w:val="1"/>
                <w:iCs w:val="1"/>
                <w:color w:val="auto"/>
              </w:rPr>
              <w:t>participating</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gridSpan w:val="2"/>
          </w:tcPr>
          <w:p>
            <w:pPr>
              <w:ind w:left="60"/>
              <w:spacing w:after="0"/>
              <w:rPr>
                <w:sz w:val="20"/>
                <w:szCs w:val="20"/>
                <w:color w:val="auto"/>
              </w:rPr>
            </w:pPr>
            <w:r>
              <w:rPr>
                <w:rFonts w:ascii="Arial" w:cs="Arial" w:eastAsia="Arial" w:hAnsi="Arial"/>
                <w:sz w:val="16"/>
                <w:szCs w:val="16"/>
                <w:b w:val="1"/>
                <w:bCs w:val="1"/>
                <w:i w:val="1"/>
                <w:iCs w:val="1"/>
                <w:color w:val="auto"/>
              </w:rPr>
              <w:t>Stockholder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6"/>
                <w:szCs w:val="16"/>
                <w:color w:val="auto"/>
              </w:rPr>
              <w:t>Shares Held by</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225,300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225,300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225,300</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225,300</w:t>
            </w: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225,300</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Stockholder A</w:t>
            </w: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360" w:type="dxa"/>
            <w:vAlign w:val="bottom"/>
            <w:gridSpan w:val="2"/>
          </w:tcPr>
          <w:p>
            <w:pPr>
              <w:ind w:left="60"/>
              <w:spacing w:after="0" w:line="166" w:lineRule="exact"/>
              <w:rPr>
                <w:sz w:val="20"/>
                <w:szCs w:val="20"/>
                <w:color w:val="auto"/>
              </w:rPr>
            </w:pPr>
            <w:r>
              <w:rPr>
                <w:rFonts w:ascii="Arial" w:cs="Arial" w:eastAsia="Arial" w:hAnsi="Arial"/>
                <w:sz w:val="16"/>
                <w:szCs w:val="16"/>
                <w:color w:val="auto"/>
              </w:rPr>
              <w:t>Percentage Held</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0.95 %</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restart"/>
          </w:tcPr>
          <w:p>
            <w:pPr>
              <w:jc w:val="center"/>
              <w:ind w:left="139"/>
              <w:spacing w:after="0"/>
              <w:rPr>
                <w:sz w:val="20"/>
                <w:szCs w:val="20"/>
                <w:color w:val="auto"/>
              </w:rPr>
            </w:pPr>
            <w:r>
              <w:rPr>
                <w:rFonts w:ascii="Arial" w:cs="Arial" w:eastAsia="Arial" w:hAnsi="Arial"/>
                <w:sz w:val="16"/>
                <w:szCs w:val="16"/>
                <w:color w:val="auto"/>
                <w:w w:val="96"/>
              </w:rPr>
              <w:t>(4.76)%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0.91 %</w:t>
            </w:r>
          </w:p>
        </w:tc>
        <w:tc>
          <w:tcPr>
            <w:tcW w:w="880" w:type="dxa"/>
            <w:vAlign w:val="bottom"/>
            <w:vMerge w:val="restart"/>
          </w:tcPr>
          <w:p>
            <w:pPr>
              <w:jc w:val="center"/>
              <w:ind w:left="219"/>
              <w:spacing w:after="0"/>
              <w:rPr>
                <w:sz w:val="20"/>
                <w:szCs w:val="20"/>
                <w:color w:val="auto"/>
              </w:rPr>
            </w:pPr>
            <w:r>
              <w:rPr>
                <w:rFonts w:ascii="Arial" w:cs="Arial" w:eastAsia="Arial" w:hAnsi="Arial"/>
                <w:sz w:val="16"/>
                <w:szCs w:val="16"/>
                <w:color w:val="auto"/>
                <w:w w:val="96"/>
              </w:rPr>
              <w:t>(9.09)%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0.83 %</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0.83 %</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(16.67)%</w:t>
            </w:r>
          </w:p>
        </w:tc>
        <w:tc>
          <w:tcPr>
            <w:tcW w:w="0" w:type="dxa"/>
            <w:vAlign w:val="bottom"/>
          </w:tcPr>
          <w:p>
            <w:pPr>
              <w:spacing w:after="0"/>
              <w:rPr>
                <w:sz w:val="1"/>
                <w:szCs w:val="1"/>
                <w:color w:val="auto"/>
              </w:rPr>
            </w:pPr>
          </w:p>
        </w:tc>
      </w:tr>
      <w:tr>
        <w:trPr>
          <w:trHeight w:val="209"/>
        </w:trPr>
        <w:tc>
          <w:tcPr>
            <w:tcW w:w="1360" w:type="dxa"/>
            <w:vAlign w:val="bottom"/>
            <w:gridSpan w:val="2"/>
          </w:tcPr>
          <w:p>
            <w:pPr>
              <w:ind w:left="60"/>
              <w:spacing w:after="0"/>
              <w:rPr>
                <w:sz w:val="20"/>
                <w:szCs w:val="20"/>
                <w:color w:val="auto"/>
              </w:rPr>
            </w:pPr>
            <w:r>
              <w:rPr>
                <w:rFonts w:ascii="Arial" w:cs="Arial" w:eastAsia="Arial" w:hAnsi="Arial"/>
                <w:sz w:val="16"/>
                <w:szCs w:val="16"/>
                <w:color w:val="auto"/>
              </w:rPr>
              <w:t>by Stockholder A</w:t>
            </w: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6"/>
                <w:szCs w:val="16"/>
                <w:color w:val="auto"/>
              </w:rPr>
              <w:t>Total Net Asset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Value Held by</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3,667,884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3,659,747</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center"/>
              <w:ind w:left="139"/>
              <w:spacing w:after="0"/>
              <w:rPr>
                <w:sz w:val="20"/>
                <w:szCs w:val="20"/>
                <w:color w:val="auto"/>
              </w:rPr>
            </w:pPr>
            <w:r>
              <w:rPr>
                <w:rFonts w:ascii="Arial" w:cs="Arial" w:eastAsia="Arial" w:hAnsi="Arial"/>
                <w:sz w:val="16"/>
                <w:szCs w:val="16"/>
                <w:color w:val="auto"/>
                <w:w w:val="96"/>
              </w:rPr>
              <w:t>(0.22)%</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3,635,109</w:t>
            </w:r>
          </w:p>
        </w:tc>
        <w:tc>
          <w:tcPr>
            <w:tcW w:w="880" w:type="dxa"/>
            <w:vAlign w:val="bottom"/>
            <w:vMerge w:val="restart"/>
            <w:shd w:val="clear" w:color="auto" w:fill="CCEEFF"/>
          </w:tcPr>
          <w:p>
            <w:pPr>
              <w:jc w:val="center"/>
              <w:ind w:left="219"/>
              <w:spacing w:after="0"/>
              <w:rPr>
                <w:sz w:val="20"/>
                <w:szCs w:val="20"/>
                <w:color w:val="auto"/>
              </w:rPr>
            </w:pPr>
            <w:r>
              <w:rPr>
                <w:rFonts w:ascii="Arial" w:cs="Arial" w:eastAsia="Arial" w:hAnsi="Arial"/>
                <w:sz w:val="16"/>
                <w:szCs w:val="16"/>
                <w:color w:val="auto"/>
                <w:w w:val="96"/>
              </w:rPr>
              <w:t>(0.89)%</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3,546,143</w:t>
            </w:r>
          </w:p>
        </w:tc>
        <w:tc>
          <w:tcPr>
            <w:tcW w:w="900" w:type="dxa"/>
            <w:vAlign w:val="bottom"/>
            <w:vMerge w:val="restart"/>
            <w:shd w:val="clear" w:color="auto" w:fill="CCEEFF"/>
          </w:tcPr>
          <w:p>
            <w:pPr>
              <w:jc w:val="center"/>
              <w:ind w:left="259"/>
              <w:spacing w:after="0"/>
              <w:rPr>
                <w:sz w:val="20"/>
                <w:szCs w:val="20"/>
                <w:color w:val="auto"/>
              </w:rPr>
            </w:pPr>
            <w:r>
              <w:rPr>
                <w:rFonts w:ascii="Arial" w:cs="Arial" w:eastAsia="Arial" w:hAnsi="Arial"/>
                <w:sz w:val="16"/>
                <w:szCs w:val="16"/>
                <w:color w:val="auto"/>
                <w:w w:val="92"/>
              </w:rPr>
              <w:t>(3.32)%</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3,057,843</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212"/>
        </w:trPr>
        <w:tc>
          <w:tcPr>
            <w:tcW w:w="1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Stockholder A</w:t>
            </w:r>
          </w:p>
        </w:tc>
        <w:tc>
          <w:tcPr>
            <w:tcW w:w="1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360" w:type="dxa"/>
            <w:vAlign w:val="bottom"/>
            <w:gridSpan w:val="2"/>
          </w:tcPr>
          <w:p>
            <w:pPr>
              <w:ind w:left="60"/>
              <w:spacing w:after="0" w:line="166" w:lineRule="exact"/>
              <w:rPr>
                <w:sz w:val="20"/>
                <w:szCs w:val="20"/>
                <w:color w:val="auto"/>
              </w:rPr>
            </w:pPr>
            <w:r>
              <w:rPr>
                <w:rFonts w:ascii="Arial" w:cs="Arial" w:eastAsia="Arial" w:hAnsi="Arial"/>
                <w:sz w:val="16"/>
                <w:szCs w:val="16"/>
                <w:color w:val="auto"/>
              </w:rPr>
              <w:t>Total Investment</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Arial" w:cs="Arial" w:eastAsia="Arial" w:hAnsi="Arial"/>
                <w:sz w:val="16"/>
                <w:szCs w:val="16"/>
                <w:color w:val="auto"/>
              </w:rPr>
              <w:t>by Stockholder A</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Arial" w:cs="Arial" w:eastAsia="Arial" w:hAnsi="Arial"/>
                <w:sz w:val="16"/>
                <w:szCs w:val="16"/>
                <w:color w:val="auto"/>
              </w:rPr>
              <w:t>(Assumed to be</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119"/>
              <w:spacing w:after="0"/>
              <w:rPr>
                <w:sz w:val="20"/>
                <w:szCs w:val="20"/>
                <w:color w:val="auto"/>
              </w:rPr>
            </w:pPr>
            <w:r>
              <w:rPr>
                <w:rFonts w:ascii="Arial" w:cs="Arial" w:eastAsia="Arial" w:hAnsi="Arial"/>
                <w:sz w:val="16"/>
                <w:szCs w:val="16"/>
                <w:color w:val="auto"/>
              </w:rPr>
              <w:t>3,667,884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119"/>
              <w:spacing w:after="0"/>
              <w:rPr>
                <w:sz w:val="20"/>
                <w:szCs w:val="20"/>
                <w:color w:val="auto"/>
              </w:rPr>
            </w:pPr>
            <w:r>
              <w:rPr>
                <w:rFonts w:ascii="Arial" w:cs="Arial" w:eastAsia="Arial" w:hAnsi="Arial"/>
                <w:sz w:val="16"/>
                <w:szCs w:val="16"/>
                <w:color w:val="auto"/>
              </w:rPr>
              <w:t>3,667,884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199"/>
              <w:spacing w:after="0"/>
              <w:rPr>
                <w:sz w:val="20"/>
                <w:szCs w:val="20"/>
                <w:color w:val="auto"/>
              </w:rPr>
            </w:pPr>
            <w:r>
              <w:rPr>
                <w:rFonts w:ascii="Arial" w:cs="Arial" w:eastAsia="Arial" w:hAnsi="Arial"/>
                <w:sz w:val="16"/>
                <w:szCs w:val="16"/>
                <w:color w:val="auto"/>
              </w:rPr>
              <w:t>3,667,884</w:t>
            </w:r>
          </w:p>
        </w:tc>
        <w:tc>
          <w:tcPr>
            <w:tcW w:w="960" w:type="dxa"/>
            <w:vAlign w:val="bottom"/>
            <w:gridSpan w:val="2"/>
            <w:vMerge w:val="restart"/>
          </w:tcPr>
          <w:p>
            <w:pPr>
              <w:jc w:val="center"/>
              <w:ind w:left="11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199"/>
              <w:spacing w:after="0"/>
              <w:rPr>
                <w:sz w:val="20"/>
                <w:szCs w:val="20"/>
                <w:color w:val="auto"/>
              </w:rPr>
            </w:pPr>
            <w:r>
              <w:rPr>
                <w:rFonts w:ascii="Arial" w:cs="Arial" w:eastAsia="Arial" w:hAnsi="Arial"/>
                <w:sz w:val="16"/>
                <w:szCs w:val="16"/>
                <w:color w:val="auto"/>
              </w:rPr>
              <w:t>3,667,884</w:t>
            </w:r>
          </w:p>
        </w:tc>
        <w:tc>
          <w:tcPr>
            <w:tcW w:w="1000" w:type="dxa"/>
            <w:vAlign w:val="bottom"/>
            <w:gridSpan w:val="2"/>
            <w:vMerge w:val="restart"/>
          </w:tcPr>
          <w:p>
            <w:pPr>
              <w:jc w:val="center"/>
              <w:ind w:left="15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199"/>
              <w:spacing w:after="0"/>
              <w:rPr>
                <w:sz w:val="20"/>
                <w:szCs w:val="20"/>
                <w:color w:val="auto"/>
              </w:rPr>
            </w:pPr>
            <w:r>
              <w:rPr>
                <w:rFonts w:ascii="Arial" w:cs="Arial" w:eastAsia="Arial" w:hAnsi="Arial"/>
                <w:sz w:val="16"/>
                <w:szCs w:val="16"/>
                <w:color w:val="auto"/>
              </w:rPr>
              <w:t>3,667,884</w:t>
            </w: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360" w:type="dxa"/>
            <w:vAlign w:val="bottom"/>
            <w:gridSpan w:val="2"/>
          </w:tcPr>
          <w:p>
            <w:pPr>
              <w:ind w:left="60"/>
              <w:spacing w:after="0"/>
              <w:rPr>
                <w:sz w:val="20"/>
                <w:szCs w:val="20"/>
                <w:color w:val="auto"/>
              </w:rPr>
            </w:pPr>
            <w:r>
              <w:rPr>
                <w:rFonts w:ascii="Arial" w:cs="Arial" w:eastAsia="Arial" w:hAnsi="Arial"/>
                <w:sz w:val="16"/>
                <w:szCs w:val="16"/>
                <w:color w:val="auto"/>
                <w:w w:val="99"/>
              </w:rPr>
              <w:t>$16.28 per Share)</w:t>
            </w:r>
          </w:p>
        </w:tc>
        <w:tc>
          <w:tcPr>
            <w:tcW w:w="1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6"/>
                <w:szCs w:val="16"/>
                <w:color w:val="auto"/>
              </w:rPr>
              <w:t>Total Dilution to</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Stockholder A</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(Total Net Asset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Value Less Total</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(8,137)</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(32,775)</w:t>
            </w:r>
          </w:p>
        </w:tc>
        <w:tc>
          <w:tcPr>
            <w:tcW w:w="960" w:type="dxa"/>
            <w:vAlign w:val="bottom"/>
            <w:gridSpan w:val="2"/>
            <w:vMerge w:val="restart"/>
            <w:shd w:val="clear" w:color="auto" w:fill="CCEEFF"/>
          </w:tcPr>
          <w:p>
            <w:pPr>
              <w:jc w:val="center"/>
              <w:ind w:left="11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(121,741)</w:t>
            </w:r>
          </w:p>
        </w:tc>
        <w:tc>
          <w:tcPr>
            <w:tcW w:w="1000" w:type="dxa"/>
            <w:vAlign w:val="bottom"/>
            <w:gridSpan w:val="2"/>
            <w:vMerge w:val="restart"/>
            <w:shd w:val="clear" w:color="auto" w:fill="CCEEFF"/>
          </w:tcPr>
          <w:p>
            <w:pPr>
              <w:jc w:val="center"/>
              <w:ind w:left="15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(610,041)</w:t>
            </w:r>
          </w:p>
        </w:tc>
        <w:tc>
          <w:tcPr>
            <w:tcW w:w="9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Investment)</w:t>
            </w: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360" w:type="dxa"/>
            <w:vAlign w:val="bottom"/>
            <w:gridSpan w:val="2"/>
          </w:tcPr>
          <w:p>
            <w:pPr>
              <w:ind w:left="60"/>
              <w:spacing w:after="0" w:line="166" w:lineRule="exact"/>
              <w:rPr>
                <w:sz w:val="20"/>
                <w:szCs w:val="20"/>
                <w:color w:val="auto"/>
              </w:rPr>
            </w:pPr>
            <w:r>
              <w:rPr>
                <w:rFonts w:ascii="Arial" w:cs="Arial" w:eastAsia="Arial" w:hAnsi="Arial"/>
                <w:sz w:val="16"/>
                <w:szCs w:val="16"/>
                <w:color w:val="auto"/>
              </w:rPr>
              <w:t>Net Asset Value</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Arial" w:cs="Arial" w:eastAsia="Arial" w:hAnsi="Arial"/>
                <w:sz w:val="16"/>
                <w:szCs w:val="16"/>
                <w:color w:val="auto"/>
                <w:w w:val="99"/>
              </w:rPr>
              <w:t>per Share Held by</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119"/>
              <w:spacing w:after="0"/>
              <w:rPr>
                <w:sz w:val="20"/>
                <w:szCs w:val="20"/>
                <w:color w:val="auto"/>
              </w:rPr>
            </w:pPr>
            <w:r>
              <w:rPr>
                <w:rFonts w:ascii="Arial" w:cs="Arial" w:eastAsia="Arial" w:hAnsi="Arial"/>
                <w:sz w:val="16"/>
                <w:szCs w:val="16"/>
                <w:color w:val="auto"/>
              </w:rPr>
              <w:t>16.28</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119"/>
              <w:spacing w:after="0"/>
              <w:rPr>
                <w:sz w:val="20"/>
                <w:szCs w:val="20"/>
                <w:color w:val="auto"/>
              </w:rPr>
            </w:pPr>
            <w:r>
              <w:rPr>
                <w:rFonts w:ascii="Arial" w:cs="Arial" w:eastAsia="Arial" w:hAnsi="Arial"/>
                <w:sz w:val="16"/>
                <w:szCs w:val="16"/>
                <w:color w:val="auto"/>
              </w:rPr>
              <w:t>16.24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199"/>
              <w:spacing w:after="0"/>
              <w:rPr>
                <w:sz w:val="20"/>
                <w:szCs w:val="20"/>
                <w:color w:val="auto"/>
              </w:rPr>
            </w:pPr>
            <w:r>
              <w:rPr>
                <w:rFonts w:ascii="Arial" w:cs="Arial" w:eastAsia="Arial" w:hAnsi="Arial"/>
                <w:sz w:val="16"/>
                <w:szCs w:val="16"/>
                <w:color w:val="auto"/>
              </w:rPr>
              <w:t>16.13</w:t>
            </w:r>
          </w:p>
        </w:tc>
        <w:tc>
          <w:tcPr>
            <w:tcW w:w="960" w:type="dxa"/>
            <w:vAlign w:val="bottom"/>
            <w:gridSpan w:val="2"/>
            <w:vMerge w:val="restart"/>
          </w:tcPr>
          <w:p>
            <w:pPr>
              <w:jc w:val="center"/>
              <w:ind w:left="11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199"/>
              <w:spacing w:after="0"/>
              <w:rPr>
                <w:sz w:val="20"/>
                <w:szCs w:val="20"/>
                <w:color w:val="auto"/>
              </w:rPr>
            </w:pPr>
            <w:r>
              <w:rPr>
                <w:rFonts w:ascii="Arial" w:cs="Arial" w:eastAsia="Arial" w:hAnsi="Arial"/>
                <w:sz w:val="16"/>
                <w:szCs w:val="16"/>
                <w:color w:val="auto"/>
              </w:rPr>
              <w:t>15.74</w:t>
            </w:r>
          </w:p>
        </w:tc>
        <w:tc>
          <w:tcPr>
            <w:tcW w:w="1000" w:type="dxa"/>
            <w:vAlign w:val="bottom"/>
            <w:gridSpan w:val="2"/>
            <w:vMerge w:val="restart"/>
          </w:tcPr>
          <w:p>
            <w:pPr>
              <w:jc w:val="center"/>
              <w:ind w:left="159"/>
              <w:spacing w:after="0"/>
              <w:rPr>
                <w:sz w:val="20"/>
                <w:szCs w:val="20"/>
                <w:color w:val="auto"/>
              </w:rPr>
            </w:pPr>
            <w:r>
              <w:rPr>
                <w:rFonts w:ascii="Arial" w:cs="Arial" w:eastAsia="Arial" w:hAnsi="Arial"/>
                <w:sz w:val="16"/>
                <w:szCs w:val="16"/>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199"/>
              <w:spacing w:after="0"/>
              <w:rPr>
                <w:sz w:val="20"/>
                <w:szCs w:val="20"/>
                <w:color w:val="auto"/>
              </w:rPr>
            </w:pPr>
            <w:r>
              <w:rPr>
                <w:rFonts w:ascii="Arial" w:cs="Arial" w:eastAsia="Arial" w:hAnsi="Arial"/>
                <w:sz w:val="16"/>
                <w:szCs w:val="16"/>
                <w:color w:val="auto"/>
              </w:rPr>
              <w:t>13.57</w:t>
            </w: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360" w:type="dxa"/>
            <w:vAlign w:val="bottom"/>
            <w:gridSpan w:val="2"/>
          </w:tcPr>
          <w:p>
            <w:pPr>
              <w:ind w:left="60"/>
              <w:spacing w:after="0"/>
              <w:rPr>
                <w:sz w:val="20"/>
                <w:szCs w:val="20"/>
                <w:color w:val="auto"/>
              </w:rPr>
            </w:pPr>
            <w:r>
              <w:rPr>
                <w:rFonts w:ascii="Arial" w:cs="Arial" w:eastAsia="Arial" w:hAnsi="Arial"/>
                <w:sz w:val="16"/>
                <w:szCs w:val="16"/>
                <w:color w:val="auto"/>
              </w:rPr>
              <w:t>Stockholder A</w:t>
            </w:r>
          </w:p>
        </w:tc>
        <w:tc>
          <w:tcPr>
            <w:tcW w:w="1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6"/>
                <w:szCs w:val="16"/>
                <w:color w:val="auto"/>
              </w:rPr>
              <w:t>Investment per</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Share Held by</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Stockholder A</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(Assumed to be</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$16.28 per Share</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6"/>
                <w:szCs w:val="16"/>
                <w:color w:val="auto"/>
              </w:rPr>
              <w:t>on Shares Held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16.28</w:t>
            </w:r>
          </w:p>
        </w:tc>
        <w:tc>
          <w:tcPr>
            <w:tcW w:w="960" w:type="dxa"/>
            <w:vAlign w:val="bottom"/>
            <w:gridSpan w:val="2"/>
            <w:vMerge w:val="restart"/>
            <w:shd w:val="clear" w:color="auto" w:fill="CCEEFF"/>
          </w:tcPr>
          <w:p>
            <w:pPr>
              <w:jc w:val="center"/>
              <w:ind w:left="11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16.28</w:t>
            </w:r>
          </w:p>
        </w:tc>
        <w:tc>
          <w:tcPr>
            <w:tcW w:w="1000" w:type="dxa"/>
            <w:vAlign w:val="bottom"/>
            <w:gridSpan w:val="2"/>
            <w:vMerge w:val="restart"/>
            <w:shd w:val="clear" w:color="auto" w:fill="CCEEFF"/>
          </w:tcPr>
          <w:p>
            <w:pPr>
              <w:jc w:val="center"/>
              <w:ind w:left="159"/>
              <w:spacing w:after="0"/>
              <w:rPr>
                <w:sz w:val="20"/>
                <w:szCs w:val="20"/>
                <w:color w:val="auto"/>
              </w:rPr>
            </w:pPr>
            <w:r>
              <w:rPr>
                <w:rFonts w:ascii="Arial" w:cs="Arial" w:eastAsia="Arial" w:hAnsi="Arial"/>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16.28</w:t>
            </w:r>
          </w:p>
        </w:tc>
        <w:tc>
          <w:tcPr>
            <w:tcW w:w="9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3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Prior to Sale)</w:t>
            </w:r>
          </w:p>
        </w:tc>
        <w:tc>
          <w:tcPr>
            <w:tcW w:w="1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1421" w:right="379" w:bottom="1440" w:gutter="0" w:footer="0" w:header="0"/>
        </w:sectPr>
      </w:pPr>
    </w:p>
    <w:bookmarkStart w:id="17" w:name="page18"/>
    <w:bookmarkEnd w:id="17"/>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ind w:left="60"/>
              <w:spacing w:after="0"/>
              <w:rPr>
                <w:sz w:val="20"/>
                <w:szCs w:val="20"/>
                <w:color w:val="auto"/>
              </w:rPr>
            </w:pPr>
            <w:r>
              <w:rPr>
                <w:rFonts w:ascii="Arial" w:cs="Arial" w:eastAsia="Arial" w:hAnsi="Arial"/>
                <w:sz w:val="16"/>
                <w:szCs w:val="16"/>
                <w:color w:val="auto"/>
              </w:rPr>
              <w:t>Dilution per Share</w:t>
            </w: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60"/>
              <w:spacing w:after="0" w:line="162" w:lineRule="exact"/>
              <w:rPr>
                <w:sz w:val="20"/>
                <w:szCs w:val="20"/>
                <w:color w:val="auto"/>
              </w:rPr>
            </w:pPr>
            <w:r>
              <w:rPr>
                <w:rFonts w:ascii="Arial" w:cs="Arial" w:eastAsia="Arial" w:hAnsi="Arial"/>
                <w:sz w:val="16"/>
                <w:szCs w:val="16"/>
                <w:color w:val="auto"/>
              </w:rPr>
              <w:t>Held by</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60"/>
              <w:spacing w:after="0" w:line="162" w:lineRule="exact"/>
              <w:rPr>
                <w:sz w:val="20"/>
                <w:szCs w:val="20"/>
                <w:color w:val="auto"/>
              </w:rPr>
            </w:pPr>
            <w:r>
              <w:rPr>
                <w:rFonts w:ascii="Arial" w:cs="Arial" w:eastAsia="Arial" w:hAnsi="Arial"/>
                <w:sz w:val="16"/>
                <w:szCs w:val="16"/>
                <w:color w:val="auto"/>
              </w:rPr>
              <w:t>Stockholder A (Net</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60"/>
              <w:spacing w:after="0" w:line="162" w:lineRule="exact"/>
              <w:rPr>
                <w:sz w:val="20"/>
                <w:szCs w:val="20"/>
                <w:color w:val="auto"/>
              </w:rPr>
            </w:pPr>
            <w:r>
              <w:rPr>
                <w:rFonts w:ascii="Arial" w:cs="Arial" w:eastAsia="Arial" w:hAnsi="Arial"/>
                <w:sz w:val="16"/>
                <w:szCs w:val="16"/>
                <w:color w:val="auto"/>
              </w:rPr>
              <w:t>Asset Value per</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60"/>
              <w:spacing w:after="0" w:line="162" w:lineRule="exact"/>
              <w:rPr>
                <w:sz w:val="20"/>
                <w:szCs w:val="20"/>
                <w:color w:val="auto"/>
              </w:rPr>
            </w:pPr>
            <w:r>
              <w:rPr>
                <w:rFonts w:ascii="Arial" w:cs="Arial" w:eastAsia="Arial" w:hAnsi="Arial"/>
                <w:sz w:val="16"/>
                <w:szCs w:val="16"/>
                <w:color w:val="auto"/>
              </w:rPr>
              <w:t>Share Less</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60"/>
              <w:spacing w:after="0" w:line="162" w:lineRule="exact"/>
              <w:rPr>
                <w:sz w:val="20"/>
                <w:szCs w:val="20"/>
                <w:color w:val="auto"/>
              </w:rPr>
            </w:pPr>
            <w:r>
              <w:rPr>
                <w:rFonts w:ascii="Arial" w:cs="Arial" w:eastAsia="Arial" w:hAnsi="Arial"/>
                <w:sz w:val="16"/>
                <w:szCs w:val="16"/>
                <w:color w:val="auto"/>
              </w:rPr>
              <w:t>Investment per</w:t>
            </w:r>
          </w:p>
        </w:tc>
        <w:tc>
          <w:tcPr>
            <w:tcW w:w="1100" w:type="dxa"/>
            <w:vAlign w:val="bottom"/>
            <w:vMerge w:val="restart"/>
          </w:tcPr>
          <w:p>
            <w:pPr>
              <w:ind w:left="440"/>
              <w:spacing w:after="0"/>
              <w:rPr>
                <w:sz w:val="20"/>
                <w:szCs w:val="20"/>
                <w:color w:val="auto"/>
              </w:rPr>
            </w:pPr>
            <w:r>
              <w:rPr>
                <w:rFonts w:ascii="Arial" w:cs="Arial" w:eastAsia="Arial" w:hAnsi="Arial"/>
                <w:sz w:val="16"/>
                <w:szCs w:val="16"/>
                <w:color w:val="auto"/>
              </w:rPr>
              <w:t>—  $</w:t>
            </w:r>
          </w:p>
        </w:tc>
        <w:tc>
          <w:tcPr>
            <w:tcW w:w="920" w:type="dxa"/>
            <w:vAlign w:val="bottom"/>
            <w:vMerge w:val="restart"/>
          </w:tcPr>
          <w:p>
            <w:pPr>
              <w:jc w:val="right"/>
              <w:ind w:right="199"/>
              <w:spacing w:after="0"/>
              <w:rPr>
                <w:sz w:val="20"/>
                <w:szCs w:val="20"/>
                <w:color w:val="auto"/>
              </w:rPr>
            </w:pPr>
            <w:r>
              <w:rPr>
                <w:rFonts w:ascii="Arial" w:cs="Arial" w:eastAsia="Arial" w:hAnsi="Arial"/>
                <w:sz w:val="16"/>
                <w:szCs w:val="16"/>
                <w:color w:val="auto"/>
              </w:rPr>
              <w:t>(0.04)</w:t>
            </w:r>
          </w:p>
        </w:tc>
        <w:tc>
          <w:tcPr>
            <w:tcW w:w="860" w:type="dxa"/>
            <w:vAlign w:val="bottom"/>
            <w:vMerge w:val="restart"/>
          </w:tcPr>
          <w:p>
            <w:pPr>
              <w:jc w:val="center"/>
              <w:ind w:left="139"/>
              <w:spacing w:after="0"/>
              <w:rPr>
                <w:sz w:val="20"/>
                <w:szCs w:val="20"/>
                <w:color w:val="auto"/>
              </w:rPr>
            </w:pPr>
            <w:r>
              <w:rPr>
                <w:rFonts w:ascii="Arial" w:cs="Arial" w:eastAsia="Arial" w:hAnsi="Arial"/>
                <w:sz w:val="16"/>
                <w:szCs w:val="16"/>
                <w:color w:val="auto"/>
                <w:w w:val="99"/>
              </w:rPr>
              <w:t>—</w:t>
            </w:r>
          </w:p>
        </w:tc>
        <w:tc>
          <w:tcPr>
            <w:tcW w:w="40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79"/>
              <w:spacing w:after="0"/>
              <w:rPr>
                <w:sz w:val="20"/>
                <w:szCs w:val="20"/>
                <w:color w:val="auto"/>
              </w:rPr>
            </w:pPr>
            <w:r>
              <w:rPr>
                <w:rFonts w:ascii="Arial" w:cs="Arial" w:eastAsia="Arial" w:hAnsi="Arial"/>
                <w:sz w:val="16"/>
                <w:szCs w:val="16"/>
                <w:color w:val="auto"/>
              </w:rPr>
              <w:t>(0.15)</w:t>
            </w:r>
          </w:p>
        </w:tc>
        <w:tc>
          <w:tcPr>
            <w:tcW w:w="880" w:type="dxa"/>
            <w:vAlign w:val="bottom"/>
            <w:vMerge w:val="restart"/>
          </w:tcPr>
          <w:p>
            <w:pPr>
              <w:jc w:val="center"/>
              <w:ind w:left="119"/>
              <w:spacing w:after="0"/>
              <w:rPr>
                <w:sz w:val="20"/>
                <w:szCs w:val="20"/>
                <w:color w:val="auto"/>
              </w:rPr>
            </w:pPr>
            <w:r>
              <w:rPr>
                <w:rFonts w:ascii="Arial" w:cs="Arial" w:eastAsia="Arial" w:hAnsi="Arial"/>
                <w:sz w:val="16"/>
                <w:szCs w:val="16"/>
                <w:color w:val="auto"/>
                <w:w w:val="99"/>
              </w:rPr>
              <w:t>—</w:t>
            </w:r>
          </w:p>
        </w:tc>
        <w:tc>
          <w:tcPr>
            <w:tcW w:w="40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199"/>
              <w:spacing w:after="0"/>
              <w:rPr>
                <w:sz w:val="20"/>
                <w:szCs w:val="20"/>
                <w:color w:val="auto"/>
              </w:rPr>
            </w:pPr>
            <w:r>
              <w:rPr>
                <w:rFonts w:ascii="Arial" w:cs="Arial" w:eastAsia="Arial" w:hAnsi="Arial"/>
                <w:sz w:val="16"/>
                <w:szCs w:val="16"/>
                <w:color w:val="auto"/>
              </w:rPr>
              <w:t>(0.54)</w:t>
            </w:r>
          </w:p>
        </w:tc>
        <w:tc>
          <w:tcPr>
            <w:tcW w:w="860" w:type="dxa"/>
            <w:vAlign w:val="bottom"/>
            <w:vMerge w:val="restart"/>
          </w:tcPr>
          <w:p>
            <w:pPr>
              <w:jc w:val="center"/>
              <w:ind w:left="139"/>
              <w:spacing w:after="0"/>
              <w:rPr>
                <w:sz w:val="20"/>
                <w:szCs w:val="20"/>
                <w:color w:val="auto"/>
              </w:rPr>
            </w:pPr>
            <w:r>
              <w:rPr>
                <w:rFonts w:ascii="Arial" w:cs="Arial" w:eastAsia="Arial" w:hAnsi="Arial"/>
                <w:sz w:val="16"/>
                <w:szCs w:val="16"/>
                <w:color w:val="auto"/>
                <w:w w:val="99"/>
              </w:rPr>
              <w:t>—</w:t>
            </w:r>
          </w:p>
        </w:tc>
        <w:tc>
          <w:tcPr>
            <w:tcW w:w="40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color w:val="auto"/>
              </w:rPr>
              <w:t>(2.71)</w:t>
            </w: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800" w:type="dxa"/>
            <w:vAlign w:val="bottom"/>
          </w:tcPr>
          <w:p>
            <w:pPr>
              <w:ind w:left="60"/>
              <w:spacing w:after="0"/>
              <w:rPr>
                <w:sz w:val="20"/>
                <w:szCs w:val="20"/>
                <w:color w:val="auto"/>
              </w:rPr>
            </w:pPr>
            <w:r>
              <w:rPr>
                <w:rFonts w:ascii="Arial" w:cs="Arial" w:eastAsia="Arial" w:hAnsi="Arial"/>
                <w:sz w:val="16"/>
                <w:szCs w:val="16"/>
                <w:color w:val="auto"/>
              </w:rPr>
              <w:t>Share)</w:t>
            </w:r>
          </w:p>
        </w:tc>
        <w:tc>
          <w:tcPr>
            <w:tcW w:w="11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00" w:type="dxa"/>
            <w:vAlign w:val="bottom"/>
            <w:shd w:val="clear" w:color="auto" w:fill="CCEEFF"/>
          </w:tcPr>
          <w:p>
            <w:pPr>
              <w:ind w:left="60"/>
              <w:spacing w:after="0" w:line="169" w:lineRule="exact"/>
              <w:rPr>
                <w:sz w:val="20"/>
                <w:szCs w:val="20"/>
                <w:color w:val="auto"/>
              </w:rPr>
            </w:pPr>
            <w:r>
              <w:rPr>
                <w:rFonts w:ascii="Arial" w:cs="Arial" w:eastAsia="Arial" w:hAnsi="Arial"/>
                <w:sz w:val="16"/>
                <w:szCs w:val="16"/>
                <w:color w:val="auto"/>
              </w:rPr>
              <w:t>Percentage Dilution</w:t>
            </w:r>
          </w:p>
        </w:tc>
        <w:tc>
          <w:tcPr>
            <w:tcW w:w="1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to Stockholder A</w:t>
            </w:r>
          </w:p>
        </w:tc>
        <w:tc>
          <w:tcPr>
            <w:tcW w:w="1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(Dilution per Share</w:t>
            </w:r>
          </w:p>
        </w:tc>
        <w:tc>
          <w:tcPr>
            <w:tcW w:w="1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Divided by</w:t>
            </w:r>
          </w:p>
        </w:tc>
        <w:tc>
          <w:tcPr>
            <w:tcW w:w="1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Investment per</w:t>
            </w:r>
          </w:p>
        </w:tc>
        <w:tc>
          <w:tcPr>
            <w:tcW w:w="1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212"/>
        </w:trPr>
        <w:tc>
          <w:tcPr>
            <w:tcW w:w="1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Share)</w:t>
            </w: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Existing Shareholders Who Do Participate in an Offering of Common Shares</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Company’s existing shareholders who participate in an offering below net asset value per share or who buy additional Common Shares in the secondary market at the same or lower price as the Company obtains in the offering (after expenses and commissions) will experience the same types of net asset value dilution as the nonparticipating shareholders, albeit at a lower level, to the extent they purchase less than the same percentage of the discounted offering as their interest in the Company’s Common Shares immediately prior to the offering. The level of net asset value dilution will decrease as the number of Common Shares such shareholders purchase increases. Existing shareholders who buy more than such percentage will experience net asset value dilution on their existing shares but will, in contrast to existing shareholders who purchase less than their proportionate share of the offering, experience an increase (often called accretion) in average net asset value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Common Shares such shareholders purchases increases. Even a shareholder who over-participates will, however, be subject to the risk that the Company may make additional discounted offerings in which such shareholder does not participate, in which case such a shareholder will experience net asset value dilution as described above in such subsequent offerings. These shareholders may also experience a decline in the market price of their Common Shares, which often reflects to some degree announced or potential decreases in net asset value per share. This decrease could be more pronounced as the size of the offering and level of discounts increases.</w:t>
      </w:r>
    </w:p>
    <w:p>
      <w:pPr>
        <w:spacing w:after="0" w:line="184"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following chart illustrates the level of dilution and accretion in the hypothetical 20% discount offering from the prior chart for a shareholder that acquires Common Shares equal to (1) 50% of its proportionate share of the offering (i.e., 22,530 Common Shares, which is 0.5% of an offering of 4,506,000 Common Shares) rather than its 1.00% proportionate share and (2) 150% of such percentage (i.e. 67,590 Common Shares, which is 1.5% of an offering of 4,506,000 Common Shares rather than its 0.10% proportionate share). It is not possible to predict the level of market price decline that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ind w:left="480"/>
              <w:spacing w:after="0"/>
              <w:rPr>
                <w:sz w:val="20"/>
                <w:szCs w:val="20"/>
                <w:color w:val="auto"/>
              </w:rPr>
            </w:pPr>
            <w:r>
              <w:rPr>
                <w:rFonts w:ascii="Arial" w:cs="Arial" w:eastAsia="Arial" w:hAnsi="Arial"/>
                <w:sz w:val="18"/>
                <w:szCs w:val="18"/>
                <w:b w:val="1"/>
                <w:bCs w:val="1"/>
                <w:color w:val="auto"/>
              </w:rPr>
              <w:t>50% Participation</w:t>
            </w:r>
          </w:p>
        </w:tc>
        <w:tc>
          <w:tcPr>
            <w:tcW w:w="120" w:type="dxa"/>
            <w:vAlign w:val="bottom"/>
          </w:tcPr>
          <w:p>
            <w:pPr>
              <w:spacing w:after="0"/>
              <w:rPr>
                <w:sz w:val="20"/>
                <w:szCs w:val="20"/>
                <w:color w:val="auto"/>
              </w:rPr>
            </w:pPr>
          </w:p>
        </w:tc>
        <w:tc>
          <w:tcPr>
            <w:tcW w:w="24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150% Participation</w:t>
            </w:r>
          </w:p>
        </w:tc>
        <w:tc>
          <w:tcPr>
            <w:tcW w:w="0" w:type="dxa"/>
            <w:vAlign w:val="bottom"/>
          </w:tcPr>
          <w:p>
            <w:pPr>
              <w:spacing w:after="0"/>
              <w:rPr>
                <w:sz w:val="1"/>
                <w:szCs w:val="1"/>
                <w:color w:val="auto"/>
              </w:rPr>
            </w:pPr>
          </w:p>
        </w:tc>
      </w:tr>
      <w:tr>
        <w:trPr>
          <w:trHeight w:val="223"/>
        </w:trPr>
        <w:tc>
          <w:tcPr>
            <w:tcW w:w="4560" w:type="dxa"/>
            <w:vAlign w:val="bottom"/>
            <w:gridSpan w:val="2"/>
          </w:tcPr>
          <w:p>
            <w:pPr>
              <w:ind w:left="20"/>
              <w:spacing w:after="0"/>
              <w:rPr>
                <w:sz w:val="20"/>
                <w:szCs w:val="20"/>
                <w:color w:val="auto"/>
              </w:rPr>
            </w:pPr>
            <w:r>
              <w:rPr>
                <w:rFonts w:ascii="Arial" w:cs="Arial" w:eastAsia="Arial" w:hAnsi="Arial"/>
                <w:sz w:val="18"/>
                <w:szCs w:val="18"/>
                <w:b w:val="1"/>
                <w:bCs w:val="1"/>
                <w:color w:val="auto"/>
              </w:rPr>
              <w:t>Prior to Sale Below NAV</w:t>
            </w:r>
          </w:p>
        </w:tc>
        <w:tc>
          <w:tcPr>
            <w:tcW w:w="14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Prior to Sale</w:t>
            </w: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Following Sale</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 Change</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Following Sale</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23"/>
        </w:trPr>
        <w:tc>
          <w:tcPr>
            <w:tcW w:w="44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Price per Share to Public</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gridSpan w:val="2"/>
          </w:tcPr>
          <w:p>
            <w:pPr>
              <w:ind w:left="160"/>
              <w:spacing w:after="0"/>
              <w:rPr>
                <w:sz w:val="20"/>
                <w:szCs w:val="20"/>
                <w:color w:val="auto"/>
              </w:rPr>
            </w:pPr>
            <w:r>
              <w:rPr>
                <w:rFonts w:ascii="Arial" w:cs="Arial" w:eastAsia="Arial" w:hAnsi="Arial"/>
                <w:sz w:val="18"/>
                <w:szCs w:val="18"/>
                <w:color w:val="auto"/>
              </w:rPr>
              <w:t>Net Proceeds per Share to Issuer</w:t>
            </w:r>
          </w:p>
        </w:tc>
        <w:tc>
          <w:tcPr>
            <w:tcW w:w="1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13.02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Decrease/Increase to Net Asset Value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gridSpan w:val="2"/>
          </w:tcPr>
          <w:p>
            <w:pPr>
              <w:ind w:left="160"/>
              <w:spacing w:after="0"/>
              <w:rPr>
                <w:sz w:val="20"/>
                <w:szCs w:val="20"/>
                <w:color w:val="auto"/>
              </w:rPr>
            </w:pPr>
            <w:r>
              <w:rPr>
                <w:rFonts w:ascii="Arial" w:cs="Arial" w:eastAsia="Arial" w:hAnsi="Arial"/>
                <w:sz w:val="18"/>
                <w:szCs w:val="18"/>
                <w:color w:val="auto"/>
              </w:rPr>
              <w:t>Total Shares Outstanding</w:t>
            </w:r>
          </w:p>
        </w:tc>
        <w:tc>
          <w:tcPr>
            <w:tcW w:w="1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22,530,000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27,036,000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27,036,000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20.00 %</w:t>
            </w: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Asset Value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456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Dilution/Accretion to Participating Stockholder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Held by Stockholder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225,300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0" w:type="dxa"/>
            <w:vAlign w:val="bottom"/>
          </w:tcPr>
          <w:p>
            <w:pPr>
              <w:spacing w:after="0"/>
              <w:rPr>
                <w:sz w:val="1"/>
                <w:szCs w:val="1"/>
                <w:color w:val="auto"/>
              </w:rPr>
            </w:pPr>
          </w:p>
        </w:tc>
      </w:tr>
      <w:tr>
        <w:trPr>
          <w:trHeight w:val="230"/>
        </w:trPr>
        <w:tc>
          <w:tcPr>
            <w:tcW w:w="4560" w:type="dxa"/>
            <w:vAlign w:val="bottom"/>
            <w:gridSpan w:val="2"/>
          </w:tcPr>
          <w:p>
            <w:pPr>
              <w:ind w:left="160"/>
              <w:spacing w:after="0"/>
              <w:rPr>
                <w:sz w:val="20"/>
                <w:szCs w:val="20"/>
                <w:color w:val="auto"/>
              </w:rPr>
            </w:pPr>
            <w:r>
              <w:rPr>
                <w:rFonts w:ascii="Arial" w:cs="Arial" w:eastAsia="Arial" w:hAnsi="Arial"/>
                <w:sz w:val="18"/>
                <w:szCs w:val="18"/>
                <w:color w:val="auto"/>
              </w:rPr>
              <w:t>Percentage Held by Stockholder A</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8.33 %</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Net Asset Value Held by Stockholder 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3,667,884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3,900,757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4,609,986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25.69 %</w:t>
            </w:r>
          </w:p>
        </w:tc>
        <w:tc>
          <w:tcPr>
            <w:tcW w:w="0" w:type="dxa"/>
            <w:vAlign w:val="bottom"/>
          </w:tcPr>
          <w:p>
            <w:pPr>
              <w:spacing w:after="0"/>
              <w:rPr>
                <w:sz w:val="1"/>
                <w:szCs w:val="1"/>
                <w:color w:val="auto"/>
              </w:rPr>
            </w:pPr>
          </w:p>
        </w:tc>
      </w:tr>
      <w:tr>
        <w:trPr>
          <w:trHeight w:val="176"/>
        </w:trPr>
        <w:tc>
          <w:tcPr>
            <w:tcW w:w="456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4"/>
              </w:rPr>
              <w:t>Total Investment by Stockholder A (Assumed to be $16.28</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color w:val="auto"/>
              </w:rPr>
              <w:t>3,976,758</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color w:val="auto"/>
              </w:rPr>
              <w:t>4,594,507</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gridSpan w:val="2"/>
          </w:tcPr>
          <w:p>
            <w:pPr>
              <w:ind w:left="160"/>
              <w:spacing w:after="0"/>
              <w:rPr>
                <w:sz w:val="20"/>
                <w:szCs w:val="20"/>
                <w:color w:val="auto"/>
              </w:rPr>
            </w:pPr>
            <w:r>
              <w:rPr>
                <w:rFonts w:ascii="Arial" w:cs="Arial" w:eastAsia="Arial" w:hAnsi="Arial"/>
                <w:sz w:val="18"/>
                <w:szCs w:val="18"/>
                <w:color w:val="auto"/>
              </w:rPr>
              <w:t>per Share)</w:t>
            </w:r>
          </w:p>
        </w:tc>
        <w:tc>
          <w:tcPr>
            <w:tcW w:w="14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6"/>
              </w:rPr>
              <w:t>Total Dilution/Accretion to Stockholder A (Total Net Asset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(76,001)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15,479</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Value Less Total Investment)</w:t>
            </w:r>
          </w:p>
        </w:tc>
        <w:tc>
          <w:tcPr>
            <w:tcW w:w="14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gridSpan w:val="2"/>
          </w:tcPr>
          <w:p>
            <w:pPr>
              <w:ind w:left="160"/>
              <w:spacing w:after="0"/>
              <w:rPr>
                <w:sz w:val="20"/>
                <w:szCs w:val="20"/>
                <w:color w:val="auto"/>
              </w:rPr>
            </w:pPr>
            <w:r>
              <w:rPr>
                <w:rFonts w:ascii="Arial" w:cs="Arial" w:eastAsia="Arial" w:hAnsi="Arial"/>
                <w:sz w:val="18"/>
                <w:szCs w:val="18"/>
                <w:color w:val="auto"/>
              </w:rPr>
              <w:t>Net Asset Value per Share held by Stockholder 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16.28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15.74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76"/>
        </w:trPr>
        <w:tc>
          <w:tcPr>
            <w:tcW w:w="45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5"/>
              </w:rPr>
              <w:t>Investment per Share held by Stockholder A (Assumed to</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15.69</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 $16.28 per Share on Shares Held Prior to Sale)</w:t>
            </w:r>
          </w:p>
        </w:tc>
        <w:tc>
          <w:tcPr>
            <w:tcW w:w="14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6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8"/>
              </w:rPr>
              <w:t>Dilution/Accretion per Share Held by Stockholder A (Net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9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gridSpan w:val="2"/>
          </w:tcPr>
          <w:p>
            <w:pPr>
              <w:ind w:left="160"/>
              <w:spacing w:after="0"/>
              <w:rPr>
                <w:sz w:val="20"/>
                <w:szCs w:val="20"/>
                <w:color w:val="auto"/>
              </w:rPr>
            </w:pPr>
            <w:r>
              <w:rPr>
                <w:rFonts w:ascii="Arial" w:cs="Arial" w:eastAsia="Arial" w:hAnsi="Arial"/>
                <w:sz w:val="18"/>
                <w:szCs w:val="18"/>
                <w:color w:val="auto"/>
              </w:rPr>
              <w:t>Asset Value per Share Less Investment per Share)</w:t>
            </w:r>
          </w:p>
        </w:tc>
        <w:tc>
          <w:tcPr>
            <w:tcW w:w="14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8"/>
              </w:rPr>
              <w:t>Percentage Dilution to Stockholder A (Dilution/Accretion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per Share Divided by Investment per Share)</w:t>
            </w:r>
          </w:p>
        </w:tc>
        <w:tc>
          <w:tcPr>
            <w:tcW w:w="14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New Investors of Common Shares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Investors who are not currently shareholders and who participate in an offering of the Company’s common stock below net asset value but whose investment per share is greater than the resulting net asset value per share due to selling compensation and expenses paid by the issuer will experience an immediate decrease, albeit small, in the net asset value of their shares of common stock and their net asset value per share compared to the price they pay for their shares of common stock. Investors who are not currently shareholders and who participate in an offering below net asset value per share and whose investment per share is also less than the resulting net asset value per share due to selling compensation and expenses paid by the issuer being significantly less than the discount per share will experience an immediate increase in the net asset value of their shares of common stock and their net asset value per share compared to the price they pay for their shares of common stock. These investors will experience a disproportionately greater participation in the Company’s earnings and assets and their voting power than the Company’s increase in assets, potential earning power and voting interests. These investors will, however, be subject to the risk that the Company may make additional discounted offerings in which such new shareholder does not participate, in which case such new shareholder will experience dilution as described above in such subsequent offerings. These investors may also experience a decline in the market price of their shares of common stock, which often reflects to some degree announced or potential increases and decreases in net asset value per share. This decrease could be more pronounced as the size of the offering and level of discounts increases.</w:t>
      </w:r>
    </w:p>
    <w:p>
      <w:pPr>
        <w:spacing w:after="0" w:line="16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following chart illustrates the level of dilution or accretion for new investors that would be experienced by a new investor in the same hypothetical 5%, 10% and 20% discounted offerings as described in the first chart above. The illustration is for a new investor who purchases the same percentage</w:t>
      </w:r>
    </w:p>
    <w:p>
      <w:pPr>
        <w:ind w:right="260"/>
        <w:spacing w:after="0" w:line="260" w:lineRule="auto"/>
        <w:rPr>
          <w:sz w:val="20"/>
          <w:szCs w:val="20"/>
          <w:color w:val="auto"/>
        </w:rPr>
      </w:pPr>
      <w:r>
        <w:rPr>
          <w:rFonts w:ascii="Arial" w:cs="Arial" w:eastAsia="Arial" w:hAnsi="Arial"/>
          <w:sz w:val="18"/>
          <w:szCs w:val="18"/>
          <w:color w:val="auto"/>
        </w:rPr>
        <w:t>(1.00%) of the shares of common stock in the offering as Shareholder A in the prior examples held immediately prior to the offering. It is not possible to predict the level of market price decline that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4"/>
              </w:rPr>
              <w:t>Example 1 5%</w:t>
            </w:r>
          </w:p>
        </w:tc>
        <w:tc>
          <w:tcPr>
            <w:tcW w:w="280" w:type="dxa"/>
            <w:vAlign w:val="bottom"/>
          </w:tcPr>
          <w:p>
            <w:pPr>
              <w:spacing w:after="0"/>
              <w:rPr>
                <w:sz w:val="17"/>
                <w:szCs w:val="17"/>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3"/>
              </w:rPr>
              <w:t>Example 2 10%</w:t>
            </w:r>
          </w:p>
        </w:tc>
        <w:tc>
          <w:tcPr>
            <w:tcW w:w="260" w:type="dxa"/>
            <w:vAlign w:val="bottom"/>
          </w:tcPr>
          <w:p>
            <w:pPr>
              <w:spacing w:after="0"/>
              <w:rPr>
                <w:sz w:val="17"/>
                <w:szCs w:val="17"/>
                <w:color w:val="auto"/>
              </w:rPr>
            </w:pPr>
          </w:p>
        </w:tc>
        <w:tc>
          <w:tcPr>
            <w:tcW w:w="208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3"/>
              </w:rPr>
              <w:t>Example 3 20%</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5"/>
          </w:tcPr>
          <w:p>
            <w:pPr>
              <w:jc w:val="center"/>
              <w:ind w:right="360"/>
              <w:spacing w:after="0" w:line="176" w:lineRule="exact"/>
              <w:rPr>
                <w:sz w:val="20"/>
                <w:szCs w:val="20"/>
                <w:color w:val="auto"/>
              </w:rPr>
            </w:pPr>
            <w:r>
              <w:rPr>
                <w:rFonts w:ascii="Arial" w:cs="Arial" w:eastAsia="Arial" w:hAnsi="Arial"/>
                <w:sz w:val="18"/>
                <w:szCs w:val="18"/>
                <w:b w:val="1"/>
                <w:bCs w:val="1"/>
                <w:color w:val="auto"/>
                <w:w w:val="96"/>
              </w:rPr>
              <w:t>Offering at 5%</w:t>
            </w:r>
          </w:p>
        </w:tc>
        <w:tc>
          <w:tcPr>
            <w:tcW w:w="280" w:type="dxa"/>
            <w:vAlign w:val="bottom"/>
          </w:tcPr>
          <w:p>
            <w:pPr>
              <w:spacing w:after="0"/>
              <w:rPr>
                <w:sz w:val="15"/>
                <w:szCs w:val="15"/>
                <w:color w:val="auto"/>
              </w:rPr>
            </w:pPr>
          </w:p>
        </w:tc>
        <w:tc>
          <w:tcPr>
            <w:tcW w:w="2180" w:type="dxa"/>
            <w:vAlign w:val="bottom"/>
            <w:gridSpan w:val="5"/>
          </w:tcPr>
          <w:p>
            <w:pPr>
              <w:jc w:val="center"/>
              <w:ind w:right="360"/>
              <w:spacing w:after="0" w:line="176" w:lineRule="exact"/>
              <w:rPr>
                <w:sz w:val="20"/>
                <w:szCs w:val="20"/>
                <w:color w:val="auto"/>
              </w:rPr>
            </w:pPr>
            <w:r>
              <w:rPr>
                <w:rFonts w:ascii="Arial" w:cs="Arial" w:eastAsia="Arial" w:hAnsi="Arial"/>
                <w:sz w:val="18"/>
                <w:szCs w:val="18"/>
                <w:b w:val="1"/>
                <w:bCs w:val="1"/>
                <w:color w:val="auto"/>
                <w:w w:val="95"/>
              </w:rPr>
              <w:t>Offering at 10%</w:t>
            </w:r>
          </w:p>
        </w:tc>
        <w:tc>
          <w:tcPr>
            <w:tcW w:w="260" w:type="dxa"/>
            <w:vAlign w:val="bottom"/>
          </w:tcPr>
          <w:p>
            <w:pPr>
              <w:spacing w:after="0"/>
              <w:rPr>
                <w:sz w:val="15"/>
                <w:szCs w:val="15"/>
                <w:color w:val="auto"/>
              </w:rPr>
            </w:pPr>
          </w:p>
        </w:tc>
        <w:tc>
          <w:tcPr>
            <w:tcW w:w="2080" w:type="dxa"/>
            <w:vAlign w:val="bottom"/>
            <w:gridSpan w:val="4"/>
          </w:tcPr>
          <w:p>
            <w:pPr>
              <w:jc w:val="center"/>
              <w:ind w:right="170"/>
              <w:spacing w:after="0" w:line="176" w:lineRule="exact"/>
              <w:rPr>
                <w:sz w:val="20"/>
                <w:szCs w:val="20"/>
                <w:color w:val="auto"/>
              </w:rPr>
            </w:pPr>
            <w:r>
              <w:rPr>
                <w:rFonts w:ascii="Arial" w:cs="Arial" w:eastAsia="Arial" w:hAnsi="Arial"/>
                <w:sz w:val="18"/>
                <w:szCs w:val="18"/>
                <w:b w:val="1"/>
                <w:bCs w:val="1"/>
                <w:color w:val="auto"/>
                <w:w w:val="95"/>
              </w:rPr>
              <w:t>Offering at 20%</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88"/>
              </w:rPr>
              <w:t>Discount</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88"/>
              </w:rPr>
              <w:t>Discount</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88"/>
              </w:rPr>
              <w:t>Discount</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ind w:left="20"/>
              <w:spacing w:after="0"/>
              <w:rPr>
                <w:sz w:val="20"/>
                <w:szCs w:val="20"/>
                <w:color w:val="auto"/>
              </w:rPr>
            </w:pPr>
            <w:r>
              <w:rPr>
                <w:rFonts w:ascii="Arial" w:cs="Arial" w:eastAsia="Arial" w:hAnsi="Arial"/>
                <w:sz w:val="18"/>
                <w:szCs w:val="18"/>
                <w:b w:val="1"/>
                <w:bCs w:val="1"/>
                <w:color w:val="auto"/>
              </w:rPr>
              <w:t>Prior to Sale Below NAV</w:t>
            </w:r>
          </w:p>
        </w:tc>
        <w:tc>
          <w:tcPr>
            <w:tcW w:w="14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Prior to Sale</w:t>
            </w: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Following Sale</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8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Following Sale</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Following Sale</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Price per Share to Public</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tcPr>
          <w:p>
            <w:pPr>
              <w:ind w:left="160"/>
              <w:spacing w:after="0"/>
              <w:rPr>
                <w:sz w:val="20"/>
                <w:szCs w:val="20"/>
                <w:color w:val="auto"/>
              </w:rPr>
            </w:pPr>
            <w:r>
              <w:rPr>
                <w:rFonts w:ascii="Arial" w:cs="Arial" w:eastAsia="Arial" w:hAnsi="Arial"/>
                <w:sz w:val="18"/>
                <w:szCs w:val="18"/>
                <w:color w:val="auto"/>
                <w:w w:val="92"/>
              </w:rPr>
              <w:t>Net Proceeds per Share to Issuer</w:t>
            </w: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15.47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Decrease to Net Asset Value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160"/>
              <w:spacing w:after="0"/>
              <w:rPr>
                <w:sz w:val="20"/>
                <w:szCs w:val="20"/>
                <w:color w:val="auto"/>
              </w:rPr>
            </w:pPr>
            <w:r>
              <w:rPr>
                <w:rFonts w:ascii="Arial" w:cs="Arial" w:eastAsia="Arial" w:hAnsi="Arial"/>
                <w:sz w:val="18"/>
                <w:szCs w:val="18"/>
                <w:color w:val="auto"/>
              </w:rPr>
              <w:t>Total Shares Outstanding</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22,530,000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23,656,500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24,783,000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27,036,000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20.00 %</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Asset Value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176"/>
        </w:trPr>
        <w:tc>
          <w:tcPr>
            <w:tcW w:w="2640" w:type="dxa"/>
            <w:vAlign w:val="bottom"/>
            <w:gridSpan w:val="2"/>
          </w:tcPr>
          <w:p>
            <w:pPr>
              <w:ind w:left="160"/>
              <w:spacing w:after="0" w:line="176" w:lineRule="exact"/>
              <w:rPr>
                <w:sz w:val="20"/>
                <w:szCs w:val="20"/>
                <w:color w:val="auto"/>
              </w:rPr>
            </w:pPr>
            <w:r>
              <w:rPr>
                <w:rFonts w:ascii="Arial" w:cs="Arial" w:eastAsia="Arial" w:hAnsi="Arial"/>
                <w:sz w:val="18"/>
                <w:szCs w:val="18"/>
                <w:b w:val="1"/>
                <w:bCs w:val="1"/>
                <w:i w:val="1"/>
                <w:iCs w:val="1"/>
                <w:color w:val="auto"/>
              </w:rPr>
              <w:t>Dilution/Accretion to a New</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4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Investor</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Held by Investor A</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tcPr>
          <w:p>
            <w:pPr>
              <w:ind w:left="160"/>
              <w:spacing w:after="0"/>
              <w:rPr>
                <w:sz w:val="20"/>
                <w:szCs w:val="20"/>
                <w:color w:val="auto"/>
              </w:rPr>
            </w:pPr>
            <w:r>
              <w:rPr>
                <w:rFonts w:ascii="Arial" w:cs="Arial" w:eastAsia="Arial" w:hAnsi="Arial"/>
                <w:sz w:val="18"/>
                <w:szCs w:val="18"/>
                <w:color w:val="auto"/>
              </w:rPr>
              <w:t>Percentage Held by Investor A</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0.05 %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Total Net Asset Value Held by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3,667,884</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182,987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363,409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709,244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Investor A</w:t>
            </w:r>
          </w:p>
        </w:tc>
        <w:tc>
          <w:tcPr>
            <w:tcW w:w="1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Total Investment by Investor A</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(Assumed to be $16.28 per</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color w:val="auto"/>
              </w:rPr>
              <w:t>3,667,884</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183,394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347,484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617,749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160"/>
              <w:spacing w:after="0"/>
              <w:rPr>
                <w:sz w:val="20"/>
                <w:szCs w:val="20"/>
                <w:color w:val="auto"/>
              </w:rPr>
            </w:pPr>
            <w:r>
              <w:rPr>
                <w:rFonts w:ascii="Arial" w:cs="Arial" w:eastAsia="Arial" w:hAnsi="Arial"/>
                <w:sz w:val="18"/>
                <w:szCs w:val="18"/>
                <w:color w:val="auto"/>
              </w:rPr>
              <w:t>Share)</w:t>
            </w:r>
          </w:p>
        </w:tc>
        <w:tc>
          <w:tcPr>
            <w:tcW w:w="1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Total Dilution to Investor A</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(Total Net Asset Value Less</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15,925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91,495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Investment)</w:t>
            </w: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6"/>
              </w:rPr>
              <w:t>Net Asset Value per Share Held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16.24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tcPr>
          <w:p>
            <w:pPr>
              <w:ind w:left="160"/>
              <w:spacing w:after="0"/>
              <w:rPr>
                <w:sz w:val="20"/>
                <w:szCs w:val="20"/>
                <w:color w:val="auto"/>
              </w:rPr>
            </w:pPr>
            <w:r>
              <w:rPr>
                <w:rFonts w:ascii="Arial" w:cs="Arial" w:eastAsia="Arial" w:hAnsi="Arial"/>
                <w:sz w:val="18"/>
                <w:szCs w:val="18"/>
                <w:color w:val="auto"/>
              </w:rPr>
              <w:t>by Investor A</w:t>
            </w:r>
          </w:p>
        </w:tc>
        <w:tc>
          <w:tcPr>
            <w:tcW w:w="1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Investment per Share Held by</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Investor A (Assumed to be</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1"/>
              </w:rPr>
              <w:t>$16.28 per Share on Shares Held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16.28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Prior to Sale)</w:t>
            </w:r>
          </w:p>
        </w:tc>
        <w:tc>
          <w:tcPr>
            <w:tcW w:w="1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Dilution per Share Held by</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7"/>
              </w:rPr>
              <w:t>Investor A (Net Asset Value per</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Share Less Investment per</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tcPr>
          <w:p>
            <w:pPr>
              <w:ind w:left="160"/>
              <w:spacing w:after="0"/>
              <w:rPr>
                <w:sz w:val="20"/>
                <w:szCs w:val="20"/>
                <w:color w:val="auto"/>
              </w:rPr>
            </w:pPr>
            <w:r>
              <w:rPr>
                <w:rFonts w:ascii="Arial" w:cs="Arial" w:eastAsia="Arial" w:hAnsi="Arial"/>
                <w:sz w:val="18"/>
                <w:szCs w:val="18"/>
                <w:color w:val="auto"/>
              </w:rPr>
              <w:t>Share)</w:t>
            </w:r>
          </w:p>
        </w:tc>
        <w:tc>
          <w:tcPr>
            <w:tcW w:w="14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9"/>
              </w:rPr>
              <w:t>Percentage Dilution to Investor</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A (Dilution per Share Divided</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(0.27)%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4.56 %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14.76 %</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by Investment per Share)</w:t>
            </w: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 reaching its recommendation to the shareholders of the Company to approve this Proposal 1, the Board of Directors considered the effect or the following factors:</w:t>
      </w:r>
    </w:p>
    <w:p>
      <w:pPr>
        <w:spacing w:after="0" w:line="197" w:lineRule="exact"/>
        <w:rPr>
          <w:sz w:val="20"/>
          <w:szCs w:val="20"/>
          <w:color w:val="auto"/>
        </w:rPr>
      </w:pPr>
    </w:p>
    <w:p>
      <w:pPr>
        <w:ind w:left="660" w:right="3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benefits of a Common Share offering below NAV compared to other possible means for raising capital or concluding not to raise capital;</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a Common Share offering in relation to the number of Common Shares outstanding;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98"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The Board of Directors, including a majority of the non-interested directors who have no financial interest in this Proposal 1, concluded that the benefits to the shareholders from increasing the Company’s capital base outweighed any detriment, including dilution to existing shareholders.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The authorization of the Company to sell Common Shares at a price or prices below the Company’s then current NAV per share in one or multiple offerings will require the affirmative vote of (1) a majority of the outstanding Common Shares entitled to vote at the Meeting; and (2) a majority of the outstanding Common Shares entitled to vote at the Meeting that are not held by affiliated persons of us, which includes the Company’s officers, directors, employees and 5% shareholders. Because the Company is regulated as a BDC under the 1940 Act, the 1940 Act definition of “a majority of the outstanding shares” must be used for purposes of this proposal. Under the 1940 Act, “a majority of the outstanding shares” is defined as the lesser of:</w:t>
      </w:r>
    </w:p>
    <w:p>
      <w:pPr>
        <w:spacing w:after="0" w:line="2" w:lineRule="exact"/>
        <w:rPr>
          <w:sz w:val="20"/>
          <w:szCs w:val="20"/>
          <w:color w:val="auto"/>
        </w:rPr>
      </w:pPr>
    </w:p>
    <w:p>
      <w:pPr>
        <w:ind w:firstLine="8"/>
        <w:spacing w:after="0" w:line="255" w:lineRule="auto"/>
        <w:tabs>
          <w:tab w:leader="none" w:pos="2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67% or more of the voting securities present at the Meeting if the holders of more than 50% of the Company’s outstanding voting securities are present or represented by proxy; or (ii) more than 50% of the Company’s outstanding voting securities. Abstentions and Broker Non-Votes will have the effect of a vote against this proposal.</w:t>
      </w:r>
    </w:p>
    <w:p>
      <w:pPr>
        <w:spacing w:after="0" w:line="186" w:lineRule="exact"/>
        <w:rPr>
          <w:sz w:val="20"/>
          <w:szCs w:val="20"/>
          <w:color w:val="auto"/>
        </w:rPr>
      </w:pPr>
    </w:p>
    <w:p>
      <w:pPr>
        <w:ind w:right="220" w:firstLine="324"/>
        <w:spacing w:after="0" w:line="281" w:lineRule="auto"/>
        <w:rPr>
          <w:sz w:val="20"/>
          <w:szCs w:val="20"/>
          <w:color w:val="auto"/>
        </w:rPr>
      </w:pPr>
      <w:r>
        <w:rPr>
          <w:rFonts w:ascii="Arial" w:cs="Arial" w:eastAsia="Arial" w:hAnsi="Arial"/>
          <w:sz w:val="17"/>
          <w:szCs w:val="17"/>
          <w:b w:val="1"/>
          <w:bCs w:val="1"/>
          <w:color w:val="auto"/>
        </w:rPr>
        <w:t>THE BOARD OF DIRECTORS BELIEVES THAT A VOTE “FOR” PROPOSAL 1 TO AUTHORIZE THE COMPANY TO SELL ITS COMMON SHARES AT A PRICE OR PRICES BELOW THE COMPANY’S THEN CURRENT NET ASSET VALUE PER SHARE IN ONE OR MULTIPLE OFFERINGS, (SUBJECT TO CERTAIN LIMITATIONS DESCRIBED IN THIS PROXY STATEMENT), AS DESCRIBED ABOVE IS IN THE BEST INTERESTS OF THE COMPANY’S SHAREHOLDERS AND RECOMMENDS A VOTE “FOR”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60"/>
          </w:cols>
          <w:pgMar w:left="320" w:top="1440" w:right="419" w:bottom="1440" w:gutter="0" w:footer="0" w:header="0"/>
        </w:sectPr>
      </w:pPr>
    </w:p>
    <w:bookmarkStart w:id="21" w:name="page22"/>
    <w:bookmarkEnd w:id="21"/>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II — ADJOURNMENT OF THE MEETING</w:t>
      </w:r>
    </w:p>
    <w:p>
      <w:pPr>
        <w:spacing w:after="0" w:line="162" w:lineRule="exact"/>
        <w:rPr>
          <w:sz w:val="20"/>
          <w:szCs w:val="20"/>
          <w:color w:val="auto"/>
        </w:rPr>
      </w:pPr>
    </w:p>
    <w:p>
      <w:pPr>
        <w:ind w:right="100" w:firstLine="432"/>
        <w:spacing w:after="0" w:line="258" w:lineRule="auto"/>
        <w:rPr>
          <w:sz w:val="20"/>
          <w:szCs w:val="20"/>
          <w:color w:val="auto"/>
        </w:rPr>
      </w:pPr>
      <w:r>
        <w:rPr>
          <w:rFonts w:ascii="Arial" w:cs="Arial" w:eastAsia="Arial" w:hAnsi="Arial"/>
          <w:sz w:val="18"/>
          <w:szCs w:val="18"/>
          <w:color w:val="auto"/>
        </w:rPr>
        <w:t>The Company’s shareholders may be asked to consider and act upon one or more adjournments of the Meeting, if necessary or appropriate, to solicit additional proxies in favor of any or all of the other proposals set forth in this proxy statement.</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If a quorum is not present at the Meeting, the Company’s shareholders may be asked to vote on the proposal to adjourn the Meeting to solicit additional proxies. If a quorum is present at the Meeting, but there are not sufficient votes at the time of the Meeting to approve one or more of the proposals, the Company’s shareholders may also be asked to vote on the proposal to approve the adjournment of the Meeting to permit further solicitation of proxies in favor of the other proposals. However, a shareholder vote may be taken on one of the proposals in this proxy statement prior to any such adjournment if there are sufficient votes for approval on such proposal.</w:t>
      </w:r>
    </w:p>
    <w:p>
      <w:pPr>
        <w:spacing w:after="0" w:line="2"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If the adjournment proposal is submitted for a vote at the Meeting, and if the Company’s shareholders vote to approve the adjournment proposal, the meeting will be adjourned to enable the Board of Directors to solicit additional proxies in favor of one or more proposals. If the adjournment proposal is approved, and the Meeting is adjourned, the Board of Directors will use the additional time to solicit additional proxies in favor of any of the proposals to be presented at the Meeting, including the solicitation of proxies from shareholders that have previously voted against the relevant proposal.</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Board of Directors believes that, if the number of Common Shares voting in favor of any of the proposals presented at the Meeting is insufficient to approve a proposal, it is in the best interests of the Company’s shareholders to enable the Board of Directors, for a limited period of time, to continue to seek to obtain a sufficient number of additional votes in favor of the proposal. Any signed proxies received by the Company in which no voting instructions are provided on such matter will be voted in favor of an adjournment in these circumstances. The time and place of the adjourned meeting will be announced at the time the adjournment is taken. Any adjournment of the Meeting for the purpose of soliciting additional proxies will allow the Company’s shareholders who have already sent in their proxies to revoke them at any time prior to their use at the Meeting was adjourned or postponed.</w:t>
      </w:r>
    </w:p>
    <w:p>
      <w:pPr>
        <w:spacing w:after="0" w:line="4" w:lineRule="exact"/>
        <w:rPr>
          <w:sz w:val="20"/>
          <w:szCs w:val="20"/>
          <w:color w:val="auto"/>
        </w:rPr>
      </w:pPr>
    </w:p>
    <w:p>
      <w:pPr>
        <w:ind w:right="780"/>
        <w:spacing w:after="0" w:line="260" w:lineRule="auto"/>
        <w:rPr>
          <w:sz w:val="20"/>
          <w:szCs w:val="20"/>
          <w:color w:val="auto"/>
        </w:rPr>
      </w:pPr>
      <w:r>
        <w:rPr>
          <w:rFonts w:ascii="Arial" w:cs="Arial" w:eastAsia="Arial" w:hAnsi="Arial"/>
          <w:sz w:val="18"/>
          <w:szCs w:val="18"/>
          <w:b w:val="1"/>
          <w:bCs w:val="1"/>
          <w:color w:val="auto"/>
        </w:rPr>
        <w:t>THE BOARD OF DIRECTORS RECOMMENDS A VOTE “FOR” THE ADJOURNMENT OF THE MEETING, IF NECESSARY OR APPROPRIATE, TO SOLICIT ADDITIONAL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440" w:right="359" w:bottom="1440" w:gutter="0" w:footer="0" w:header="0"/>
        </w:sectPr>
      </w:pPr>
    </w:p>
    <w:bookmarkStart w:id="22" w:name="page23"/>
    <w:bookmarkEnd w:id="22"/>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6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Board of Directors is not aware of any business to come before the Meeting other than those matters described above in this Proxy Statement and matters incident to the conduct of the Meeting. Properly executed proxies in the accompanying form that have not been revoked confer discretionary authority on the persons named therein to vote at the direction of a majority of the Board of Directors on any other matters presented at the Meeting. Under SEC rules, if a shareholder does not notify the Company within a reasonable time before the date of this Proxy Statement of such shareholder’s intent to present a proposal at the Meeting, the persons named in the accompanying proxy may exercise such discretionary voting authority if the proposal is raised at the Meeting, without any discussion of the matter in this Proxy Statement.</w:t>
      </w:r>
    </w:p>
    <w:p>
      <w:pPr>
        <w:spacing w:after="0" w:line="174" w:lineRule="exact"/>
        <w:rPr>
          <w:sz w:val="20"/>
          <w:szCs w:val="20"/>
          <w:color w:val="auto"/>
        </w:rPr>
      </w:pPr>
    </w:p>
    <w:p>
      <w:pPr>
        <w:ind w:right="2160" w:firstLine="2174"/>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SPECIAL MEETING TO BE HELD ON JULY 12, 2021</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Proxy Statement, the Proxy Card and the accompanying Notice of Special Meeting of Shareholders are available at the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http://www.astproxyportal.com/ast/98844.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162" w:lineRule="exact"/>
        <w:rPr>
          <w:sz w:val="20"/>
          <w:szCs w:val="20"/>
          <w:color w:val="auto"/>
        </w:rPr>
      </w:pPr>
    </w:p>
    <w:p>
      <w:pPr>
        <w:ind w:right="60" w:firstLine="432"/>
        <w:spacing w:after="0" w:line="311" w:lineRule="auto"/>
        <w:rPr>
          <w:sz w:val="20"/>
          <w:szCs w:val="20"/>
          <w:color w:val="auto"/>
        </w:rPr>
      </w:pPr>
      <w:r>
        <w:rPr>
          <w:rFonts w:ascii="Arial" w:cs="Arial" w:eastAsia="Arial" w:hAnsi="Arial"/>
          <w:sz w:val="16"/>
          <w:szCs w:val="16"/>
          <w:color w:val="auto"/>
        </w:rPr>
        <w:t xml:space="preserve">The Company’s SEC filings are also available to the public from commercial document retrieval services and on the web site maintained by the SEC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Such information will also be furnished upon written request to Newtek Business Services Corp., 1981 Marcus Avenue, Suite 130, Lake Success, New York 11042, Attention: Corporate Secretary, and can also be accessed through the Company’s website at </w:t>
      </w:r>
      <w:r>
        <w:rPr>
          <w:rFonts w:ascii="Arial" w:cs="Arial" w:eastAsia="Arial" w:hAnsi="Arial"/>
          <w:sz w:val="16"/>
          <w:szCs w:val="16"/>
          <w:i w:val="1"/>
          <w:iCs w:val="1"/>
          <w:color w:val="auto"/>
        </w:rPr>
        <w:t>www.newtekone.com</w:t>
      </w:r>
      <w:r>
        <w:rPr>
          <w:rFonts w:ascii="Arial" w:cs="Arial" w:eastAsia="Arial" w:hAnsi="Arial"/>
          <w:sz w:val="16"/>
          <w:szCs w:val="16"/>
          <w:color w:val="auto"/>
        </w:rPr>
        <w:t>.</w:t>
      </w:r>
    </w:p>
    <w:p>
      <w:pPr>
        <w:spacing w:after="0" w:line="81"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Mailings for multiple shareholders going to a single household are combined by delivering to that address, in a single envelope, a copy of the documents (prospectuses, proxy statements, etc.) or other communications for all shareholders who have consented or are deemed to have consented to receiving such communications in such manner in accordance with the rules promulgated by the SEC.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 Business Services Corp., 1981 Marcus Avenue, Suite 130, Lake Success, New York 11042, Attention: Chief Legal Officer or call (212) 356-9500. Promptly upon receipt by the Company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OF PROXIES</w:t>
      </w:r>
    </w:p>
    <w:p>
      <w:pPr>
        <w:spacing w:after="0" w:line="148" w:lineRule="exact"/>
        <w:rPr>
          <w:sz w:val="20"/>
          <w:szCs w:val="20"/>
          <w:color w:val="auto"/>
        </w:rPr>
      </w:pPr>
    </w:p>
    <w:p>
      <w:pPr>
        <w:jc w:val="both"/>
        <w:ind w:right="80" w:firstLine="432"/>
        <w:spacing w:after="0" w:line="342" w:lineRule="auto"/>
        <w:rPr>
          <w:sz w:val="20"/>
          <w:szCs w:val="20"/>
          <w:color w:val="auto"/>
        </w:rPr>
      </w:pPr>
      <w:r>
        <w:rPr>
          <w:rFonts w:ascii="Arial" w:cs="Arial" w:eastAsia="Arial" w:hAnsi="Arial"/>
          <w:sz w:val="16"/>
          <w:szCs w:val="16"/>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COSTS OF PROXY SOLICITATIONS; SHAREHOLDER COMMUNICATIONS</w:t>
      </w:r>
    </w:p>
    <w:p>
      <w:pPr>
        <w:spacing w:after="0" w:line="162"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 The Company has engaged the services of Georgeson LLC to assist in the solicitation of proxies. The Company has estimated that it will pay approximately $40,000, plus reimbursement of certain expenses and fees for additional services requested. Please note that Georgeson LLC may solicit shareholder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 Shareholders may send written communications to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440" w:right="359" w:bottom="1440" w:gutter="0" w:footer="0" w:header="0"/>
        </w:sectPr>
      </w:pPr>
    </w:p>
    <w:bookmarkStart w:id="23" w:name="page24"/>
    <w:bookmarkEnd w:id="23"/>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Directors to the attention of the Board of Directors, c/o Newtek Business Services Corp., 1981 Marcus Avenue, Suite 130, Lake Success, New York 11042. 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16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will furnish, without charge, a copy of the Company’s Annual Report on Form 10-K for the fiscal year ended December 31, 2020 to any shareholder upon request. Requests should be directed to Newtek Business Services Corp., 1981 Marcus Avenue, Suite 130, Lake Success, New York 11042, Attention: Chief Legal Officer or call (212) 356-9500, or by emailing mschwartz@newtekone.com.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189" w:lineRule="exact"/>
        <w:rPr>
          <w:sz w:val="20"/>
          <w:szCs w:val="20"/>
          <w:color w:val="auto"/>
        </w:rPr>
      </w:pPr>
    </w:p>
    <w:p>
      <w:pPr>
        <w:ind w:right="60" w:firstLine="432"/>
        <w:spacing w:after="0" w:line="261" w:lineRule="auto"/>
        <w:rPr>
          <w:sz w:val="20"/>
          <w:szCs w:val="20"/>
          <w:color w:val="auto"/>
        </w:rPr>
      </w:pPr>
      <w:r>
        <w:rPr>
          <w:rFonts w:ascii="Arial" w:cs="Arial" w:eastAsia="Arial" w:hAnsi="Arial"/>
          <w:sz w:val="16"/>
          <w:szCs w:val="16"/>
          <w:color w:val="auto"/>
        </w:rPr>
        <w:t>The Company expects that the 2022 Annual Meeting of Shareholders will be held on or about June 10, 2022, but the exact date, time, and location of such meeting may change. A shareholder who intends to present a proposal at the 2022 Annual Meeting of Shareholders pursuant to the SEC’s Rule 14a-8 must submit the proposal in writing to the Corporate Secretary of the Company at 1981 Marcus Avenue, Suite 130, Lake Success, New York 11042. The Company must receive the proposal no later than January 13, 2022, in order for the proposal to be considered for inclusion in the Company’s proxy statement for that meeting. The submission of a proposal does not guarantee its inclusion in the Company’s proxy statement or presentation at the meeting.</w:t>
      </w:r>
    </w:p>
    <w:p>
      <w:pPr>
        <w:spacing w:after="0" w:line="188" w:lineRule="exact"/>
        <w:rPr>
          <w:sz w:val="20"/>
          <w:szCs w:val="20"/>
          <w:color w:val="auto"/>
        </w:rPr>
      </w:pPr>
    </w:p>
    <w:p>
      <w:pPr>
        <w:ind w:firstLine="432"/>
        <w:spacing w:after="0" w:line="250" w:lineRule="auto"/>
        <w:rPr>
          <w:sz w:val="20"/>
          <w:szCs w:val="20"/>
          <w:color w:val="auto"/>
        </w:rPr>
      </w:pPr>
      <w:r>
        <w:rPr>
          <w:rFonts w:ascii="Arial" w:cs="Arial" w:eastAsia="Arial" w:hAnsi="Arial"/>
          <w:sz w:val="16"/>
          <w:szCs w:val="16"/>
          <w:color w:val="auto"/>
        </w:rPr>
        <w:t>Shareholder proposals or director nominations to be presented at the 2022 Annual Meeting of Shareholders, other than shareholder proposals submitted pursuant to the SEC’s Rule 14a-8, must be submitted in accordance with the advance notice procedures and other requirements set forth in our bylaws. These requirements are separate from the requirements discussed above to have the shareholder nomination or other proposal included in our proxy statement and form of proxy/voting instruction card pursuant to the SEC’s rules. The item to be brought before the meeting must be a proper subject for shareholder action. Our bylaws require that to be timely, a shareholder’s notice shall set forth all information required and shall be delivered to the secretary at the principal executive office of the Company at the above address not earlier than the 150</w:t>
      </w:r>
      <w:r>
        <w:rPr>
          <w:rFonts w:ascii="Arial" w:cs="Arial" w:eastAsia="Arial" w:hAnsi="Arial"/>
          <w:sz w:val="7"/>
          <w:szCs w:val="7"/>
          <w:color w:val="auto"/>
        </w:rPr>
        <w:t>th</w:t>
      </w:r>
      <w:r>
        <w:rPr>
          <w:rFonts w:ascii="Arial" w:cs="Arial" w:eastAsia="Arial" w:hAnsi="Arial"/>
          <w:sz w:val="16"/>
          <w:szCs w:val="16"/>
          <w:color w:val="auto"/>
        </w:rPr>
        <w:t xml:space="preserve"> day prior to the first anniversary of the date of this proxy statement nor later than 5:00 p.m., Eastern Time, on the 120</w:t>
      </w:r>
      <w:r>
        <w:rPr>
          <w:rFonts w:ascii="Arial" w:cs="Arial" w:eastAsia="Arial" w:hAnsi="Arial"/>
          <w:sz w:val="7"/>
          <w:szCs w:val="7"/>
          <w:color w:val="auto"/>
        </w:rPr>
        <w:t>th</w:t>
      </w:r>
      <w:r>
        <w:rPr>
          <w:rFonts w:ascii="Arial" w:cs="Arial" w:eastAsia="Arial" w:hAnsi="Arial"/>
          <w:sz w:val="16"/>
          <w:szCs w:val="16"/>
          <w:color w:val="auto"/>
        </w:rPr>
        <w:t xml:space="preserve"> day prior to the first anniversary of the date of this proxy statement. As a result, for the Company’s 2022 Annual Meeting of Shareholders, a shareholder’s notice pursuant to these provisions of our bylaws must be received no earlier than December 14, 2021 and no later than 5:00 p.m., Eastern Time, on January 13, 2022; provided, however, that in the event that the date of the 2022 Annual Meeting of Shareholders is advanced or delayed by more than 30 days from the first anniversary of this Annual Meeting, notice by the shareholder to be timely must be so delivered not earlier than the 150</w:t>
      </w:r>
      <w:r>
        <w:rPr>
          <w:rFonts w:ascii="Arial" w:cs="Arial" w:eastAsia="Arial" w:hAnsi="Arial"/>
          <w:sz w:val="7"/>
          <w:szCs w:val="7"/>
          <w:color w:val="auto"/>
        </w:rPr>
        <w:t>th</w:t>
      </w:r>
      <w:r>
        <w:rPr>
          <w:rFonts w:ascii="Arial" w:cs="Arial" w:eastAsia="Arial" w:hAnsi="Arial"/>
          <w:sz w:val="16"/>
          <w:szCs w:val="16"/>
          <w:color w:val="auto"/>
        </w:rPr>
        <w:t xml:space="preserve"> day prior to the date of the 2022 Annual Meeting of Shareholders and not later than 5:00 p.m., Eastern Time, on the later of the 120</w:t>
      </w:r>
      <w:r>
        <w:rPr>
          <w:rFonts w:ascii="Arial" w:cs="Arial" w:eastAsia="Arial" w:hAnsi="Arial"/>
          <w:sz w:val="7"/>
          <w:szCs w:val="7"/>
          <w:color w:val="auto"/>
        </w:rPr>
        <w:t>th</w:t>
      </w:r>
      <w:r>
        <w:rPr>
          <w:rFonts w:ascii="Arial" w:cs="Arial" w:eastAsia="Arial" w:hAnsi="Arial"/>
          <w:sz w:val="16"/>
          <w:szCs w:val="16"/>
          <w:color w:val="auto"/>
        </w:rPr>
        <w:t xml:space="preserve"> day prior to the date of the 2022 Annual Meeting of Shareholders, as originally convened, or the tenth day following the day on which public announcement of the date of the 2022 Annual Meeting of Shareholders is first made. The public announcement of a postponement or adjournment of an annual meeting shall not commence a new time period for the giving of a shareholder’s notice. Nothing in this paragraph shall be deemed to require the Company to include in its Proxy Statement and proxy relating to the 2021 Special Meeting of Shareholders, or to consider and vote upon at any such meeting, any shareholder proposal which does not meet all of the requirements established by the SEC or the Company’s Articles of Amendment and Restatement or Bylaws in effect at the time such proposal is received.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5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WHETHER OR NOT YOU PLAN TO ATTEND THE MEETING, THE COMPANY URGES YOU TO VOTE OVER THE INTERNET, BY PHONE, OR BY MARKING, SIGNING AND RETURNING YOUR PROXY OR VOTING INSTRUCTION CARD AS SOON AS POSSIBLE. NO POSTAGE IS NECESSARY IF MAILED IN THE UNITED STATES.</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order of the Board of Directors,</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Michael 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488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A. Schwartz,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229225" cy="6797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229225" cy="679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ectPr>
          <w:pgSz w:w="11900" w:h="16838" w:orient="portrait"/>
          <w:cols w:equalWidth="0" w:num="1">
            <w:col w:w="10139"/>
          </w:cols>
          <w:pgMar w:left="32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271770" cy="6806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271770" cy="680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ectPr>
          <w:pgSz w:w="11900" w:h="16838" w:orient="portrait"/>
          <w:cols w:equalWidth="0" w:num="1">
            <w:col w:w="10139"/>
          </w:cols>
          <w:pgMar w:left="320" w:top="1440" w:right="1440" w:bottom="1440"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246370" cy="6797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246370" cy="67976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S"/>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S"/>
      <w:numFmt w:val="bullet"/>
      <w:start w:val="1"/>
    </w:lvl>
  </w:abstractNum>
  <w:abstractNum w:abstractNumId="3">
    <w:nsid w:val="216231B"/>
    <w:multiLevelType w:val="hybridMultilevel"/>
    <w:lvl w:ilvl="0">
      <w:lvlJc w:val="left"/>
      <w:lvlText w:val="£"/>
      <w:numFmt w:val="bullet"/>
      <w:start w:val="1"/>
    </w:lvl>
    <w:lvl w:ilvl="1">
      <w:lvlJc w:val="left"/>
      <w:lvlText w:val="(%2)"/>
      <w:numFmt w:val="decimal"/>
      <w:start w:val="1"/>
    </w:lvl>
  </w:abstractNum>
  <w:abstractNum w:abstractNumId="4">
    <w:nsid w:val="1F16E9E8"/>
    <w:multiLevelType w:val="hybridMultilevel"/>
    <w:lvl w:ilvl="0">
      <w:lvlJc w:val="left"/>
      <w:lvlText w:val="(%1)"/>
      <w:numFmt w:val="decimal"/>
      <w:start w:val="2"/>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2021-05-28T22:14:38Z</dcterms:created>
  <dcterms:modified xsi:type="dcterms:W3CDTF">2021-05-28T22:14:38Z</dcterms:modified>
</cp:coreProperties>
</file>