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(RULE 14a-101)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the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20" w:hanging="312"/>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NEWTEK BUSINESS SERVICES CORP.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41" w:lineRule="exact"/>
        <w:rPr>
          <w:sz w:val="24"/>
          <w:szCs w:val="24"/>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20" w:hanging="312"/>
        <w:spacing w:after="0"/>
        <w:tabs>
          <w:tab w:leader="none" w:pos="3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 (i) (1) and 0-11.</w:t>
      </w:r>
    </w:p>
    <w:p>
      <w:pPr>
        <w:spacing w:after="0" w:line="225" w:lineRule="exact"/>
        <w:rPr>
          <w:rFonts w:ascii="MS PGothic" w:cs="MS PGothic" w:eastAsia="MS PGothic" w:hAnsi="MS PGothic"/>
          <w:sz w:val="18"/>
          <w:szCs w:val="18"/>
          <w:color w:val="auto"/>
        </w:rPr>
      </w:pPr>
    </w:p>
    <w:p>
      <w:pPr>
        <w:ind w:left="620" w:hanging="301"/>
        <w:spacing w:after="0"/>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620" w:hanging="301"/>
        <w:spacing w:after="0"/>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620" w:hanging="301"/>
        <w:spacing w:after="0" w:line="277" w:lineRule="auto"/>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620" w:hanging="301"/>
        <w:spacing w:after="0"/>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620" w:hanging="301"/>
        <w:spacing w:after="0"/>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20" w:right="460" w:hanging="312"/>
        <w:spacing w:after="0" w:line="308" w:lineRule="auto"/>
        <w:tabs>
          <w:tab w:leader="none" w:pos="3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620" w:hanging="301"/>
        <w:spacing w:after="0"/>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620" w:hanging="301"/>
        <w:spacing w:after="0"/>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620" w:hanging="301"/>
        <w:spacing w:after="0"/>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620" w:hanging="301"/>
        <w:spacing w:after="0"/>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399415</wp:posOffset>
            </wp:positionH>
            <wp:positionV relativeFrom="paragraph">
              <wp:posOffset>-3329305</wp:posOffset>
            </wp:positionV>
            <wp:extent cx="6852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-3011805</wp:posOffset>
            </wp:positionV>
            <wp:extent cx="6852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-2557145</wp:posOffset>
            </wp:positionV>
            <wp:extent cx="6852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-2239645</wp:posOffset>
            </wp:positionV>
            <wp:extent cx="6852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-1922780</wp:posOffset>
            </wp:positionV>
            <wp:extent cx="6852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-782320</wp:posOffset>
            </wp:positionV>
            <wp:extent cx="6852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-464820</wp:posOffset>
            </wp:positionV>
            <wp:extent cx="6852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-147320</wp:posOffset>
            </wp:positionV>
            <wp:extent cx="6852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169545</wp:posOffset>
            </wp:positionV>
            <wp:extent cx="6852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47" w:right="359" w:bottom="1440" w:gutter="0" w:footer="0" w:header="0"/>
        </w:sectPr>
      </w:pPr>
    </w:p>
    <w:bookmarkStart w:id="1" w:name="page2"/>
    <w:bookmarkEnd w:id="1"/>
    <w:p>
      <w:pPr>
        <w:ind w:left="4040"/>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May 12,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invite you to attend the Annual Meeting of Shareholders (the “Annual Meeting”) of Newtek Business Services Corp. (the “Company”) to be held at 2711 South Ocean Drive, Hollywood, FL 33019 on June 15, 2017 at 9:00 a.m., local time.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attached Notice of Annual Meeting and Proxy Statement describe the formal business to be transacted at the Annual Meeting. Also enclosed is a Proxy Card and the Company’s Annual Report on Form 10-K for the year ended December 31, 2016.</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 behalf of the Company’s Board of Directors, we</w:t>
      </w:r>
      <w:r>
        <w:rPr>
          <w:rFonts w:ascii="Arial" w:cs="Arial" w:eastAsia="Arial" w:hAnsi="Arial"/>
          <w:sz w:val="18"/>
          <w:szCs w:val="18"/>
          <w:b w:val="1"/>
          <w:bCs w:val="1"/>
          <w:color w:val="auto"/>
        </w:rPr>
        <w:t xml:space="preserve"> </w:t>
      </w:r>
      <w:r>
        <w:rPr>
          <w:rFonts w:ascii="Arial" w:cs="Arial" w:eastAsia="Arial" w:hAnsi="Arial"/>
          <w:sz w:val="18"/>
          <w:szCs w:val="18"/>
          <w:color w:val="auto"/>
        </w:rPr>
        <w:t>urge you to please sign, date and return the enclosed Proxy Card in the enclosed postage-prepaid envelope or vote by telephone or Internet as soon as possible even if you currently plan to attend the Annual Meeting. This will not prevent you from voting in person, but will assure that your vote is counted if you are unable to attend the Annual Meeting.</w:t>
      </w:r>
    </w:p>
    <w:p>
      <w:pPr>
        <w:spacing w:after="0" w:line="4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891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1435"/>
                    </a:xfrm>
                    <a:prstGeom prst="rect">
                      <a:avLst/>
                    </a:prstGeom>
                    <a:noFill/>
                  </pic:spPr>
                </pic:pic>
              </a:graphicData>
            </a:graphic>
          </wp:anchor>
        </w:drawing>
        <w:t>Important Notice Regarding the Availability of Proxy Materials for the Annual Meeting of Shareholders to Be Held on June 15, 2017.</w:t>
      </w:r>
    </w:p>
    <w:p>
      <w:pPr>
        <w:spacing w:after="0" w:line="252"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color w:val="auto"/>
        </w:rPr>
        <w:t>Our Proxy Statement and Annual Report on Form 10-K for the year ended December 31, 2016 are available on the Internet at http://www.astproxyportal.com/ast/19720/.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applicable to the Annual Meeting may be found in the Proxy Statement and accompanying Proxy Card:</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your Proxy Card;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40"/>
          </w:cols>
          <w:pgMar w:left="240" w:top="837" w:right="14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891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1435"/>
                    </a:xfrm>
                    <a:prstGeom prst="rect">
                      <a:avLst/>
                    </a:prstGeom>
                    <a:noFill/>
                  </pic:spPr>
                </pic:pic>
              </a:graphicData>
            </a:graphic>
          </wp:anchor>
        </w:drawing>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June 15,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Shareholders (the “Annual Meeting”) of Newtek Business Services Corp.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held at 2711 South Ocean Drive, Hollywood, FL 33019 on June 15, 2017 at 9:00 a.m., local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is for the following purposes, which are more completely described in the accompanying Proxy Statement:</w:t>
      </w:r>
    </w:p>
    <w:p>
      <w:pPr>
        <w:spacing w:after="0" w:line="225" w:lineRule="exact"/>
        <w:rPr>
          <w:sz w:val="20"/>
          <w:szCs w:val="20"/>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directors of the Company, to serve on the Board of Directors until the Company’s Annual Meeting of Shareholders in 2020 and until their successor is duly elected and qualified;</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RSM US LLP as the Company’s independent registered accounting firm (independent auditors) for the fiscal year ended December 31, 2017;</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not aware of any other business to come before the Annual Meeting.</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Any action may be taken on any one of the foregoing proposals at the Annual Meeting or any adjournments thereof. Shareholders of record at the close of business on April 28, 2017 are entitled to vote at the Annual Meeting and any adjournment thereof.</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p>
      <w:pPr>
        <w:spacing w:after="0" w:line="3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 Success,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12, 2017</w:t>
      </w:r>
    </w:p>
    <w:p>
      <w:pPr>
        <w:spacing w:after="0" w:line="200" w:lineRule="exact"/>
        <w:rPr>
          <w:sz w:val="20"/>
          <w:szCs w:val="20"/>
          <w:color w:val="auto"/>
        </w:rPr>
      </w:pPr>
    </w:p>
    <w:p>
      <w:pPr>
        <w:spacing w:after="0" w:line="23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IMPORTANT: THE PROMPT RETURN OF PROXIES WILL SAVE YOUR COMPANY THE EXPENSE OF A FURTHER REQUEST FOR PROXIES 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37"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15,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Newtek Business Services Corp. (the “Company”) for the Annual Meeting of Shareholders (the “Annual Meeting”) to be held at 2711 South Ocean Drive, Hollywood, FL 33019 on June 15, 2017 at 9:00 a.m., local time. The accompanying Notice of Annual Meeting and this Proxy Statement, together with the enclosed Proxy Card, are first being mailed to shareholders on or about May 12,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Shareholders of record may submit proxies by completing, signing and dating each Proxy Card received and returning it in the prepaid envelope.</w:t>
      </w:r>
      <w:r>
        <w:rPr>
          <w:rFonts w:ascii="Arial" w:cs="Arial" w:eastAsia="Arial" w:hAnsi="Arial"/>
          <w:sz w:val="18"/>
          <w:szCs w:val="18"/>
          <w:b w:val="1"/>
          <w:bCs w:val="1"/>
          <w:color w:val="auto"/>
        </w:rPr>
        <w:t xml:space="preserve"> </w:t>
      </w:r>
      <w:r>
        <w:rPr>
          <w:rFonts w:ascii="Arial" w:cs="Arial" w:eastAsia="Arial" w:hAnsi="Arial"/>
          <w:sz w:val="18"/>
          <w:szCs w:val="18"/>
          <w:color w:val="auto"/>
        </w:rPr>
        <w:t>Sign your name exactly as it appears on the proxy. If you return your signed proxy but do not indicate your voting preferences, your shares will be voted on your behalf “FOR” the election of the nominees for directors, “FOR” the ratification of RSM US LLP as the Company’s independent registered public accounting firm for 2017, and “FOR” approval of the advisory vote on the compensation of the named executive officers. Shareholders who hold shares beneficially in street name may provide voting instructions by mail by completing, signing and dating the voting instruction forms provided by their brokers, banks or other nominees.</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Shareholders of record may submit proxies by following the telephone voting instructions on each Proxy Card. Most shareholders who hold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meeting date.</w:t>
      </w:r>
    </w:p>
    <w:p>
      <w:pPr>
        <w:spacing w:after="0" w:line="18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 Most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who hold shares beneficially in street name may provide voting instructions by accessing the website specified on the voting instruction form provided by their brokers, banks or nominees.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77" w:lineRule="exact"/>
        <w:rPr>
          <w:sz w:val="20"/>
          <w:szCs w:val="20"/>
          <w:color w:val="auto"/>
        </w:rPr>
      </w:pPr>
    </w:p>
    <w:p>
      <w:pPr>
        <w:jc w:val="both"/>
        <w:ind w:right="160"/>
        <w:spacing w:after="0" w:line="281" w:lineRule="auto"/>
        <w:rPr>
          <w:sz w:val="20"/>
          <w:szCs w:val="20"/>
          <w:color w:val="auto"/>
        </w:rPr>
      </w:pPr>
      <w:r>
        <w:rPr>
          <w:rFonts w:ascii="Arial" w:cs="Arial" w:eastAsia="Arial" w:hAnsi="Arial"/>
          <w:sz w:val="17"/>
          <w:szCs w:val="17"/>
          <w:b w:val="1"/>
          <w:bCs w:val="1"/>
          <w:color w:val="auto"/>
        </w:rPr>
        <w:t xml:space="preserve">In Person at the Annual Meeting </w:t>
      </w:r>
      <w:r>
        <w:rPr>
          <w:rFonts w:ascii="Arial" w:cs="Arial" w:eastAsia="Arial" w:hAnsi="Arial"/>
          <w:sz w:val="17"/>
          <w:szCs w:val="17"/>
          <w:color w:val="auto"/>
        </w:rPr>
        <w:t>– Shares held in your name as the shareholder of record may be voted at the Annual Meeting. Shares held beneficially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street name may be voted in person only if you obtain a legal proxy from the broker, bank or nominee that holds your shares giving you the right to vote the shares. </w:t>
      </w:r>
      <w:r>
        <w:rPr>
          <w:rFonts w:ascii="Arial" w:cs="Arial" w:eastAsia="Arial" w:hAnsi="Arial"/>
          <w:sz w:val="17"/>
          <w:szCs w:val="17"/>
          <w:b w:val="1"/>
          <w:bCs w:val="1"/>
          <w:i w:val="1"/>
          <w:iCs w:val="1"/>
          <w:color w:val="auto"/>
        </w:rPr>
        <w:t>Even if you plan to attend the Annual Meeting, we recommend that you also submit your proxy or voting instructions or vote by telephone or the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internet so that your vote will be counted if you later decide not to attend the meeting</w:t>
      </w:r>
      <w:r>
        <w:rPr>
          <w:rFonts w:ascii="Arial" w:cs="Arial" w:eastAsia="Arial" w:hAnsi="Arial"/>
          <w:sz w:val="17"/>
          <w:szCs w:val="17"/>
          <w:color w:val="auto"/>
        </w:rPr>
        <w:t>.</w:t>
      </w:r>
    </w:p>
    <w:p>
      <w:pPr>
        <w:spacing w:after="0" w:line="16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any of the proposals described herein.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What is the Vote Required for Each Proposal?</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35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Proposal</w:t>
            </w:r>
          </w:p>
        </w:tc>
        <w:tc>
          <w:tcPr>
            <w:tcW w:w="3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Vote Required</w:t>
            </w:r>
          </w:p>
        </w:tc>
        <w:tc>
          <w:tcPr>
            <w:tcW w:w="1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5"/>
              </w:rPr>
              <w:t>Broker Discretionary</w:t>
            </w:r>
          </w:p>
        </w:tc>
        <w:tc>
          <w:tcPr>
            <w:tcW w:w="2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2"/>
              </w:rPr>
              <w:t>Effect of Abstentions and Broker</w:t>
            </w:r>
          </w:p>
        </w:tc>
        <w:tc>
          <w:tcPr>
            <w:tcW w:w="0" w:type="dxa"/>
            <w:vAlign w:val="bottom"/>
          </w:tcPr>
          <w:p>
            <w:pPr>
              <w:spacing w:after="0"/>
              <w:rPr>
                <w:sz w:val="1"/>
                <w:szCs w:val="1"/>
                <w:color w:val="auto"/>
              </w:rPr>
            </w:pP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Voting Allowed?</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Non-Votes</w:t>
            </w: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Proposal I—Election of Directors</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Affirmative vote of the holders of a</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Because directors are elected by a</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plurality of shares present in person or</w:t>
            </w:r>
          </w:p>
        </w:tc>
        <w:tc>
          <w:tcPr>
            <w:tcW w:w="18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plurality of the votes, an abstention</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represented by proxy at the Annual Meeting</w:t>
            </w:r>
          </w:p>
        </w:tc>
        <w:tc>
          <w:tcPr>
            <w:tcW w:w="18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will have no effect on the outcome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entitled to vote on the election of</w:t>
            </w:r>
          </w:p>
        </w:tc>
        <w:tc>
          <w:tcPr>
            <w:tcW w:w="18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vote and, therefore, is not</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directors</w:t>
            </w:r>
          </w:p>
        </w:tc>
        <w:tc>
          <w:tcPr>
            <w:tcW w:w="18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offered as a voting option for this</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proposal</w:t>
            </w: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2"/>
              </w:rPr>
              <w:t>Proposal II—Ratification of Appointment of</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Affirmative vote of a majority of the votes</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Yes</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Abstentions and broker non-votes</w:t>
            </w:r>
          </w:p>
        </w:tc>
        <w:tc>
          <w:tcPr>
            <w:tcW w:w="0" w:type="dxa"/>
            <w:vAlign w:val="bottom"/>
          </w:tcPr>
          <w:p>
            <w:pPr>
              <w:spacing w:after="0"/>
              <w:rPr>
                <w:sz w:val="1"/>
                <w:szCs w:val="1"/>
                <w:color w:val="auto"/>
              </w:rPr>
            </w:pPr>
          </w:p>
        </w:tc>
      </w:tr>
      <w:tr>
        <w:trPr>
          <w:trHeight w:val="220"/>
        </w:trPr>
        <w:tc>
          <w:tcPr>
            <w:tcW w:w="3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Independent Auditors</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cast at the Annual Meeting in person or by</w:t>
            </w:r>
          </w:p>
        </w:tc>
        <w:tc>
          <w:tcPr>
            <w:tcW w:w="182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will not be counted as votes cast</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proxy</w:t>
            </w:r>
          </w:p>
        </w:tc>
        <w:tc>
          <w:tcPr>
            <w:tcW w:w="18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and will have no effect on the result</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vote</w:t>
            </w: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Proposal III — Advisory Vote on</w:t>
            </w:r>
          </w:p>
        </w:tc>
        <w:tc>
          <w:tcPr>
            <w:tcW w:w="3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Affirmative vote of a majority of the votes</w:t>
            </w:r>
          </w:p>
        </w:tc>
        <w:tc>
          <w:tcPr>
            <w:tcW w:w="1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No</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Abstentions and broker non-votes</w:t>
            </w:r>
          </w:p>
        </w:tc>
        <w:tc>
          <w:tcPr>
            <w:tcW w:w="0" w:type="dxa"/>
            <w:vAlign w:val="bottom"/>
          </w:tcPr>
          <w:p>
            <w:pPr>
              <w:spacing w:after="0"/>
              <w:rPr>
                <w:sz w:val="1"/>
                <w:szCs w:val="1"/>
                <w:color w:val="auto"/>
              </w:rPr>
            </w:pPr>
          </w:p>
        </w:tc>
      </w:tr>
      <w:tr>
        <w:trPr>
          <w:trHeight w:val="104"/>
        </w:trPr>
        <w:tc>
          <w:tcPr>
            <w:tcW w:w="3560" w:type="dxa"/>
            <w:vAlign w:val="bottom"/>
            <w:tcBorders>
              <w:left w:val="single" w:sz="8" w:color="auto"/>
              <w:right w:val="single" w:sz="8" w:color="auto"/>
            </w:tcBorders>
            <w:vMerge w:val="continue"/>
          </w:tcPr>
          <w:p>
            <w:pPr>
              <w:spacing w:after="0"/>
              <w:rPr>
                <w:sz w:val="9"/>
                <w:szCs w:val="9"/>
                <w:color w:val="auto"/>
              </w:rPr>
            </w:pPr>
          </w:p>
        </w:tc>
        <w:tc>
          <w:tcPr>
            <w:tcW w:w="3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4"/>
              </w:rPr>
              <w:t>cast at the Annual Meeting in person or by</w:t>
            </w:r>
          </w:p>
        </w:tc>
        <w:tc>
          <w:tcPr>
            <w:tcW w:w="182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will not be counted as votes cast</w:t>
            </w:r>
          </w:p>
        </w:tc>
        <w:tc>
          <w:tcPr>
            <w:tcW w:w="0" w:type="dxa"/>
            <w:vAlign w:val="bottom"/>
          </w:tcPr>
          <w:p>
            <w:pPr>
              <w:spacing w:after="0"/>
              <w:rPr>
                <w:sz w:val="1"/>
                <w:szCs w:val="1"/>
                <w:color w:val="auto"/>
              </w:rPr>
            </w:pPr>
          </w:p>
        </w:tc>
      </w:tr>
      <w:tr>
        <w:trPr>
          <w:trHeight w:val="180"/>
        </w:trPr>
        <w:tc>
          <w:tcPr>
            <w:tcW w:w="3560" w:type="dxa"/>
            <w:vAlign w:val="bottom"/>
            <w:tcBorders>
              <w:left w:val="single" w:sz="8" w:color="auto"/>
              <w:right w:val="single" w:sz="8" w:color="auto"/>
            </w:tcBorders>
          </w:tcPr>
          <w:p>
            <w:pPr>
              <w:ind w:left="120"/>
              <w:spacing w:after="0" w:line="181" w:lineRule="exact"/>
              <w:rPr>
                <w:sz w:val="20"/>
                <w:szCs w:val="20"/>
                <w:color w:val="auto"/>
              </w:rPr>
            </w:pPr>
            <w:r>
              <w:rPr>
                <w:rFonts w:ascii="Arial" w:cs="Arial" w:eastAsia="Arial" w:hAnsi="Arial"/>
                <w:sz w:val="18"/>
                <w:szCs w:val="18"/>
                <w:b w:val="1"/>
                <w:bCs w:val="1"/>
                <w:color w:val="auto"/>
                <w:w w:val="90"/>
              </w:rPr>
              <w:t>Compensation of Named Executive Officers</w:t>
            </w:r>
          </w:p>
        </w:tc>
        <w:tc>
          <w:tcPr>
            <w:tcW w:w="3320" w:type="dxa"/>
            <w:vAlign w:val="bottom"/>
            <w:tcBorders>
              <w:right w:val="single" w:sz="8" w:color="auto"/>
            </w:tcBorders>
            <w:vMerge w:val="continue"/>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tcBorders>
              <w:left w:val="single" w:sz="8" w:color="auto"/>
              <w:right w:val="single" w:sz="8" w:color="auto"/>
            </w:tcBorders>
          </w:tcPr>
          <w:p>
            <w:pPr>
              <w:spacing w:after="0"/>
              <w:rPr>
                <w:sz w:val="12"/>
                <w:szCs w:val="12"/>
                <w:color w:val="auto"/>
              </w:rPr>
            </w:pPr>
          </w:p>
        </w:tc>
        <w:tc>
          <w:tcPr>
            <w:tcW w:w="3320" w:type="dxa"/>
            <w:vAlign w:val="bottom"/>
            <w:tcBorders>
              <w:right w:val="single" w:sz="8" w:color="auto"/>
            </w:tcBorders>
          </w:tcPr>
          <w:p>
            <w:pPr>
              <w:ind w:left="80"/>
              <w:spacing w:after="0" w:line="148" w:lineRule="exact"/>
              <w:rPr>
                <w:sz w:val="20"/>
                <w:szCs w:val="20"/>
                <w:color w:val="auto"/>
              </w:rPr>
            </w:pPr>
            <w:r>
              <w:rPr>
                <w:rFonts w:ascii="Arial" w:cs="Arial" w:eastAsia="Arial" w:hAnsi="Arial"/>
                <w:sz w:val="17"/>
                <w:szCs w:val="17"/>
                <w:color w:val="auto"/>
              </w:rPr>
              <w:t>proxy</w:t>
            </w:r>
          </w:p>
        </w:tc>
        <w:tc>
          <w:tcPr>
            <w:tcW w:w="182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80"/>
              <w:spacing w:after="0" w:line="148" w:lineRule="exact"/>
              <w:rPr>
                <w:sz w:val="20"/>
                <w:szCs w:val="20"/>
                <w:color w:val="auto"/>
              </w:rPr>
            </w:pPr>
            <w:r>
              <w:rPr>
                <w:rFonts w:ascii="Arial" w:cs="Arial" w:eastAsia="Arial" w:hAnsi="Arial"/>
                <w:sz w:val="17"/>
                <w:szCs w:val="17"/>
                <w:color w:val="auto"/>
              </w:rPr>
              <w:t>and will have no effect on the</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result of the vote</w:t>
            </w:r>
          </w:p>
        </w:tc>
        <w:tc>
          <w:tcPr>
            <w:tcW w:w="0" w:type="dxa"/>
            <w:vAlign w:val="bottom"/>
          </w:tcPr>
          <w:p>
            <w:pPr>
              <w:spacing w:after="0"/>
              <w:rPr>
                <w:sz w:val="1"/>
                <w:szCs w:val="1"/>
                <w:color w:val="auto"/>
              </w:rPr>
            </w:pPr>
          </w:p>
        </w:tc>
      </w:tr>
      <w:tr>
        <w:trPr>
          <w:trHeight w:val="426"/>
        </w:trPr>
        <w:tc>
          <w:tcPr>
            <w:tcW w:w="3560" w:type="dxa"/>
            <w:vAlign w:val="bottom"/>
          </w:tcPr>
          <w:p>
            <w:pPr>
              <w:spacing w:after="0"/>
              <w:rPr>
                <w:sz w:val="24"/>
                <w:szCs w:val="24"/>
                <w:color w:val="auto"/>
              </w:rPr>
            </w:pPr>
          </w:p>
        </w:tc>
        <w:tc>
          <w:tcPr>
            <w:tcW w:w="5140" w:type="dxa"/>
            <w:vAlign w:val="bottom"/>
            <w:gridSpan w:val="2"/>
          </w:tcPr>
          <w:p>
            <w:pPr>
              <w:ind w:left="360"/>
              <w:spacing w:after="0"/>
              <w:rPr>
                <w:sz w:val="20"/>
                <w:szCs w:val="20"/>
                <w:color w:val="auto"/>
              </w:rPr>
            </w:pPr>
            <w:r>
              <w:rPr>
                <w:rFonts w:ascii="Arial" w:cs="Arial" w:eastAsia="Arial" w:hAnsi="Arial"/>
                <w:sz w:val="18"/>
                <w:szCs w:val="18"/>
                <w:b w:val="1"/>
                <w:bCs w:val="1"/>
                <w:color w:val="auto"/>
              </w:rPr>
              <w:t>VOTING AND REVOCATION OF PROXIES</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Proxies solicited by the Board of Directors of the Company will be voted in accordance with the direction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except with respect to the proposal relating to the ratification of the Company’s independent registered accounting firm. Proxies marked as abstentions or as broker non-votes, however, will be treated as shares present for purposes of determining whether a quorum is present.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The securities which can be voted at the Annual Meeting consist of the Company’s common shares, $0.02 par value per share (“Common Shares”). Shareholders of record as of the close of business on April 28, 2017 (the “Record Date”) are entitled to one vote for each Common Share then held on all matters. As of the Record Date, 17,292,330 Common Shares were issued and outstanding. The presence, in person or by proxy, of at least a majority of the total number of Common Shares outstanding and entitled to vote will be necessary to constitute a quorum at the Annual Meeting.</w:t>
      </w:r>
    </w:p>
    <w:p>
      <w:pPr>
        <w:spacing w:after="0" w:line="154"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following table sets forth, as of April 28, 2017, the beneficial ownership of each current director, the nominees for director, the Company’s executive officers, each person known to us to beneficially own 5% or more of the outstanding Common Shares, and the executive officers and directors as a group. Percentage of beneficial ownership is based on 17,292,330 Common Shares outstanding as of April 28, 2017.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spacing w:after="0" w:line="193"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Unless otherwise indicated, the Company believes that each beneficial owner set forth in the table has sole voting and investment power and has the same address as the Company. The Company’s directors are divided into two groups—interested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1981 Marcus Avenue, Suite 130, Lake Success, New York 11042.</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94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Number of</w:t>
            </w: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940" w:type="dxa"/>
            <w:vAlign w:val="bottom"/>
          </w:tcPr>
          <w:p>
            <w:pPr>
              <w:jc w:val="center"/>
              <w:ind w:left="210"/>
              <w:spacing w:after="0"/>
              <w:rPr>
                <w:sz w:val="20"/>
                <w:szCs w:val="20"/>
                <w:color w:val="auto"/>
              </w:rPr>
            </w:pPr>
            <w:r>
              <w:rPr>
                <w:rFonts w:ascii="Arial" w:cs="Arial" w:eastAsia="Arial" w:hAnsi="Arial"/>
                <w:sz w:val="18"/>
                <w:szCs w:val="18"/>
                <w:b w:val="1"/>
                <w:bCs w:val="1"/>
                <w:color w:val="auto"/>
                <w:w w:val="86"/>
              </w:rPr>
              <w:t>Shares</w:t>
            </w: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9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Beneficially</w:t>
            </w:r>
          </w:p>
        </w:tc>
        <w:tc>
          <w:tcPr>
            <w:tcW w:w="1640" w:type="dxa"/>
            <w:vAlign w:val="bottom"/>
          </w:tcPr>
          <w:p>
            <w:pPr>
              <w:spacing w:after="0"/>
              <w:rPr>
                <w:sz w:val="18"/>
                <w:szCs w:val="18"/>
                <w:color w:val="auto"/>
              </w:rPr>
            </w:pPr>
          </w:p>
        </w:tc>
      </w:t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94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Owned</w:t>
            </w: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Percent of Class</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540" w:type="dxa"/>
            <w:vAlign w:val="bottom"/>
          </w:tcPr>
          <w:p>
            <w:pPr>
              <w:spacing w:after="0" w:line="256" w:lineRule="exact"/>
              <w:rPr>
                <w:sz w:val="20"/>
                <w:szCs w:val="20"/>
                <w:color w:val="auto"/>
              </w:rPr>
            </w:pPr>
            <w:r>
              <w:rPr>
                <w:rFonts w:ascii="Arial" w:cs="Arial" w:eastAsia="Arial" w:hAnsi="Arial"/>
                <w:sz w:val="18"/>
                <w:szCs w:val="18"/>
                <w:color w:val="auto"/>
              </w:rPr>
              <w:t>Barry Sloane</w:t>
            </w:r>
            <w:r>
              <w:rPr>
                <w:rFonts w:ascii="Arial" w:cs="Arial" w:eastAsia="Arial" w:hAnsi="Arial"/>
                <w:sz w:val="29"/>
                <w:szCs w:val="29"/>
                <w:b w:val="1"/>
                <w:bCs w:val="1"/>
                <w:color w:val="auto"/>
                <w:vertAlign w:val="superscript"/>
              </w:rPr>
              <w:t>(1)</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1,000,113</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20" w:type="dxa"/>
            <w:vAlign w:val="bottom"/>
          </w:tcPr>
          <w:p>
            <w:pPr>
              <w:spacing w:after="0"/>
              <w:rPr>
                <w:sz w:val="22"/>
                <w:szCs w:val="22"/>
                <w:color w:val="auto"/>
              </w:rPr>
            </w:pPr>
          </w:p>
        </w:tc>
        <w:tc>
          <w:tcPr>
            <w:tcW w:w="5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Peter Downs</w:t>
            </w:r>
            <w:r>
              <w:rPr>
                <w:rFonts w:ascii="Arial" w:cs="Arial" w:eastAsia="Arial" w:hAnsi="Arial"/>
                <w:sz w:val="29"/>
                <w:szCs w:val="29"/>
                <w:b w:val="1"/>
                <w:bCs w:val="1"/>
                <w:color w:val="auto"/>
                <w:vertAlign w:val="superscript"/>
              </w:rPr>
              <w:t>(2)</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21,496</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19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Gregory Zink</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7,189</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Salvatore Mulia</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64,663</w:t>
            </w: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4,334</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9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Jennifer Eddelson</w:t>
            </w:r>
            <w:r>
              <w:rPr>
                <w:rFonts w:ascii="Arial" w:cs="Arial" w:eastAsia="Arial" w:hAnsi="Arial"/>
                <w:sz w:val="29"/>
                <w:szCs w:val="29"/>
                <w:b w:val="1"/>
                <w:bCs w:val="1"/>
                <w:color w:val="auto"/>
                <w:vertAlign w:val="superscript"/>
              </w:rPr>
              <w:t>(3)</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36,045</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540" w:type="dxa"/>
            <w:vAlign w:val="bottom"/>
          </w:tcPr>
          <w:p>
            <w:pPr>
              <w:spacing w:after="0" w:line="256" w:lineRule="exact"/>
              <w:rPr>
                <w:sz w:val="20"/>
                <w:szCs w:val="20"/>
                <w:color w:val="auto"/>
              </w:rPr>
            </w:pPr>
            <w:r>
              <w:rPr>
                <w:rFonts w:ascii="Arial" w:cs="Arial" w:eastAsia="Arial" w:hAnsi="Arial"/>
                <w:sz w:val="18"/>
                <w:szCs w:val="18"/>
                <w:color w:val="auto"/>
              </w:rPr>
              <w:t>Michael Schwartz</w:t>
            </w:r>
            <w:r>
              <w:rPr>
                <w:rFonts w:ascii="Arial" w:cs="Arial" w:eastAsia="Arial" w:hAnsi="Arial"/>
                <w:sz w:val="29"/>
                <w:szCs w:val="29"/>
                <w:b w:val="1"/>
                <w:bCs w:val="1"/>
                <w:color w:val="auto"/>
                <w:vertAlign w:val="superscript"/>
              </w:rPr>
              <w:t>(4)</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10,889</w:t>
            </w: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John Raven</w:t>
            </w:r>
            <w:r>
              <w:rPr>
                <w:rFonts w:ascii="Arial" w:cs="Arial" w:eastAsia="Arial" w:hAnsi="Arial"/>
                <w:sz w:val="29"/>
                <w:szCs w:val="29"/>
                <w:b w:val="1"/>
                <w:bCs w:val="1"/>
                <w:color w:val="auto"/>
                <w:vertAlign w:val="superscript"/>
              </w:rPr>
              <w:t>(5)</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3,486</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540" w:type="dxa"/>
            <w:vAlign w:val="bottom"/>
          </w:tcPr>
          <w:p>
            <w:pPr>
              <w:spacing w:after="0" w:line="256" w:lineRule="exact"/>
              <w:rPr>
                <w:sz w:val="20"/>
                <w:szCs w:val="20"/>
                <w:color w:val="auto"/>
              </w:rPr>
            </w:pPr>
            <w:r>
              <w:rPr>
                <w:rFonts w:ascii="Arial" w:cs="Arial" w:eastAsia="Arial" w:hAnsi="Arial"/>
                <w:sz w:val="18"/>
                <w:szCs w:val="18"/>
                <w:color w:val="auto"/>
              </w:rPr>
              <w:t>Nilesh Joshi</w:t>
            </w:r>
            <w:r>
              <w:rPr>
                <w:rFonts w:ascii="Arial" w:cs="Arial" w:eastAsia="Arial" w:hAnsi="Arial"/>
                <w:sz w:val="29"/>
                <w:szCs w:val="29"/>
                <w:b w:val="1"/>
                <w:bCs w:val="1"/>
                <w:color w:val="auto"/>
                <w:vertAlign w:val="superscript"/>
              </w:rPr>
              <w:t>(6)</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2,898</w:t>
            </w: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7"/>
              </w:rPr>
              <w:t>All current directors and executive officers as a group (9 persons)</w:t>
            </w:r>
          </w:p>
        </w:tc>
        <w:tc>
          <w:tcPr>
            <w:tcW w:w="19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bl>
    <w:p>
      <w:pPr>
        <w:spacing w:after="0" w:line="20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of total Common Shares outstanding as of the Record Date.</w:t>
      </w:r>
    </w:p>
    <w:p>
      <w:pPr>
        <w:ind w:left="660" w:hanging="652"/>
        <w:spacing w:after="0" w:line="185" w:lineRule="auto"/>
        <w:tabs>
          <w:tab w:leader="none" w:pos="660" w:val="left"/>
        </w:tabs>
        <w:numPr>
          <w:ilvl w:val="0"/>
          <w:numId w:val="9"/>
        </w:numPr>
        <w:rPr>
          <w:rFonts w:ascii="Arial" w:cs="Arial" w:eastAsia="Arial" w:hAnsi="Arial"/>
          <w:sz w:val="27"/>
          <w:szCs w:val="27"/>
          <w:color w:val="auto"/>
          <w:vertAlign w:val="superscript"/>
        </w:rPr>
      </w:pPr>
      <w:r>
        <w:rPr>
          <w:rFonts w:ascii="Arial" w:cs="Arial" w:eastAsia="Arial" w:hAnsi="Arial"/>
          <w:sz w:val="17"/>
          <w:szCs w:val="17"/>
          <w:color w:val="auto"/>
        </w:rPr>
        <w:t>Includes 28,471 shares of restricted common stock.</w:t>
      </w:r>
    </w:p>
    <w:p>
      <w:pPr>
        <w:spacing w:after="0" w:line="1" w:lineRule="exact"/>
        <w:rPr>
          <w:rFonts w:ascii="Arial" w:cs="Arial" w:eastAsia="Arial" w:hAnsi="Arial"/>
          <w:sz w:val="27"/>
          <w:szCs w:val="27"/>
          <w:color w:val="auto"/>
          <w:vertAlign w:val="superscript"/>
        </w:rPr>
      </w:pPr>
    </w:p>
    <w:p>
      <w:pPr>
        <w:ind w:left="660" w:hanging="652"/>
        <w:spacing w:after="0" w:line="186"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Includes 7,117 shares of restricted common stock.</w:t>
      </w:r>
    </w:p>
    <w:p>
      <w:pPr>
        <w:spacing w:after="0" w:line="2"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Includes 7,117 shares of restricted common stock.</w:t>
      </w:r>
    </w:p>
    <w:p>
      <w:pPr>
        <w:spacing w:after="0" w:line="2"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Includes 7,117 shares of restricted common stock.</w:t>
      </w:r>
    </w:p>
    <w:p>
      <w:pPr>
        <w:spacing w:after="0" w:line="2"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Includes 3,558 shares of restricted common stock.</w:t>
      </w:r>
    </w:p>
    <w:p>
      <w:pPr>
        <w:spacing w:after="0" w:line="2"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Includes 1,779 shares of restricted common stock.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Range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Equity Securities in Newtek</w:t>
            </w:r>
          </w:p>
        </w:tc>
        <w:tc>
          <w:tcPr>
            <w:tcW w:w="0" w:type="dxa"/>
            <w:vAlign w:val="bottom"/>
          </w:tcPr>
          <w:p>
            <w:pPr>
              <w:spacing w:after="0"/>
              <w:rPr>
                <w:sz w:val="1"/>
                <w:szCs w:val="1"/>
                <w:color w:val="auto"/>
              </w:rPr>
            </w:pPr>
          </w:p>
        </w:tc>
      </w:tr>
      <w:tr>
        <w:trPr>
          <w:trHeight w:val="216"/>
        </w:trPr>
        <w:tc>
          <w:tcPr>
            <w:tcW w:w="79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Name of Director</w:t>
            </w:r>
          </w:p>
        </w:tc>
        <w:tc>
          <w:tcPr>
            <w:tcW w:w="2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Business Services Corp. (1)</w:t>
            </w:r>
          </w:p>
        </w:tc>
        <w:tc>
          <w:tcPr>
            <w:tcW w:w="0" w:type="dxa"/>
            <w:vAlign w:val="bottom"/>
          </w:tcPr>
          <w:p>
            <w:pPr>
              <w:spacing w:after="0"/>
              <w:rPr>
                <w:sz w:val="1"/>
                <w:szCs w:val="1"/>
                <w:color w:val="auto"/>
              </w:rPr>
            </w:pPr>
          </w:p>
        </w:tc>
      </w:tr>
      <w:tr>
        <w:trPr>
          <w:trHeight w:val="234"/>
        </w:trPr>
        <w:tc>
          <w:tcPr>
            <w:tcW w:w="7980" w:type="dxa"/>
            <w:vAlign w:val="bottom"/>
            <w:gridSpan w:val="2"/>
            <w:vMerge w:val="continue"/>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2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Barry Sloane</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Peter Downs</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$50,001 - $100,000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Salvatore Mulia</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Gregory Zink</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dollar range of equity securities beneficially owned in us is based on the closing price for our Common Shares of $16.54 on April 21, 2017 on the Nasdaq Global Market. Beneficial ownership has been determined in accordance with Rule 13d-3 of the Exchange Act.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PROPOSAL I – ELECTION OF DIRECTORS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Board of Directors currently consists of five directors serving in three classes. Each director holds office for the term to which he or she is elected and until his or her successor is duly elected and qualified. Barry Sloane and Peter Downs serve in Class I, with terms expiring at the 2018 annual meeting; Gregory Zink who was elected by the Board of Directors to replace Samuel Kirschner upon his resignation, serves in Class II, with a term expiring at the 2019 Annual Meeting; and Richard Salute and Salvatore Mulia serve in Class III, with terms expiring at the 2017 Annual Meeting. On March 28, 2017, the Board of Directors accepted the resignation of Mr. Kirschner, effective immediately, and appointed Mr. Zink to serve the balance of Mr. Kirschner’s term, effective as of that same date.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Messrs. Salute and Mulia have been nominated for re-election, each for a term expiring in 2020. Messrs. Salute and Mulia are not being nominated as directors for election pursuant to any agreements or understandings between such persons and the Company. Messrs. Salute and Mulia have indicated their willingness to continue to serve if elected and have consented to be named as nominees. Messrs. Salute and Mulia are not considered “interested directors” of the Company, as such term is defined under the 1940 Act.</w:t>
      </w:r>
    </w:p>
    <w:p>
      <w:pPr>
        <w:spacing w:after="0" w:line="183"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 xml:space="preserve">A stockholder can vote for or withhold his or her vote for the nominees. </w:t>
      </w:r>
      <w:r>
        <w:rPr>
          <w:rFonts w:ascii="Arial" w:cs="Arial" w:eastAsia="Arial" w:hAnsi="Arial"/>
          <w:sz w:val="18"/>
          <w:szCs w:val="18"/>
          <w:b w:val="1"/>
          <w:bCs w:val="1"/>
          <w:color w:val="auto"/>
        </w:rPr>
        <w:t>In the absence of instructions to the contrary, it is the intention of the persons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named as proxies to vote such proxy FOR the election of the nominees named in this Proxy Statement. If a nominee should decline or be unable to serve as a director, it is intended that the proxy will be voted for the election of the person nominated by our board as a replacement. </w:t>
      </w:r>
      <w:r>
        <w:rPr>
          <w:rFonts w:ascii="Arial" w:cs="Arial" w:eastAsia="Arial" w:hAnsi="Arial"/>
          <w:sz w:val="18"/>
          <w:szCs w:val="18"/>
          <w:color w:val="auto"/>
        </w:rPr>
        <w:t>Our board has</w:t>
      </w:r>
      <w:r>
        <w:rPr>
          <w:rFonts w:ascii="Arial" w:cs="Arial" w:eastAsia="Arial" w:hAnsi="Arial"/>
          <w:sz w:val="18"/>
          <w:szCs w:val="18"/>
          <w:b w:val="1"/>
          <w:bCs w:val="1"/>
          <w:color w:val="auto"/>
        </w:rPr>
        <w:t xml:space="preserve"> </w:t>
      </w:r>
      <w:r>
        <w:rPr>
          <w:rFonts w:ascii="Arial" w:cs="Arial" w:eastAsia="Arial" w:hAnsi="Arial"/>
          <w:sz w:val="18"/>
          <w:szCs w:val="18"/>
          <w:color w:val="auto"/>
        </w:rPr>
        <w:t>no reason to believe that the nominee will be unable or unwilling to serve.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proposal requires the affirmative vote of the holders of a plurality of the shares of stock outstanding and entitled to vote thereon. Stockholders may not cumulate their votes. If you vote “withhold authority” with respect to a nominee, your shares will not be voted with respect to the person indicated. Because directors are elected by a plurality of the votes, an abstention will have no effect on the outcome of the vote and, therefore, is not offered as a voting option for this proposal.</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Directors and Executive Officers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Set forth below is information, as of April 28, 2017, regarding Messrs. Salute and Mulia, who are being nominated for election as directors of the Company by our stockholders at the 2017 annual meeting, as well as information about our other current directors whose terms of office will continue after the Annual Meeting, which includes specific information about each director’s experience, qualifications, attributes or skills that led the Board of Directors to the conclusion that the individual is qualified to serve on our Board, in light of our business and structure.</w:t>
      </w:r>
    </w:p>
    <w:p>
      <w:pPr>
        <w:spacing w:after="0" w:line="227" w:lineRule="exact"/>
        <w:rPr>
          <w:sz w:val="20"/>
          <w:szCs w:val="20"/>
          <w:color w:val="auto"/>
        </w:rPr>
      </w:pPr>
    </w:p>
    <w:p>
      <w:pPr>
        <w:ind w:right="500" w:firstLine="8"/>
        <w:spacing w:after="0" w:line="221" w:lineRule="auto"/>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The business addresses of the director nominees and other directors are c/o Newtek Business Services Corp., 1981 Marcus Avenue, Suite 130, Lake Success, New York 11042.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w w:val="97"/>
              </w:rPr>
              <w:t>Nominee for Class III Director –Term Expiring 2020</w:t>
            </w:r>
          </w:p>
        </w:tc>
        <w:tc>
          <w:tcPr>
            <w:tcW w:w="20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20" w:type="dxa"/>
            <w:vAlign w:val="bottom"/>
          </w:tcPr>
          <w:p>
            <w:pPr>
              <w:ind w:left="120"/>
              <w:spacing w:after="0"/>
              <w:rPr>
                <w:sz w:val="20"/>
                <w:szCs w:val="20"/>
                <w:color w:val="auto"/>
              </w:rPr>
            </w:pPr>
            <w:r>
              <w:rPr>
                <w:rFonts w:ascii="Arial" w:cs="Arial" w:eastAsia="Arial" w:hAnsi="Arial"/>
                <w:sz w:val="18"/>
                <w:szCs w:val="18"/>
                <w:b w:val="1"/>
                <w:bCs w:val="1"/>
                <w:color w:val="auto"/>
                <w:w w:val="92"/>
              </w:rPr>
              <w:t>Name, Address, and Age</w:t>
            </w:r>
            <w:r>
              <w:rPr>
                <w:rFonts w:ascii="Arial" w:cs="Arial" w:eastAsia="Arial" w:hAnsi="Arial"/>
                <w:sz w:val="30"/>
                <w:szCs w:val="30"/>
                <w:b w:val="1"/>
                <w:bCs w:val="1"/>
                <w:color w:val="auto"/>
                <w:w w:val="92"/>
                <w:vertAlign w:val="superscript"/>
              </w:rPr>
              <w:t>(1)</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Position(s) Held with</w:t>
            </w:r>
          </w:p>
        </w:tc>
        <w:tc>
          <w:tcPr>
            <w:tcW w:w="206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Term of Office and</w:t>
            </w: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w w:val="92"/>
              </w:rPr>
              <w:t>Principal Occupation(s) During Past</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Other Directorships Held</w:t>
            </w:r>
          </w:p>
        </w:tc>
        <w:tc>
          <w:tcPr>
            <w:tcW w:w="0" w:type="dxa"/>
            <w:vAlign w:val="bottom"/>
          </w:tcPr>
          <w:p>
            <w:pPr>
              <w:spacing w:after="0"/>
              <w:rPr>
                <w:sz w:val="1"/>
                <w:szCs w:val="1"/>
                <w:color w:val="auto"/>
              </w:rPr>
            </w:pPr>
          </w:p>
        </w:tc>
      </w:tr>
      <w:tr>
        <w:trPr>
          <w:trHeight w:val="211"/>
        </w:trPr>
        <w:tc>
          <w:tcPr>
            <w:tcW w:w="232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the Company</w:t>
            </w:r>
          </w:p>
        </w:tc>
        <w:tc>
          <w:tcPr>
            <w:tcW w:w="20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Length of Time Served</w:t>
            </w:r>
          </w:p>
        </w:tc>
        <w:tc>
          <w:tcPr>
            <w:tcW w:w="3000" w:type="dxa"/>
            <w:vAlign w:val="bottom"/>
          </w:tcPr>
          <w:p>
            <w:pPr>
              <w:ind w:left="1240"/>
              <w:spacing w:after="0"/>
              <w:rPr>
                <w:sz w:val="20"/>
                <w:szCs w:val="20"/>
                <w:color w:val="auto"/>
              </w:rPr>
            </w:pPr>
            <w:r>
              <w:rPr>
                <w:rFonts w:ascii="Arial" w:cs="Arial" w:eastAsia="Arial" w:hAnsi="Arial"/>
                <w:sz w:val="18"/>
                <w:szCs w:val="18"/>
                <w:b w:val="1"/>
                <w:bCs w:val="1"/>
                <w:color w:val="auto"/>
              </w:rPr>
              <w:t>5 Years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by Director or Nominee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2"/>
              </w:rPr>
              <w:t>for Director During Past 5</w:t>
            </w:r>
          </w:p>
        </w:tc>
        <w:tc>
          <w:tcPr>
            <w:tcW w:w="0" w:type="dxa"/>
            <w:vAlign w:val="bottom"/>
          </w:tcPr>
          <w:p>
            <w:pPr>
              <w:spacing w:after="0"/>
              <w:rPr>
                <w:sz w:val="1"/>
                <w:szCs w:val="1"/>
                <w:color w:val="auto"/>
              </w:rPr>
            </w:pPr>
          </w:p>
        </w:tc>
      </w:tr>
      <w:tr>
        <w:trPr>
          <w:trHeight w:val="234"/>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Current Independent</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c>
          <w:tcPr>
            <w:tcW w:w="0" w:type="dxa"/>
            <w:vAlign w:val="bottom"/>
          </w:tcPr>
          <w:p>
            <w:pPr>
              <w:spacing w:after="0"/>
              <w:rPr>
                <w:sz w:val="1"/>
                <w:szCs w:val="1"/>
                <w:color w:val="auto"/>
              </w:rPr>
            </w:pPr>
          </w:p>
        </w:tc>
      </w:tr>
      <w:tr>
        <w:trPr>
          <w:trHeight w:val="198"/>
        </w:trPr>
        <w:tc>
          <w:tcPr>
            <w:tcW w:w="232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Director Nominees: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20" w:type="dxa"/>
            <w:vAlign w:val="bottom"/>
          </w:tcPr>
          <w:p>
            <w:pPr>
              <w:spacing w:after="0"/>
              <w:rPr>
                <w:sz w:val="20"/>
                <w:szCs w:val="20"/>
                <w:color w:val="auto"/>
              </w:rPr>
            </w:pPr>
            <w:r>
              <w:rPr>
                <w:rFonts w:ascii="Arial" w:cs="Arial" w:eastAsia="Arial" w:hAnsi="Arial"/>
                <w:sz w:val="18"/>
                <w:szCs w:val="18"/>
                <w:i w:val="1"/>
                <w:iCs w:val="1"/>
                <w:color w:val="auto"/>
                <w:w w:val="94"/>
              </w:rPr>
              <w:t>Messers. Salute and Mulia are</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i w:val="1"/>
                <w:iCs w:val="1"/>
                <w:color w:val="auto"/>
                <w:w w:val="95"/>
              </w:rPr>
              <w:t>not “interested persons” of the</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i w:val="1"/>
                <w:iCs w:val="1"/>
                <w:color w:val="auto"/>
              </w:rPr>
              <w:t>Company as defined in the</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i w:val="1"/>
                <w:iCs w:val="1"/>
                <w:color w:val="auto"/>
              </w:rPr>
              <w:t>1940 Act.</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Richard Salute, 71</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
              <w:spacing w:after="0"/>
              <w:rPr>
                <w:sz w:val="20"/>
                <w:szCs w:val="20"/>
                <w:color w:val="auto"/>
              </w:rPr>
            </w:pPr>
            <w:r>
              <w:rPr>
                <w:rFonts w:ascii="Arial" w:cs="Arial" w:eastAsia="Arial" w:hAnsi="Arial"/>
                <w:sz w:val="18"/>
                <w:szCs w:val="18"/>
                <w:color w:val="auto"/>
              </w:rPr>
              <w:t>Class III Director since</w:t>
            </w:r>
          </w:p>
        </w:tc>
        <w:tc>
          <w:tcPr>
            <w:tcW w:w="3000" w:type="dxa"/>
            <w:vAlign w:val="bottom"/>
          </w:tcPr>
          <w:p>
            <w:pPr>
              <w:ind w:left="100"/>
              <w:spacing w:after="0"/>
              <w:rPr>
                <w:sz w:val="20"/>
                <w:szCs w:val="20"/>
                <w:color w:val="auto"/>
              </w:rPr>
            </w:pPr>
            <w:r>
              <w:rPr>
                <w:rFonts w:ascii="Arial" w:cs="Arial" w:eastAsia="Arial" w:hAnsi="Arial"/>
                <w:sz w:val="18"/>
                <w:szCs w:val="18"/>
                <w:color w:val="auto"/>
              </w:rPr>
              <w:t>Capital Markets</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Director, Walker Innovation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w w:val="96"/>
              </w:rPr>
              <w:t>2015; Term expires 2017</w:t>
            </w:r>
          </w:p>
        </w:tc>
        <w:tc>
          <w:tcPr>
            <w:tcW w:w="3000" w:type="dxa"/>
            <w:vAlign w:val="bottom"/>
          </w:tcPr>
          <w:p>
            <w:pPr>
              <w:ind w:left="100"/>
              <w:spacing w:after="0"/>
              <w:rPr>
                <w:sz w:val="20"/>
                <w:szCs w:val="20"/>
                <w:color w:val="auto"/>
              </w:rPr>
            </w:pPr>
            <w:r>
              <w:rPr>
                <w:rFonts w:ascii="Arial" w:cs="Arial" w:eastAsia="Arial" w:hAnsi="Arial"/>
                <w:sz w:val="18"/>
                <w:szCs w:val="18"/>
                <w:color w:val="auto"/>
              </w:rPr>
              <w:t>and SEC</w:t>
            </w:r>
          </w:p>
        </w:tc>
        <w:tc>
          <w:tcPr>
            <w:tcW w:w="2100" w:type="dxa"/>
            <w:vAlign w:val="bottom"/>
          </w:tcPr>
          <w:p>
            <w:pPr>
              <w:ind w:left="60"/>
              <w:spacing w:after="0"/>
              <w:rPr>
                <w:sz w:val="20"/>
                <w:szCs w:val="20"/>
                <w:color w:val="auto"/>
              </w:rPr>
            </w:pPr>
            <w:r>
              <w:rPr>
                <w:rFonts w:ascii="Arial" w:cs="Arial" w:eastAsia="Arial" w:hAnsi="Arial"/>
                <w:sz w:val="18"/>
                <w:szCs w:val="18"/>
                <w:color w:val="auto"/>
              </w:rPr>
              <w:t>Inc., since 2015</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Practice Director</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at J.H. Cohn and</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CohnReznick LLP;</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400"/>
        <w:spacing w:after="0"/>
        <w:rPr>
          <w:sz w:val="20"/>
          <w:szCs w:val="20"/>
          <w:color w:val="auto"/>
        </w:rPr>
      </w:pPr>
      <w:r>
        <w:rPr>
          <w:rFonts w:ascii="Arial" w:cs="Arial" w:eastAsia="Arial" w:hAnsi="Arial"/>
          <w:sz w:val="18"/>
          <w:szCs w:val="18"/>
          <w:color w:val="auto"/>
        </w:rPr>
        <w:t>Partner at Arthur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Andersen, Chief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PAVmed Inc., June 2014 through</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September 2015</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Mr. Salute served as Capital Markets and SEC Practice Director at J.H. Cohn and CohnReznick LLP from 2004 to 2014. Prior to that, he spent 29 years, 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is a graduate of Adelphi University and a member of the American Institute of Certified Public Accountants and the New York State Society of Certified Public Accountants. Mr. Salute also has served as a director of Walker Innovation Inc. since May 2015.</w:t>
      </w:r>
    </w:p>
    <w:p>
      <w:pPr>
        <w:spacing w:after="0" w:line="17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Mr. Salute has more than 38 years of audit, accounting, and tax experience. These extensive audit, accounting, and tax experience and relationships with industry players are an asset to our Board of Directors. Mr. Salute’s expertise and experience also qualify him to serve as chairman of the Audit Committee and as the Audit Committee Financial Expert. Mr. Salute’s experience with SEC matters includes numerous initial public offerings and his experience representing publicly traded, as well as over-the-counter market traded, clients provides a significant addition to the board of directors.</w:t>
      </w:r>
    </w:p>
    <w:p>
      <w:pPr>
        <w:sectPr>
          <w:pgSz w:w="11900" w:h="16838" w:orient="portrait"/>
          <w:cols w:equalWidth="0" w:num="1">
            <w:col w:w="11400"/>
          </w:cols>
          <w:pgMar w:left="240" w:top="891" w:right="25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Salvatore Mulia, 69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Class III Director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since 2005;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expires 2017</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Financial advisor at RTM Financial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Services; Executive Vice President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Pitney Bowes Capital Corp.</w:t>
      </w:r>
    </w:p>
    <w:p>
      <w:pPr>
        <w:spacing w:after="0" w:line="200" w:lineRule="exact"/>
        <w:rPr>
          <w:sz w:val="20"/>
          <w:szCs w:val="20"/>
          <w:color w:val="auto"/>
        </w:rPr>
      </w:pPr>
    </w:p>
    <w:p>
      <w:pPr>
        <w:sectPr>
          <w:pgSz w:w="11900" w:h="16838" w:orient="portrait"/>
          <w:cols w:equalWidth="0" w:num="4">
            <w:col w:w="1680" w:space="720"/>
            <w:col w:w="1220" w:space="720"/>
            <w:col w:w="1340" w:space="720"/>
            <w:col w:w="5000"/>
          </w:cols>
          <w:pgMar w:left="240" w:top="891" w:right="259" w:bottom="1440" w:gutter="0" w:footer="0" w:header="0"/>
          <w:type w:val="continuous"/>
        </w:sectPr>
      </w:pPr>
    </w:p>
    <w:p>
      <w:pPr>
        <w:spacing w:after="0" w:line="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Mr. Mulia has been a financial advisor at RTM Financial Services, Westport, CT, with an emphasis on leasing and lending advisory services since February 2003. From February 2001 to February 2003, Mr. Mulia was Executive Vice President of Pitney Bowes Capital Corp, Shelton, CT which was engaged in providing financial services to business customers. Prior to that, from 1980 to 1993, Mr. Mulia held senior management positions within General Electric’s Financial Services Division, GE Capital Corporation (“GECC”), and during that time, from 1980 through 1993 he was responsible for developing new products and business initiatives in financial services. During his tenure at GECC Mr. Mulia was a principal in GEVEST, GECC’s investment banking unit, where he headed syndication and led acquisition teams which acquired leasing companies including TransAmerica Leasing, Chase Manhattan’s leasing subsidiary and LeaseAmerica.</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Mr. Mulia’s experience in the financial services industry as well as working with smaller to mid-sized companies needing capital and debt and his understanding of these businesses provides a significant addition to our Board of Directors. Mr. Mulia has many years of experience with financial companies working with smaller to mid-sized companies needing capital and debt. His understanding of the dynamics of these businesses has been particularly helpful in addressing similar issues of the Company and this experience provides a significant addition to the board of directors.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9" w:name="page10"/>
    <w:bookmarkEnd w:id="9"/>
    <w:p>
      <w:pPr>
        <w:ind w:left="100"/>
        <w:spacing w:after="0"/>
        <w:rPr>
          <w:sz w:val="20"/>
          <w:szCs w:val="20"/>
          <w:color w:val="auto"/>
        </w:rPr>
      </w:pPr>
      <w:r>
        <w:rPr>
          <w:rFonts w:ascii="Arial" w:cs="Arial" w:eastAsia="Arial" w:hAnsi="Arial"/>
          <w:sz w:val="16"/>
          <w:szCs w:val="16"/>
          <w:b w:val="1"/>
          <w:bCs w:val="1"/>
          <w:color w:val="auto"/>
        </w:rPr>
        <w:t>Name, Address, and Age(1)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b w:val="1"/>
          <w:bCs w:val="1"/>
          <w:color w:val="auto"/>
        </w:rPr>
        <w:t>Position(s) Held with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 of Office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Length of Time Served</w:t>
      </w:r>
    </w:p>
    <w:p>
      <w:pPr>
        <w:spacing w:after="0" w:line="20" w:lineRule="exact"/>
        <w:rPr>
          <w:sz w:val="20"/>
          <w:szCs w:val="20"/>
          <w:color w:val="auto"/>
        </w:rPr>
      </w:pPr>
      <w:r>
        <w:rPr>
          <w:sz w:val="20"/>
          <w:szCs w:val="20"/>
          <w:color w:val="auto"/>
        </w:rPr>
        <w:br w:type="column"/>
      </w:r>
    </w:p>
    <w:p>
      <w:pPr>
        <w:jc w:val="center"/>
        <w:spacing w:after="0" w:line="282" w:lineRule="auto"/>
        <w:rPr>
          <w:sz w:val="20"/>
          <w:szCs w:val="20"/>
          <w:color w:val="auto"/>
        </w:rPr>
      </w:pPr>
      <w:r>
        <w:rPr>
          <w:rFonts w:ascii="Arial" w:cs="Arial" w:eastAsia="Arial" w:hAnsi="Arial"/>
          <w:sz w:val="18"/>
          <w:szCs w:val="18"/>
          <w:b w:val="1"/>
          <w:bCs w:val="1"/>
          <w:color w:val="auto"/>
        </w:rPr>
        <w:t>Principal Occupation(s) During Past 5 Years</w:t>
      </w:r>
    </w:p>
    <w:p>
      <w:pPr>
        <w:spacing w:after="0" w:line="20" w:lineRule="exact"/>
        <w:rPr>
          <w:sz w:val="20"/>
          <w:szCs w:val="20"/>
          <w:color w:val="auto"/>
        </w:rPr>
      </w:pPr>
      <w:r>
        <w:rPr>
          <w:sz w:val="20"/>
          <w:szCs w:val="20"/>
          <w:color w:val="auto"/>
        </w:rPr>
        <w:br w:type="column"/>
      </w:r>
    </w:p>
    <w:p>
      <w:pPr>
        <w:jc w:val="center"/>
        <w:spacing w:after="0" w:line="261" w:lineRule="auto"/>
        <w:rPr>
          <w:sz w:val="20"/>
          <w:szCs w:val="20"/>
          <w:color w:val="auto"/>
        </w:rPr>
      </w:pPr>
      <w:r>
        <w:rPr>
          <w:rFonts w:ascii="Arial" w:cs="Arial" w:eastAsia="Arial" w:hAnsi="Arial"/>
          <w:sz w:val="18"/>
          <w:szCs w:val="18"/>
          <w:b w:val="1"/>
          <w:bCs w:val="1"/>
          <w:color w:val="auto"/>
        </w:rPr>
        <w:t>Other Directorships Held by Director or Nominee for Director During Past 5 Years</w:t>
      </w:r>
    </w:p>
    <w:p>
      <w:pPr>
        <w:spacing w:after="0" w:line="180" w:lineRule="exact"/>
        <w:rPr>
          <w:sz w:val="20"/>
          <w:szCs w:val="20"/>
          <w:color w:val="auto"/>
        </w:rPr>
      </w:pPr>
    </w:p>
    <w:p>
      <w:pPr>
        <w:sectPr>
          <w:pgSz w:w="11900" w:h="16838" w:orient="portrait"/>
          <w:cols w:equalWidth="0" w:num="5">
            <w:col w:w="2200" w:space="320"/>
            <w:col w:w="1600" w:space="320"/>
            <w:col w:w="1760" w:space="220"/>
            <w:col w:w="2820" w:space="140"/>
            <w:col w:w="2020"/>
          </w:cols>
          <w:pgMar w:left="240" w:top="904" w:right="259" w:bottom="1440" w:gutter="0" w:footer="0" w:header="0"/>
        </w:sectPr>
      </w:pPr>
    </w:p>
    <w:p>
      <w:pPr>
        <w:spacing w:after="0"/>
        <w:rPr>
          <w:sz w:val="20"/>
          <w:szCs w:val="20"/>
          <w:color w:val="auto"/>
        </w:rPr>
      </w:pPr>
      <w:r>
        <w:rPr>
          <w:rFonts w:ascii="Arial" w:cs="Arial" w:eastAsia="Arial" w:hAnsi="Arial"/>
          <w:sz w:val="18"/>
          <w:szCs w:val="18"/>
          <w:b w:val="1"/>
          <w:bCs w:val="1"/>
          <w:color w:val="auto"/>
        </w:rPr>
        <w:t>Current Independent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Zink is not an “interested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person” of the Company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in the 1940 Act.</w:t>
      </w:r>
    </w:p>
    <w:p>
      <w:pPr>
        <w:sectPr>
          <w:pgSz w:w="11900" w:h="16838" w:orient="portrait"/>
          <w:cols w:equalWidth="0" w:num="1">
            <w:col w:w="11400"/>
          </w:cols>
          <w:pgMar w:left="240" w:top="904" w:right="25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Gregory Zink, 60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Class II Director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since 2017;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expires 2019</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Management Consultant, Lowell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Group, LLC; Nautilus Group Japan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LTD, CEO, CFO and Director</w:t>
      </w:r>
    </w:p>
    <w:p>
      <w:pPr>
        <w:spacing w:after="0" w:line="200" w:lineRule="exact"/>
        <w:rPr>
          <w:sz w:val="20"/>
          <w:szCs w:val="20"/>
          <w:color w:val="auto"/>
        </w:rPr>
      </w:pPr>
    </w:p>
    <w:p>
      <w:pPr>
        <w:sectPr>
          <w:pgSz w:w="11900" w:h="16838" w:orient="portrait"/>
          <w:cols w:equalWidth="0" w:num="4">
            <w:col w:w="1680" w:space="720"/>
            <w:col w:w="1220" w:space="720"/>
            <w:col w:w="1340" w:space="720"/>
            <w:col w:w="5000"/>
          </w:cols>
          <w:pgMar w:left="240" w:top="904" w:right="259" w:bottom="1440" w:gutter="0" w:footer="0" w:header="0"/>
          <w:type w:val="continuous"/>
        </w:sectPr>
      </w:pPr>
    </w:p>
    <w:p>
      <w:pPr>
        <w:spacing w:after="0" w:line="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1998 to-date, Mr. Zink has been the principal of the Lowell Group, LLC, a management consulting firm which provides strategic, operational, marketing and financial consulting assistance to start-up, small and medium size businesses. In addition, since 1988 Mr. Zink has been the chief executive officer, chief financial officer and a director of Nautilus Group Japan LTD, an international distributor of commercial fitness equipment. Mr. Zink was an executive vice president of the Company from 2000 to 2005. Mr. Zink was also previously employed by Touche Ross/Deloitte Consulting, AT&amp;T, and is a graduate of the General Electric Financial Management Program. Mr. Zink attended Pennsylvania State University and has an MBA from the Wharton School of Business at the University of Pennsylvania.</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Mr. Zink’s professional experience provides a significant addition to the Board of Directors. Mr. Zink has many years of experience providing consulting and financial advice to small and medium sized businesses, provides a significant addition to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Directors:</w:t>
      </w:r>
    </w:p>
    <w:p>
      <w:pPr>
        <w:sectPr>
          <w:pgSz w:w="11900" w:h="16838" w:orient="portrait"/>
          <w:cols w:equalWidth="0" w:num="1">
            <w:col w:w="11400"/>
          </w:cols>
          <w:pgMar w:left="240" w:top="904" w:right="25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Barry Sloane, 57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Director, Chief Executive Officer, and President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Class I Director since 1999; Term expires 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and founder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of each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controlled portfolio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companies.</w:t>
      </w:r>
    </w:p>
    <w:p>
      <w:pPr>
        <w:spacing w:after="0" w:line="200" w:lineRule="exact"/>
        <w:rPr>
          <w:sz w:val="20"/>
          <w:szCs w:val="20"/>
          <w:color w:val="auto"/>
        </w:rPr>
      </w:pPr>
    </w:p>
    <w:p>
      <w:pPr>
        <w:sectPr>
          <w:pgSz w:w="11900" w:h="16838" w:orient="portrait"/>
          <w:cols w:equalWidth="0" w:num="4">
            <w:col w:w="1680" w:space="720"/>
            <w:col w:w="1840" w:space="100"/>
            <w:col w:w="1800" w:space="260"/>
            <w:col w:w="5000"/>
          </w:cols>
          <w:pgMar w:left="240" w:top="904" w:right="259" w:bottom="1440" w:gutter="0" w:footer="0" w:header="0"/>
          <w:type w:val="continuous"/>
        </w:sectPr>
      </w:pPr>
    </w:p>
    <w:p>
      <w:pPr>
        <w:spacing w:after="0" w:line="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Mr. Sloane has served as our Chairman and Chief Executive Officer since 1999 and as our President since 2008. Mr. Sloane founded Newtek in 1998 and has been an executive officer of each of the Company-sponsored certified capital companies beginning in 1999. In addition, in April 2015 Mr. Sloane became a director with AK Capital LLC (“AKC”), a securities brokerage company. From September 1993 through July 1995, Mr. Sloane was a Managing Director of Smith Barney, Inc. While there, he directed the Commercial and Residential Real Estate Securitization Unit, and he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Mr. Sloane’s broad business and financial experience and his knowledge of the Company’s businesses have been of great value to the other members of the Board of Directors and qualify him to serve on our Board of Directors and as the Chairman of our Board of Directors.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Peter Downs, 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Lending Officer</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Class I Director since 2014; Term expires 2018</w:t>
      </w:r>
    </w:p>
    <w:p>
      <w:pPr>
        <w:spacing w:after="0" w:line="20" w:lineRule="exact"/>
        <w:rPr>
          <w:sz w:val="20"/>
          <w:szCs w:val="20"/>
          <w:color w:val="auto"/>
        </w:rPr>
      </w:pPr>
      <w:r>
        <w:rPr>
          <w:sz w:val="20"/>
          <w:szCs w:val="20"/>
          <w:color w:val="auto"/>
        </w:rPr>
        <w:br w:type="column"/>
      </w:r>
    </w:p>
    <w:p>
      <w:pPr>
        <w:ind w:right="2160"/>
        <w:spacing w:after="0" w:line="264" w:lineRule="auto"/>
        <w:rPr>
          <w:sz w:val="20"/>
          <w:szCs w:val="20"/>
          <w:color w:val="auto"/>
        </w:rPr>
      </w:pPr>
      <w:r>
        <w:rPr>
          <w:rFonts w:ascii="Arial" w:cs="Arial" w:eastAsia="Arial" w:hAnsi="Arial"/>
          <w:sz w:val="18"/>
          <w:szCs w:val="18"/>
          <w:color w:val="auto"/>
        </w:rPr>
        <w:t>Chief Lending Officer of the Company; President of Newtek Small Business Finance, LLC</w:t>
      </w:r>
    </w:p>
    <w:p>
      <w:pPr>
        <w:spacing w:after="0" w:line="181" w:lineRule="exact"/>
        <w:rPr>
          <w:sz w:val="20"/>
          <w:szCs w:val="20"/>
          <w:color w:val="auto"/>
        </w:rPr>
      </w:pPr>
    </w:p>
    <w:p>
      <w:pPr>
        <w:sectPr>
          <w:pgSz w:w="11900" w:h="16838" w:orient="portrait"/>
          <w:cols w:equalWidth="0" w:num="4">
            <w:col w:w="1680" w:space="720"/>
            <w:col w:w="1600" w:space="340"/>
            <w:col w:w="1800" w:space="260"/>
            <w:col w:w="5020"/>
          </w:cols>
          <w:pgMar w:left="240" w:top="935" w:right="239" w:bottom="1440" w:gutter="0" w:footer="0" w:header="0"/>
        </w:sectPr>
      </w:pPr>
    </w:p>
    <w:p>
      <w:pPr>
        <w:ind w:right="20"/>
        <w:spacing w:after="0" w:line="288" w:lineRule="auto"/>
        <w:rPr>
          <w:sz w:val="20"/>
          <w:szCs w:val="20"/>
          <w:color w:val="auto"/>
        </w:rPr>
      </w:pPr>
      <w:r>
        <w:rPr>
          <w:rFonts w:ascii="Arial" w:cs="Arial" w:eastAsia="Arial" w:hAnsi="Arial"/>
          <w:sz w:val="16"/>
          <w:szCs w:val="16"/>
          <w:color w:val="auto"/>
        </w:rPr>
        <w:t>Mr. Downs is the Company’s Chief Lending Officer and was appointed as director in connection with the Company’s conversion to a business development company on November 12, 2014. Mr. Downs joined the Company in 2003 and has been the President of Newtek Small Business Finance, LLC (“NSBF”) and a member of the Risk Committee for NSBF. He has had primary responsibility for the development of the Company’s lending policies and procedures, portfolio and marketing, from its inception. Prior to joining Newtek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Down’s history with the Company and extensive experience in developing policies and procedures, portfolios and marketing in the small business lending space provides our Board of Directors with the valuable insight of an experienced lender.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Board of Directors Meetings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Newtek’s Board of Directors and management are committed to responsible corporate governance to ensure that the Company is managed for the long-term benefit of its shareholders. To that end, the Board of Directors and management periodically review and update, as appropriate, the Company’s corporate governance policies and practices. In doing so, the Board of Directors and management review published guidelines and recommendations of institutional shareholder organizations and current best practices of similarly situated public companies. The Board of Directors and management also regularly evaluate and, when appropriate, revise the Company’s corporate governance policies and practices in accordance with the requirements of the Sarbanes-Oxley Act of 2002 and the rules and listing standards issued by the SEC and The Nasdaq® Stock Market, Inc. (“Nasdaq”) where the Company’s Common Shares are listed and traded.</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fiscal year ended December 31, 2016, the Board of Directors held a total of 19 meetings, the Audit Committee held 5 meetings and the Compensation, Corporate Governance and Nominating Committee held 7 meetings. Each director attended at least 90% of the total number of meetings of the Board of Directors and at least 90% of the meetings of all committees on which he served. All members of the Board of Directors make a diligent effort to attend all board and committee meetings, as well as the Annual Meeting of Shareholders. In 2016, all members of the Board of Directors attended the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Corporate Governance Policies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has adopted corporate governance policies which are available at the Investor Relations page of </w:t>
      </w:r>
      <w:r>
        <w:rPr>
          <w:rFonts w:ascii="Arial" w:cs="Arial" w:eastAsia="Arial" w:hAnsi="Arial"/>
          <w:sz w:val="18"/>
          <w:szCs w:val="18"/>
          <w:u w:val="single" w:color="auto"/>
          <w:color w:val="auto"/>
        </w:rPr>
        <w:t>www.newtekone.com</w:t>
      </w:r>
      <w:r>
        <w:rPr>
          <w:rFonts w:ascii="Arial" w:cs="Arial" w:eastAsia="Arial" w:hAnsi="Arial"/>
          <w:sz w:val="18"/>
          <w:szCs w:val="18"/>
          <w:color w:val="auto"/>
        </w:rPr>
        <w:t xml:space="preserve"> (http://investor.newtekbusinessservices.com/corporate-governance.cfm). The corporate governance policies are also available in print to any shareholder who requests them. These policies were adopted by the Board of Directors, among other things, to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spacing w:after="0" w:line="1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 xml:space="preserve">The Board of Directors currently has two standing committees: the Audit Committee and the Compensation, Corporate Governance and Nominating Committee. Each member of these committees is independent as defined by applicable Nasdaq and SEC rules. A brief description of each committee is included in this Proxy Statement and each of the committees has a written charter approved by the Board of Directors, which is available the Investor Relations page of our website at </w:t>
      </w:r>
      <w:r>
        <w:rPr>
          <w:rFonts w:ascii="Arial" w:cs="Arial" w:eastAsia="Arial" w:hAnsi="Arial"/>
          <w:sz w:val="18"/>
          <w:szCs w:val="18"/>
          <w:u w:val="single" w:color="auto"/>
          <w:color w:val="auto"/>
        </w:rPr>
        <w:t>www.newtekone.com</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Board of Directors has established an Audit Committee established in accordance with the Exchange Act. The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consists of Messrs. Salute, Mulia and Zink, and operates pursuant to its written Charter. Mr. Salute serves as Chair of the Audit Committee and currently serves as the “audit committee financial expert,” as defined under applicable SEC rules. The Audit Committee is authorized to examine and approve the audit report prepared by the independent auditors of the Company, to review and select the independent auditors to be engaged by the Company, to review the internal accounting controls and to review and approve conflict of interest or related party transactions and audit policies. In addition, the Board of Directors has determined that all members of the Audit Committee are “financially literate” as that term is defined by applicable Nasdaq and SEC rules.</w:t>
      </w:r>
    </w:p>
    <w:p>
      <w:pPr>
        <w:spacing w:after="0" w:line="16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i w:val="1"/>
          <w:iCs w:val="1"/>
          <w:color w:val="auto"/>
        </w:rPr>
        <w:t>Compensation, Corporate Governance and Nominating Committee</w:t>
      </w:r>
      <w:r>
        <w:rPr>
          <w:rFonts w:ascii="Arial" w:cs="Arial" w:eastAsia="Arial" w:hAnsi="Arial"/>
          <w:sz w:val="17"/>
          <w:szCs w:val="17"/>
          <w:color w:val="auto"/>
        </w:rPr>
        <w:t>. The Board of Directors has established a Compensation,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and Nominating Committee. The Company’s Compensation, Corporate Governance and Nominating Committee consists of Messrs. Mulia, Salute and Zink. Mr. Mulia currently serves as Chair of the Compensation, Corporate Governance and Nominating Committee. The Compensation, Corporate Governance and Nominating Committee evaluates the compensation and benefits of the directors, officers and employees, recommends changes, and monitors and evaluates employee performance. The Compensation, Corporate Governance and Nominating Committee is generally responsible for identifying corporate governance issues, creating corporate governance policies, identifying and recommending potential candidates for election to the Board of Directors and reviewing executive and director compensation and performance.</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Compensation, Corporate Governance and Nominating Committee seeks candidates who possess the background, skills, and expertise to make a significant contribution to the Board of Directors, the Company, and its shareholders. In considering possible candidates for election as a director, the Compensation, Corporate Governance and Nominating Committee will take into account, in addition to such other factors as it deems relevant, the desirability of selecting candidates who:</w:t>
      </w:r>
    </w:p>
    <w:p>
      <w:pPr>
        <w:spacing w:after="0" w:line="18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of the highest character and integrity;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free of any conflict of interest;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willing and able to devote sufficient time to the affairs of the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the capacity and desire to represent the balance, best interests of the shareholders.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Compensation, Corporate Governance and Nominating Committee has not adopted a formal policy with regard to the consideration of diversity in identifying director nominees. In determining whether to recommend a director nominee, the Compensation, Corporate Governance and Nominating Committee considers and discusses diversity, among other factors, with a view toward the needs of the Board of Directors as a whole. The Compensation, Corporate Governance and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Compensation, Corporate Governance and Nominating Committee believes that the inclusion of diversity as one of many factors considered in selecting director nominees is consistent with the Compensation, Corporate Governance and Nominating Committee’s goal of creating a Board of Directors that best serves the needs of the Company and the interest of its shareholders.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Director Independence and Executive Sessions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Nasdaq listing standards and Section 2(a)(19) of the 1940 Act require that a majority of the Board of Directors and every member of our Audit Committee and Compensation, Corporate Governance and Nominating Committee are “independent.” Our Board of Directors reviews the independence of its members annually.</w:t>
      </w:r>
    </w:p>
    <w:p>
      <w:pPr>
        <w:spacing w:after="0" w:line="18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Board of Directors has determined that Messrs. Mulia, Zink and Salute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spacing w:after="0" w:line="16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As the Company’s President and Chief Executive Officer, Mr. Sloane is an “interested person” under Section 2(a)(19) of the 1940 Act . The Board of Directors continues to believe that our leadership structure is appropriate since Mr. Sloane has over 25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three of our five current directors are independent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the members of our Audit Committee and Compensation, Corporate Governance and Nominating Committee are independent directors;</w:t>
      </w:r>
    </w:p>
    <w:p>
      <w:pPr>
        <w:spacing w:after="0" w:line="248" w:lineRule="exact"/>
        <w:rPr>
          <w:rFonts w:ascii="Arial" w:cs="Arial" w:eastAsia="Arial" w:hAnsi="Arial"/>
          <w:sz w:val="16"/>
          <w:szCs w:val="16"/>
          <w:color w:val="auto"/>
        </w:rPr>
      </w:pPr>
    </w:p>
    <w:p>
      <w:pPr>
        <w:ind w:left="980" w:right="3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scheduled, and as needed, meetings in executive session, out of the presence of Messrs. Sloane and Downs and other members of management;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meetings which specifically include Messrs. Sloane and Downs;</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interact with employees of the company outside the ranks of senior management.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Company has not appointed a lead independent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Risk Oversight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but is not limited to, the following risks:</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reputational.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each year, management and the Board of Directors jointly review major risks that the Company prioritizes in the following year. In 2016,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focused on the following areas of risk:</w:t>
      </w:r>
    </w:p>
    <w:p>
      <w:pPr>
        <w:spacing w:after="0" w:line="21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Newtek’s long-term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and operational planning, including acquisitions and the evaluation of the Company’s capital structure and long term debt financing;</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reviewing and approving management’s estimates of fair value of the Company’s investment portfolio.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Board of Directors has delegated responsibility for the oversight of specific risks to Board of Directors committees. The Audit Committee overseas risks associated with:</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financial statements and financial reporting;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controls over financial reporting;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Governance and Nominating Committee considers the risks associated with:</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policies and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resources, structure, succession planning and management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governance practices and the structure and leadership of the Board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related person transactions and the code of conduct for all employees, officers and directors.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CEO and the senior management of the Company. Our senior management is responsible for assessing and managing risk exposure and the Board of Directors, and committees of the Board of Directors provide the oversight consistent with those efforts.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considering whether to recommend any particular candidate for inclusion in the Board of Directors’ slate of recommended director nominees, the Compensation, Corporate Governance and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t>Shareholders may recommend individuals to the Compensation, Corporate Governance and Nominating Committee for consideration as potential director candidates by submitting their names, together with appropriate biographical information and background materials. The recommendation should be sent to the Compensation, Corporate Governance and Nominating Committee, c/o Michael A. Schwartz, Secretary, Newtek Business Services Corp., 1981 Marcus Avenue, Suite 130, Lake Success, New York 11042. Assuming that appropriate biographical and background material has been provided on a timely basis, the Committee will evaluate shareholder-recommended candidates by following substantially the same process, and applying substantially the same criteria, as it follows for candidates recommended by our Board of Directors or others. If the Board of Directors determines to nominate a shareholder-recommended candidate and recommends his or her election, then his or her name will be included in the proposal for election for the next annual meeting.</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Shareholders also have the right under our Bylaws to nominate director candidates, without any action or recommendation on the part of the Compensation, Corporate Governance and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We have adopted and will maintain a Code of Ethics that establishes procedures for personal investments and restricts certain personal securities transactions. Personnel subject to the Code of Ethics may invest in securities for their personal investment accounts, including securities that may be purchased or held by us, so long as such investments are made in accordance with the Code’s requirements. Our Code of Ethics generally will not permit investments by our employees in securities that may be purchased or held by us. We may be prohibited under the 1940 Act from conducting certain transactions with our affiliates without the prior approval of our directors who are not interested persons and, in some cases, the prior approval of the SEC. Our current Code of Ethics is posted on the Investor Relations section of our website at </w:t>
      </w:r>
      <w:r>
        <w:rPr>
          <w:rFonts w:ascii="Arial" w:cs="Arial" w:eastAsia="Arial" w:hAnsi="Arial"/>
          <w:sz w:val="17"/>
          <w:szCs w:val="17"/>
          <w:u w:val="single" w:color="auto"/>
          <w:color w:val="auto"/>
        </w:rPr>
        <w:t>www.newtekone.com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written procedures in place for the review, approval and monitoring of transactions involving the Company and certain persons related to the Company. As a business development company (“BDC”), the Company is prohibited under the 1940 Act from participating in certain transactions with certain of its affiliates without meeting certain requirements, such as the prior approval of the independent directors and, in some cases, the SEC. The affiliates with which the Company may be prohibited from transacting include its officers, directors and employees and any person who owns 5% or more of our outstanding voting securities or controlling or under common control with the Company.</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Board of Directors reviews all potential related party transactions on an ongoing basis, and all such transactions must be approved by the Board of Directors. The Board of Directors reviews such transactions on a case-by-case basis. In addition, the Compensation, Corporate Governance and Nominating Committee or the Board of Directors reviews and approves all compensation-related policies involving our directors and executive officers. 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Mr. Salute, a former partner with CohnReznick LLP (“CohnReznick”), receives a pension from CohnReznick and capital payouts from his partnership interests. CohnReznick performs tax work for the Company.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Adam Eddelson, husband to Jennifer Eddelson, the Company’s Chief Accounting Officer, is the controller of certain of the Company’s controlled portfolio companies, and is paid an annual salary in excess of $125,000.</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Mr. Sloane’s brother Warren Sloane and nephew Kyle Sloane are employed by certain of the Company’s controlled portfolio companies and earn annual salaries less than $125,000.</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Mr. Sloane is a director with AK Capital LLC, a securities brokerage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In August 2016, the Company entered into an agreement with AK Capital pursuant to which AK Capital provides consulting and advisory services to the Company in connection with the sale and/or securitization of participations in SBA guaranteed and unguaranteed SBA 7(a) loans (the “AK Capital Agreement”). The AK Capital Agreement provides for the payment of fees of $10,000, to be paid monthly over the one year period of the agreement. During the year ended December 31, 2016, the Company incurred $3,000 in fees from AK Capital pursuant to the AK Capital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and the Nasdaq initial reports of ownership and reports of changes in ownership of Common Shares of the Company. Officers, directors and greater than 10% shareholders are required by SEC regulations to furnish us with copies of all Section 16(a) forms they file.</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 the Company’s knowledge, based solely on Forms 3 and 4, and amendments to such forms, provided to the Company by its directors and executive officers and greater than 10% shareholders during 2016, all such required reports were timely filed.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Board of Directors has adopted a plan for compensation of non-employee directors which gives effect to the time and effort required of each of them in the performance of their duties. For 2016, the Board of Directors amended the plan for compensation of non-employee directors to provide for the payment of annual compensation in the amount of $125,000 for each non-employee director, with no additional fees for committee membership or chairmanship.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Directors do not receive any perquisites or other personal benefits from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Summary Compensation Table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discloses the cash, equity awards and other compensation earned, paid or awarded, as the case may be, to each of our current directors during the fiscal years ended December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Fees earned</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or Paid in Cash</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Awards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 of Director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independent directors: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60"/>
              <w:spacing w:after="0" w:line="201" w:lineRule="exact"/>
              <w:rPr>
                <w:sz w:val="20"/>
                <w:szCs w:val="20"/>
                <w:color w:val="auto"/>
              </w:rPr>
            </w:pPr>
            <w:r>
              <w:rPr>
                <w:rFonts w:ascii="Arial" w:cs="Arial" w:eastAsia="Arial" w:hAnsi="Arial"/>
                <w:sz w:val="18"/>
                <w:szCs w:val="18"/>
                <w:color w:val="auto"/>
              </w:rPr>
              <w:t>Salvatore F. Mulia</w:t>
            </w:r>
          </w:p>
        </w:tc>
        <w:tc>
          <w:tcPr>
            <w:tcW w:w="104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c>
          <w:tcPr>
            <w:tcW w:w="15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125,000</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Richard Salute</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125,000</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Gregory Zink (1)</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Former independent director: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Sam Kirschner (1)</w:t>
            </w:r>
          </w:p>
        </w:tc>
        <w:tc>
          <w:tcPr>
            <w:tcW w:w="104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c>
          <w:tcPr>
            <w:tcW w:w="15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125,000</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60,000</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80"/>
              <w:spacing w:after="0" w:line="201" w:lineRule="exact"/>
              <w:rPr>
                <w:sz w:val="20"/>
                <w:szCs w:val="20"/>
                <w:color w:val="auto"/>
              </w:rPr>
            </w:pPr>
            <w:r>
              <w:rPr>
                <w:rFonts w:ascii="Arial" w:cs="Arial" w:eastAsia="Arial" w:hAnsi="Arial"/>
                <w:sz w:val="18"/>
                <w:szCs w:val="18"/>
                <w:color w:val="auto"/>
              </w:rPr>
              <w:t>Barry Sloane (2)</w:t>
            </w:r>
          </w:p>
        </w:tc>
        <w:tc>
          <w:tcPr>
            <w:tcW w:w="104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c>
          <w:tcPr>
            <w:tcW w:w="15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Peter Downs (2)</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Kirschner resigned from the Board of Directors on March 28, 2017. On March 28, 2017, the Board of Directors appointed Mr. Zink to replace Mr. Kirschner and serve the remainder of Mr. Kirschner’s term.</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employee directors, Messrs. Sloane and Downs do not receive any compensation for their service as directors. The compensation Messrs. Sloane and Downs receive from the Company as employees is disclosed in the Summary Compensation Table and elsewhere under “EXECUTIVE COMPENSATION.”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Named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compensation discussion and analysis (“CD&amp;A”) provides 2016 compensation information for the following Named Executive Officers (“NEOs”).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References to “2016 NEOs” in this CD&amp;A are references to Messrs. Sloane, Downs, Schwartz, Raven and Joshi, and Ms. Eddelson.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2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Age</w:t>
            </w:r>
          </w:p>
        </w:tc>
        <w:tc>
          <w:tcPr>
            <w:tcW w:w="5660" w:type="dxa"/>
            <w:vAlign w:val="bottom"/>
          </w:tcPr>
          <w:p>
            <w:pPr>
              <w:ind w:left="312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b w:val="1"/>
                <w:bCs w:val="1"/>
                <w:i w:val="1"/>
                <w:iCs w:val="1"/>
                <w:color w:val="auto"/>
              </w:rPr>
              <w:t>2016 NEOs:</w:t>
            </w:r>
          </w:p>
        </w:tc>
        <w:tc>
          <w:tcPr>
            <w:tcW w:w="1820" w:type="dxa"/>
            <w:vAlign w:val="bottom"/>
          </w:tcPr>
          <w:p>
            <w:pPr>
              <w:spacing w:after="0"/>
              <w:rPr>
                <w:sz w:val="16"/>
                <w:szCs w:val="16"/>
                <w:color w:val="auto"/>
              </w:rPr>
            </w:pPr>
          </w:p>
        </w:tc>
        <w:tc>
          <w:tcPr>
            <w:tcW w:w="5660" w:type="dxa"/>
            <w:vAlign w:val="bottom"/>
          </w:tcPr>
          <w:p>
            <w:pPr>
              <w:spacing w:after="0"/>
              <w:rPr>
                <w:sz w:val="16"/>
                <w:szCs w:val="16"/>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Barry Sloane</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89"/>
              </w:rPr>
              <w:t>57</w:t>
            </w:r>
          </w:p>
        </w:tc>
        <w:tc>
          <w:tcPr>
            <w:tcW w:w="5660" w:type="dxa"/>
            <w:vAlign w:val="bottom"/>
          </w:tcPr>
          <w:p>
            <w:pPr>
              <w:ind w:left="500"/>
              <w:spacing w:after="0"/>
              <w:rPr>
                <w:sz w:val="20"/>
                <w:szCs w:val="20"/>
                <w:color w:val="auto"/>
              </w:rPr>
            </w:pPr>
            <w:r>
              <w:rPr>
                <w:rFonts w:ascii="Arial" w:cs="Arial" w:eastAsia="Arial" w:hAnsi="Arial"/>
                <w:sz w:val="18"/>
                <w:szCs w:val="18"/>
                <w:color w:val="auto"/>
              </w:rPr>
              <w:t>Chairman, Chief Executive Officer and President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Jennifer Eddelson</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89"/>
              </w:rPr>
              <w:t>44</w:t>
            </w:r>
          </w:p>
        </w:tc>
        <w:tc>
          <w:tcPr>
            <w:tcW w:w="5660" w:type="dxa"/>
            <w:vAlign w:val="bottom"/>
          </w:tcPr>
          <w:p>
            <w:pPr>
              <w:ind w:left="500"/>
              <w:spacing w:after="0"/>
              <w:rPr>
                <w:sz w:val="20"/>
                <w:szCs w:val="20"/>
                <w:color w:val="auto"/>
              </w:rPr>
            </w:pPr>
            <w:r>
              <w:rPr>
                <w:rFonts w:ascii="Arial" w:cs="Arial" w:eastAsia="Arial" w:hAnsi="Arial"/>
                <w:sz w:val="18"/>
                <w:szCs w:val="18"/>
                <w:color w:val="auto"/>
              </w:rPr>
              <w:t>Executive Vice President, Chief Accounting Officer</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Peter Downs</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89"/>
              </w:rPr>
              <w:t>52</w:t>
            </w:r>
          </w:p>
        </w:tc>
        <w:tc>
          <w:tcPr>
            <w:tcW w:w="5660" w:type="dxa"/>
            <w:vAlign w:val="bottom"/>
          </w:tcPr>
          <w:p>
            <w:pPr>
              <w:ind w:left="500"/>
              <w:spacing w:after="0"/>
              <w:rPr>
                <w:sz w:val="20"/>
                <w:szCs w:val="20"/>
                <w:color w:val="auto"/>
              </w:rPr>
            </w:pPr>
            <w:r>
              <w:rPr>
                <w:rFonts w:ascii="Arial" w:cs="Arial" w:eastAsia="Arial" w:hAnsi="Arial"/>
                <w:sz w:val="18"/>
                <w:szCs w:val="18"/>
                <w:color w:val="auto"/>
                <w:w w:val="91"/>
              </w:rPr>
              <w:t>Chief Lending Officer; President Newtek Small Business Finance, LLC</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Michael Schwartz</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89"/>
              </w:rPr>
              <w:t>56</w:t>
            </w:r>
          </w:p>
        </w:tc>
        <w:tc>
          <w:tcPr>
            <w:tcW w:w="5660" w:type="dxa"/>
            <w:vAlign w:val="bottom"/>
          </w:tcPr>
          <w:p>
            <w:pPr>
              <w:ind w:left="500"/>
              <w:spacing w:after="0"/>
              <w:rPr>
                <w:sz w:val="20"/>
                <w:szCs w:val="20"/>
                <w:color w:val="auto"/>
              </w:rPr>
            </w:pPr>
            <w:r>
              <w:rPr>
                <w:rFonts w:ascii="Arial" w:cs="Arial" w:eastAsia="Arial" w:hAnsi="Arial"/>
                <w:sz w:val="18"/>
                <w:szCs w:val="18"/>
                <w:color w:val="auto"/>
              </w:rPr>
              <w:t>Chief Legal Officer, Chief Compliance Officer and Secretary</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John Raven</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89"/>
              </w:rPr>
              <w:t>52</w:t>
            </w:r>
          </w:p>
        </w:tc>
        <w:tc>
          <w:tcPr>
            <w:tcW w:w="5660" w:type="dxa"/>
            <w:vAlign w:val="bottom"/>
          </w:tcPr>
          <w:p>
            <w:pPr>
              <w:ind w:left="500"/>
              <w:spacing w:after="0"/>
              <w:rPr>
                <w:sz w:val="20"/>
                <w:szCs w:val="20"/>
                <w:color w:val="auto"/>
              </w:rPr>
            </w:pPr>
            <w:r>
              <w:rPr>
                <w:rFonts w:ascii="Arial" w:cs="Arial" w:eastAsia="Arial" w:hAnsi="Arial"/>
                <w:sz w:val="18"/>
                <w:szCs w:val="18"/>
                <w:color w:val="auto"/>
              </w:rPr>
              <w:t>Chief Technology Officer, Chief Information Security Officer</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Nilesh Joshi</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89"/>
              </w:rPr>
              <w:t>42</w:t>
            </w:r>
          </w:p>
        </w:tc>
        <w:tc>
          <w:tcPr>
            <w:tcW w:w="5660" w:type="dxa"/>
            <w:vAlign w:val="bottom"/>
          </w:tcPr>
          <w:p>
            <w:pPr>
              <w:ind w:left="500"/>
              <w:spacing w:after="0"/>
              <w:rPr>
                <w:sz w:val="20"/>
                <w:szCs w:val="20"/>
                <w:color w:val="auto"/>
              </w:rPr>
            </w:pPr>
            <w:r>
              <w:rPr>
                <w:rFonts w:ascii="Arial" w:cs="Arial" w:eastAsia="Arial" w:hAnsi="Arial"/>
                <w:sz w:val="18"/>
                <w:szCs w:val="18"/>
                <w:color w:val="auto"/>
              </w:rPr>
              <w:t>Chief Information Officer</w:t>
            </w:r>
          </w:p>
        </w:tc>
      </w:tr>
      <w:tr>
        <w:trPr>
          <w:trHeight w:val="418"/>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Former NEO:</w:t>
            </w:r>
          </w:p>
        </w:tc>
        <w:tc>
          <w:tcPr>
            <w:tcW w:w="182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Dean Choksi (1)</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89"/>
              </w:rPr>
              <w:t>37</w:t>
            </w:r>
          </w:p>
        </w:tc>
        <w:tc>
          <w:tcPr>
            <w:tcW w:w="5660" w:type="dxa"/>
            <w:vAlign w:val="bottom"/>
          </w:tcPr>
          <w:p>
            <w:pPr>
              <w:ind w:left="500"/>
              <w:spacing w:after="0"/>
              <w:rPr>
                <w:sz w:val="20"/>
                <w:szCs w:val="20"/>
                <w:color w:val="auto"/>
              </w:rPr>
            </w:pPr>
            <w:r>
              <w:rPr>
                <w:rFonts w:ascii="Arial" w:cs="Arial" w:eastAsia="Arial" w:hAnsi="Arial"/>
                <w:sz w:val="18"/>
                <w:szCs w:val="18"/>
                <w:color w:val="auto"/>
              </w:rPr>
              <w:t>Former Treasurer</w:t>
            </w:r>
          </w:p>
        </w:tc>
      </w:tr>
    </w:tbl>
    <w:p>
      <w:pPr>
        <w:spacing w:after="0" w:line="202"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as of July 7, 2016, the Company eliminated the positon of Treasurer and consolidated the Treasurer function within the Company’s Finance Department. As a result, Mr. Choksi left the Company effective July 7,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NEOs Who Are Not Directors</w:t>
      </w:r>
    </w:p>
    <w:p>
      <w:pPr>
        <w:spacing w:after="0" w:line="221"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b w:val="1"/>
          <w:bCs w:val="1"/>
          <w:color w:val="auto"/>
        </w:rPr>
        <w:t xml:space="preserve">Jennifer Eddelson </w:t>
      </w:r>
      <w:r>
        <w:rPr>
          <w:rFonts w:ascii="Arial" w:cs="Arial" w:eastAsia="Arial" w:hAnsi="Arial"/>
          <w:sz w:val="17"/>
          <w:szCs w:val="17"/>
          <w:color w:val="auto"/>
        </w:rPr>
        <w:t>is a certified public accountant licensed in the state of New York and has served as Executive Vice President and Chief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the Company since July 1, 2011. Previously Ms. Eddelson was employed by the Company since October 2004 as Corporate Controller, Vice President of Financial Reporting since August 2006, and in these and her current capacities has had a principal responsibility for the development and implementation of the Company’s accounting policies and practices. Previously, from June 1996 to October 20014 Ms. Eddelson practiced as a certified public accountant for eight years with Janover, LLC, a public accounting firm located in New York, primarily in the audit and tax area. Ms. Eddelson is a member of the NYS Society of CPAs and a member of the AICPA.</w:t>
      </w:r>
    </w:p>
    <w:p>
      <w:pPr>
        <w:spacing w:after="0" w:line="17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Michael Schwartz </w:t>
      </w:r>
      <w:r>
        <w:rPr>
          <w:rFonts w:ascii="Arial" w:cs="Arial" w:eastAsia="Arial" w:hAnsi="Arial"/>
          <w:sz w:val="18"/>
          <w:szCs w:val="18"/>
          <w:color w:val="auto"/>
        </w:rPr>
        <w:t>has served as Chief Legal Officer and Corporate Secretary since January 2015. In October 2015, Mr. Schwartz was appointed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Chief Compliance Officer. Previously, Mr. Schwartz was Senior Counsel to the Company since November 2013.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r>
        <w:rPr>
          <w:rFonts w:ascii="Arial" w:cs="Arial" w:eastAsia="Arial" w:hAnsi="Arial"/>
          <w:sz w:val="18"/>
          <w:szCs w:val="18"/>
          <w:b w:val="1"/>
          <w:bCs w:val="1"/>
          <w:color w:val="auto"/>
        </w:rPr>
        <w:t>.</w:t>
      </w:r>
    </w:p>
    <w:p>
      <w:pPr>
        <w:spacing w:after="0" w:line="1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Mr. Raven </w:t>
      </w:r>
      <w:r>
        <w:rPr>
          <w:rFonts w:ascii="Arial" w:cs="Arial" w:eastAsia="Arial" w:hAnsi="Arial"/>
          <w:sz w:val="18"/>
          <w:szCs w:val="18"/>
          <w:color w:val="auto"/>
        </w:rPr>
        <w:t>has served as the Chief Information Security Officer and Chief Technology Officer of Newtek Business Services Corp. since January 2016.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Mr. Raven serves as President and COO of Newtek Technology Solutions, a controlled portfolio company of the Company. He is an information security specialist, technology executive and entrepreneur with a history from start-up to mature large-scale enterprises. Mr. Raven has two decades of experience as a technology leader and operator, leading several large consulting engagements for Cap Gemini, Ernst &amp; Young, Perot Systems and IBM. From 1999 to 2003, Mr. Raven served as Chief Technology Officer, President and Chief Operating Officer of YP.com, where he was instrumental in their growth and public market offering.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line="295" w:lineRule="auto"/>
        <w:rPr>
          <w:sz w:val="20"/>
          <w:szCs w:val="20"/>
          <w:color w:val="auto"/>
        </w:rPr>
      </w:pPr>
      <w:r>
        <w:rPr>
          <w:rFonts w:ascii="Arial" w:cs="Arial" w:eastAsia="Arial" w:hAnsi="Arial"/>
          <w:sz w:val="16"/>
          <w:szCs w:val="16"/>
          <w:b w:val="1"/>
          <w:bCs w:val="1"/>
          <w:color w:val="auto"/>
        </w:rPr>
        <w:t xml:space="preserve">Nilesh Joshi </w:t>
      </w:r>
      <w:r>
        <w:rPr>
          <w:rFonts w:ascii="Arial" w:cs="Arial" w:eastAsia="Arial" w:hAnsi="Arial"/>
          <w:sz w:val="16"/>
          <w:szCs w:val="16"/>
          <w:color w:val="auto"/>
        </w:rPr>
        <w:t>has served as the Chief Information Officer of the Company since April 2016. Mr. Joshi has over 18 years of information technology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and project management experience across the retail, financial services, utilities and healthcare industries. From June 2014 to April 2016, Mr. Joshi led the new product launches and strategic initiatives for Cigna Healthcare’s Group and Voluntary Benefits segment. Prior to Cigna Healthcare, from August 2008 to May 2014, he established the IT Program Management Office at Republic Services. Mr. Joshi holds a MBA in International Business from W.P. Carey School of Business at Arizona State University and a Bachelors of Electrical Engineering from the University of Mumbai (Bombay), India. He is a certified Project Management Professional and member of the distinguished National Scholars and Honor Society, and Society of Information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NEO</w:t>
      </w:r>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Dean Choksi </w:t>
      </w:r>
      <w:r>
        <w:rPr>
          <w:rFonts w:ascii="Arial" w:cs="Arial" w:eastAsia="Arial" w:hAnsi="Arial"/>
          <w:sz w:val="18"/>
          <w:szCs w:val="18"/>
          <w:color w:val="auto"/>
        </w:rPr>
        <w:t>was the Treasurer of the Company from April 2015 through July 7, 2016. Effective as of July 7, 2016, the Company eliminated the positon of</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consolidated the Treasurer function within the Company’s Finance Department.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the compensation of our executives should reflect their success as a management team, rather than just as individuals, in attaining key operating objectives, such as growth of sales, growth of operating earnings and earnings per share and growth or maintenance of market share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stock, whether favorable or unfavorable, but rather that the price of our stock will, in the long-term, reflect our operating performance and, ultimately, the management of the Company by our executives. We seek to have the long-term performance of our stock reflected in executive compensation through our equity incentive programs, including stock options and restricted stock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Committee supervises the design and implementation of compensation policies for all executive officers (which include the NEOs) and overall incentive equity awards to all employees of the Company. Decisions regarding the non-equity compensation of executive officers, other than named executive officers, are made by the Chief Executive Officer within the compensation philosophy set by the Committee. Decisions regarding the non-equity compensation of NEOs are made by the Chief Executive Officer and the Committee for consistency with the Company’s compensation policies.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The Chief Executive Officer semi-annually reviews the performance of each member of the senior executive team, including NEOs (other than himself whose performance is reviewed by the Committee). The conclusions reached and recommendations based on these reviews, including with respect to salary adjustments and annual award amounts, are then presented to the Committee by the Chief Executive Officer. The Committee will review and approve the recommendations for consistency with the Company’s compensation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Committee for conformity with the Company’s overall compensation policies. The NEOs are not present at the time of these deliberations. The Committee then performs a similar review of the Chief Executive Officer’s total compensation and makes compensation decisions with respect to such officer, who does not participate in that determination.</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choose to pay each element of compensation in order to attract and retain the necessary executive talent, reward annual performance and provide incentive for balanced focus. The amount of each element of compensation is determined by or under the direction of our Committee, which uses the following factors to determine the amount of salary and other benefits to pay each NEO:</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income to sustain and grow the Company's dividend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attainment of risk-adjusted returns on the Company's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against competitors for the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achieving desired results in the coming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long-term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contribution and growth as a member of the executive management team;</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professional development and growth of individual executives, the management team and other employees</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2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earnings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establish individual goals but focus on the overall profitable growth of our business.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the foregoing objectives, we have structured the Company’s annual and long-term incentive-based cash and non- cash executive compensation to motivate executives to achieve the business goals set by the Company.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2016, the principal components of compensation for named executive officers were:</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performance-based incentive compensation based on the Company’s and the executive’s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retirement and other benefits made available to all employees.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During the review of base salaries for senior level executives, including the NEOs, we primarily consider:</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internal review of each executive’s compensation both individually and relative to other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 performance of the executive;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review of the Company’s dividend growth and adjusted net investment income relative to the Company’s annual plan as established by the Board of Directors.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NEOs other than the Chief Executive Officer are recommended by the Chief Executive Officer and confirmed by the Committee and those for the Chief Executive officer are determined by the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Annual bonuses may be awarded to executive officers along with the Company’s non-executive employees under the Company’s cash bonus plan. The Company creates a bonus pool based on an annually determined percentage of the salaries of all employees which it accrues as an expense. Payments under the plan are based on the Company’s overall performance as determined by the Chief Executive Officer and the Committee. The Committee determines any bonus for the Chief Executive Officer based on, among other things, a review of the Company’s revenue growth, net income and cash flow relative to the Company’s annual plans as established by the Board of Directors. The Chief Executive Officer in consultation with the Committee with respect to the NEOs, or in consultation with the NEOs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must compete for leadership with commercial banks, investment banks, and other publicly traded companies not regulated as investment companies, which are generally able to award many different types of stock-based compensation to their directors, (including their non-employee directors,) officers, and employees. Moreover, the Company also must compete for leadership with private equity funds, which generally have the discretion to offer a portion of their various carried interests to induce professional talent to associate with their funds without being required to obtain SEC approval each time. On September 12, 2014, the Board of Directors voted to establish the Newtek Business Services Corp. 2014 Stock Incentive Plan (the “2014 Plan”). The 2014 Plan was approved by stockholders of the Company on October 22, 2014. The 2014 Plan provided for the grant of options to purchase shares of Company common stock, the terms of which will be determined by the Compensation, Corporate Governance and Nominating Committee and set forth in an award agreement between the Company and the executive or employee. The Company has not issued options under the 2014 Plan.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27, 2015, the Compensation, Corporate Governance and Nominating Committee and the Board of Directors approved the Amended and Restated 2014 Stock Incentive Plan (the 2015 Stock Plan), subject to exemptive relief from the SEC and shareholder approval, in order to have increased flexibility to use restricted stock, in addition to stock options, to assist the Company in achieving its objectives with respect to long-term equity incentive compensation. On May 10, 2016, we received an exemptive order from the SEC permitting us to award shares of restricted stock to our employees, officers, and non-employee directors, and on July 27, 2016, our shareholders approved the 2015 Stock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The 2015 Stock Plan permits us to issue awards of stock options and restricted stock in an aggregate amount of up to 20% of our issued and outstanding shares of common stock (the “Plan Maximum Shares”) as of the effective date of the plan. Under the 2015 Stock Plan, all of the Plan Maximum Shares are available for grants of stock options, and half of the Plan Maximum Shares (up to 10% of our issued and outstanding common stock as of the effective date of the 2015 Stock Plan) is available for grants of restricted stock. The Compensation, Corporate Governance and Nominating Committee believes that restricted stock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If in the future we successfully grow our assets under management and our net asset value, we may choose to increase the number of employees of the Company. The Compensation, Corporate Governance and Nominating Committee may or may not choose to consider the use of stock options for incentive compensation of these employees.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Board of Directors and its Compensation, Corporate Governance and Nominating Committee, which consists entirely of directors who are not employees of the Company, believe that in light of the Company’s plan for growth, stock-based incentive compensation, particularly the award of restricted stock, advances the interests of the Company by providing substantial motivation for superior performance and more fully aligning the interests of officers and directors with the interests of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NEOs are generally not entitled to benefits that are not available to all of our employees. In this regard, it should be noted that we do not provide pension arrangements, post-retirement health coverage or similar benefits for our executives or employees. The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which consists of a discretionary match of 50% of the first 2% of employee contributions up to a maximum of 1% of the employee’s compensation. The Board has yet to determine the 2016 match.</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perquisites we provided in fiscal 2016 consist of premiums on a life insurance policy for Mr. Sloane, the Company’s Chief Executive Officer, in the amount of $4,320.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229"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The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increased to $500,000 in March 2015 and increased to $600,000 in March 2016. Mr. Sloane earned a $500,000 bonus for 2016 that was paid in 2017 and a $500,000 bonus earned in 2015 that was paid in 2016.</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Sloane received an award of 26,400 Restricted Common Shares in August 2016 with a twelve month vesting period and did not receive a grant of Common Shares or options in 2015. The Committee has determined that this salary and bonus package is competitive with the labor market median for someone with Mr. Sloane’s skills and talents and is reflective of the Company’s current cash and financial position and the status of the Company’s Common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Other NEOs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Committee approved the 2016 compensation for Jennifer Eddelson, Peter Downs, Michael Schwartz, Dean Choksi, Nilesh Joshi and John Raven, as recommended to it by the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NEOs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Ms. Eddelson’s base salary was $275,000 in 2016 and $260,000 in 2015. Ms. Eddelson received a $125,000 cash bonus in 2016 (paid in 2017) and $100,000 cash bonus in 2015 (paid in 2016). Ms. Eddelson received an award of 6,600 Restricted Common Shares in August 2016 with a twelve month vesting period and did not receive a grant of Common Shares or options in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20"/>
        <w:spacing w:after="0" w:line="264" w:lineRule="auto"/>
        <w:rPr>
          <w:sz w:val="20"/>
          <w:szCs w:val="20"/>
          <w:color w:val="auto"/>
        </w:rPr>
      </w:pPr>
      <w:r>
        <w:rPr>
          <w:rFonts w:ascii="Arial" w:cs="Arial" w:eastAsia="Arial" w:hAnsi="Arial"/>
          <w:sz w:val="18"/>
          <w:szCs w:val="18"/>
          <w:color w:val="auto"/>
        </w:rPr>
        <w:t>Mr. Down’s base salary was $375,000 in 2016 and $325,000 in 2015, and he received a $125,000 cash bonus in 2016 (paid in 2017) and $100,000 cash bonus in 2015 (paid in 2016). Mr. Downs received an award of 6,600 Restricted Common Shares in August 2016 with a twelve month vesting period and did not receive a grant of Common Shares or options in 2015.</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Mr. Schwartz’s base salary was $250,000 in 2016 and $200,000 in 2015. Mr. Schwartz received a $100,000 cash bonus in 2016 (paid in 2017) and a $70,000 cash bonus in 2015 (paid in 2016). Mr. Schwartz received an award of 6,600 Restricted Common Shares in August 2016 with a twelve month vesting period and did not receive a grant of Common Shares or options in 2015.</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Mr. Raven’s base salary was $215,000 in 2016, and he did not receive a cash bonus in 2016. Mr. Raven received an award of 3,300 Restricted Common Shares in August 2016 with a twelve month vesting period.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Joshi’s base salary was $190,000 in 2016, and he received a $20,000 cash bonus in 2016 (paid in 2017). Mr. Joshi received an award of 1,650 Restricted Common Shares in August 2016 with a twelve month vesting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NEOs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Choksi’s base salary was $200,000 in 2015. Mr. Choksi received a $35,000 cash bonus in 2015 (paid in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 and 2015 Compensation Determinations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We believe that base salaries are a fundamental element of our compensation program. The Committee establishes base salaries for each NEO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16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Committee considers base salary levels at least annually as part of its review of the performance of NEOs and from time to time upon a promotion or other change in job responsibilities. During its review of base salaries for our executives, the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CEO.</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2015 and 2016 base salaries for our current NEOs.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 Base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2015 Base</w:t>
            </w:r>
          </w:p>
        </w:tc>
      </w:t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NEO</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Salary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Salary</w:t>
            </w:r>
          </w:p>
        </w:tc>
      </w:tr>
      <w:tr>
        <w:trPr>
          <w:trHeight w:val="210"/>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Barry Sloane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Peter Downs</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375,000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Michael Schwartz</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John Raven</w:t>
            </w:r>
            <w:r>
              <w:rPr>
                <w:rFonts w:ascii="Arial" w:cs="Arial" w:eastAsia="Arial" w:hAnsi="Arial"/>
                <w:sz w:val="29"/>
                <w:szCs w:val="29"/>
                <w:color w:val="auto"/>
                <w:vertAlign w:val="superscript"/>
              </w:rPr>
              <w:t>(1)</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390"/>
        </w:trPr>
        <w:tc>
          <w:tcPr>
            <w:tcW w:w="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Nilesh Joshi</w:t>
            </w:r>
            <w:r>
              <w:rPr>
                <w:rFonts w:ascii="Arial" w:cs="Arial" w:eastAsia="Arial" w:hAnsi="Arial"/>
                <w:sz w:val="30"/>
                <w:szCs w:val="30"/>
                <w:color w:val="auto"/>
                <w:vertAlign w:val="superscript"/>
              </w:rPr>
              <w:t>(1)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190,000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bl>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Mr. Raven and Mr. Joshi were appointed to their positions during 2016.</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Annual Bonus Awards</w:t>
      </w:r>
      <w:r>
        <w:rPr>
          <w:rFonts w:ascii="Arial" w:cs="Arial" w:eastAsia="Arial" w:hAnsi="Arial"/>
          <w:sz w:val="18"/>
          <w:szCs w:val="18"/>
          <w:color w:val="auto"/>
        </w:rPr>
        <w:t>. The Committee designs our annual cash bonuses to motivate our NEOs to achieve financial and non-financial objectives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operating plan. The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2015 cash bonus awards, the Committee considered the factors to determine the amount of salary and other benefits, as set forth above. The Committee also considered the following factors and aspects of the Company’s 2016 operating performance in the determination of specific NEO bonus awards: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Declaration of $1.53 per share in cash dividends;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Completed the investment in ADR Partners, LLC;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a debt offering; and</w:t>
      </w:r>
    </w:p>
    <w:p>
      <w:pPr>
        <w:spacing w:after="0" w:line="9" w:lineRule="exact"/>
        <w:rPr>
          <w:rFonts w:ascii="Arial" w:cs="Arial" w:eastAsia="Arial" w:hAnsi="Arial"/>
          <w:sz w:val="18"/>
          <w:szCs w:val="18"/>
          <w:color w:val="auto"/>
        </w:rPr>
      </w:pPr>
    </w:p>
    <w:p>
      <w:pPr>
        <w:ind w:left="1300" w:right="120" w:hanging="320"/>
        <w:spacing w:after="0" w:line="25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earnings per share. The Committee further reviewed each NEO’s specific performance achievements and contributions to the Company’s 2016 financial performance.</w:t>
      </w:r>
    </w:p>
    <w:p>
      <w:pPr>
        <w:spacing w:after="0" w:line="19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When allocating bonus awards, the Committee also evaluated, the total compensation paid to the NEOs and other employees. Based on the foregoing considerations and analysis, and after due deliberation, the Committee awarded the 2016 NEOs the following annual cash bonuses and award of shares of restricted stock pursuant to the 2015 Stock Plan with respect to 2016.</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700" w:type="dxa"/>
            <w:vAlign w:val="bottom"/>
            <w:gridSpan w:val="4"/>
          </w:tcPr>
          <w:p>
            <w:pPr>
              <w:ind w:left="80"/>
              <w:spacing w:after="0"/>
              <w:rPr>
                <w:sz w:val="20"/>
                <w:szCs w:val="20"/>
                <w:color w:val="auto"/>
              </w:rPr>
            </w:pPr>
            <w:r>
              <w:rPr>
                <w:rFonts w:ascii="Arial" w:cs="Arial" w:eastAsia="Arial" w:hAnsi="Arial"/>
                <w:sz w:val="18"/>
                <w:szCs w:val="18"/>
                <w:b w:val="1"/>
                <w:bCs w:val="1"/>
                <w:color w:val="auto"/>
              </w:rPr>
              <w:t>2016 Cash Bonus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6"/>
              </w:rPr>
              <w:t>As Percentage of</w:t>
            </w:r>
          </w:p>
        </w:tc>
        <w:tc>
          <w:tcPr>
            <w:tcW w:w="0" w:type="dxa"/>
            <w:vAlign w:val="bottom"/>
          </w:tcPr>
          <w:p>
            <w:pPr>
              <w:spacing w:after="0"/>
              <w:rPr>
                <w:sz w:val="1"/>
                <w:szCs w:val="1"/>
                <w:color w:val="auto"/>
              </w:rPr>
            </w:pPr>
          </w:p>
        </w:tc>
      </w:t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2016 NEOs</w:t>
            </w: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Award</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6"/>
              </w:rPr>
              <w:t>2016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Barry Sloane</w:t>
            </w:r>
          </w:p>
        </w:tc>
        <w:tc>
          <w:tcPr>
            <w:tcW w:w="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Peter Downs</w:t>
            </w:r>
          </w:p>
        </w:tc>
        <w:tc>
          <w:tcPr>
            <w:tcW w:w="76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76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Michael Schwartz</w:t>
            </w:r>
          </w:p>
        </w:tc>
        <w:tc>
          <w:tcPr>
            <w:tcW w:w="76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John Raven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Nilesh Joshi</w:t>
            </w:r>
          </w:p>
        </w:tc>
        <w:tc>
          <w:tcPr>
            <w:tcW w:w="76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400"/>
          </w:cols>
          <w:pgMar w:left="240" w:top="908" w:right="25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Equity Incentive Plan</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Awards: Number of</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Market Value of Shares or</w:t>
            </w: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Unearned Shares, Units or</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 or Units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Units of Stock that have not</w:t>
            </w: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Other Rights that have</w:t>
            </w:r>
          </w:p>
        </w:tc>
      </w:tr>
      <w:tr>
        <w:trPr>
          <w:trHeight w:val="234"/>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that have not Vested (#)</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Vested ($)</w:t>
            </w: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not Vested (#)</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Sloane</w:t>
            </w:r>
          </w:p>
        </w:tc>
        <w:tc>
          <w:tcPr>
            <w:tcW w:w="120" w:type="dxa"/>
            <w:vAlign w:val="bottom"/>
          </w:tcPr>
          <w:p>
            <w:pPr>
              <w:spacing w:after="0"/>
              <w:rPr>
                <w:sz w:val="16"/>
                <w:szCs w:val="16"/>
                <w:color w:val="auto"/>
              </w:rPr>
            </w:pPr>
          </w:p>
        </w:tc>
        <w:tc>
          <w:tcPr>
            <w:tcW w:w="2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n/a</w:t>
            </w:r>
          </w:p>
        </w:tc>
        <w:tc>
          <w:tcPr>
            <w:tcW w:w="120" w:type="dxa"/>
            <w:vAlign w:val="bottom"/>
          </w:tcPr>
          <w:p>
            <w:pPr>
              <w:spacing w:after="0"/>
              <w:rPr>
                <w:sz w:val="16"/>
                <w:szCs w:val="16"/>
                <w:color w:val="auto"/>
              </w:rPr>
            </w:pPr>
          </w:p>
        </w:tc>
        <w:tc>
          <w:tcPr>
            <w:tcW w:w="2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n/a</w:t>
            </w:r>
          </w:p>
        </w:tc>
        <w:tc>
          <w:tcPr>
            <w:tcW w:w="120" w:type="dxa"/>
            <w:vAlign w:val="bottom"/>
          </w:tcPr>
          <w:p>
            <w:pPr>
              <w:spacing w:after="0"/>
              <w:rPr>
                <w:sz w:val="16"/>
                <w:szCs w:val="16"/>
                <w:color w:val="auto"/>
              </w:rPr>
            </w:pPr>
          </w:p>
        </w:tc>
        <w:tc>
          <w:tcPr>
            <w:tcW w:w="2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26,400</w:t>
            </w:r>
          </w:p>
        </w:tc>
        <w:tc>
          <w:tcPr>
            <w:tcW w:w="20" w:type="dxa"/>
            <w:vAlign w:val="bottom"/>
          </w:tcPr>
          <w:p>
            <w:pPr>
              <w:spacing w:after="0"/>
              <w:rPr>
                <w:sz w:val="16"/>
                <w:szCs w:val="16"/>
                <w:color w:val="auto"/>
              </w:rPr>
            </w:pP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Jennifer Eddleson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6,600</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Peter Downs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6,600</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Michael A. Schwartz</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6,600</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John Raven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3,300</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Nilesh Joshi</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All Others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69,783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Based on the closing price for our Common Shares of $16.54 on April 21, 2017</w:t>
      </w:r>
    </w:p>
    <w:p>
      <w:pPr>
        <w:spacing w:after="0" w:line="20" w:lineRule="exact"/>
        <w:rPr>
          <w:sz w:val="20"/>
          <w:szCs w:val="20"/>
          <w:color w:val="auto"/>
        </w:rPr>
      </w:pPr>
      <w:r>
        <w:rPr>
          <w:sz w:val="20"/>
          <w:szCs w:val="20"/>
          <w:color w:val="auto"/>
        </w:rPr>
        <w:br w:type="column"/>
      </w:r>
    </w:p>
    <w:p>
      <w:pPr>
        <w:jc w:val="center"/>
        <w:ind w:left="187" w:right="93"/>
        <w:spacing w:after="0" w:line="289" w:lineRule="auto"/>
        <w:rPr>
          <w:sz w:val="20"/>
          <w:szCs w:val="20"/>
          <w:color w:val="auto"/>
        </w:rPr>
      </w:pPr>
      <w:r>
        <w:rPr>
          <w:rFonts w:ascii="Arial" w:cs="Arial" w:eastAsia="Arial" w:hAnsi="Arial"/>
          <w:sz w:val="16"/>
          <w:szCs w:val="16"/>
          <w:b w:val="1"/>
          <w:bCs w:val="1"/>
          <w:color w:val="auto"/>
        </w:rPr>
        <w:t>Equity Incentive Plan Awards: Market or Payout Value of</w:t>
      </w:r>
    </w:p>
    <w:p>
      <w:pPr>
        <w:spacing w:after="0" w:line="2" w:lineRule="exact"/>
        <w:rPr>
          <w:sz w:val="20"/>
          <w:szCs w:val="20"/>
          <w:color w:val="auto"/>
        </w:rPr>
      </w:pPr>
    </w:p>
    <w:p>
      <w:pPr>
        <w:jc w:val="center"/>
        <w:ind w:left="147" w:right="93"/>
        <w:spacing w:after="0" w:line="281" w:lineRule="auto"/>
        <w:rPr>
          <w:sz w:val="20"/>
          <w:szCs w:val="20"/>
          <w:color w:val="auto"/>
        </w:rPr>
      </w:pPr>
      <w:r>
        <w:rPr>
          <w:rFonts w:ascii="Arial" w:cs="Arial" w:eastAsia="Arial" w:hAnsi="Arial"/>
          <w:sz w:val="16"/>
          <w:szCs w:val="16"/>
          <w:b w:val="1"/>
          <w:bCs w:val="1"/>
          <w:color w:val="auto"/>
        </w:rPr>
        <w:t>Number of Unearned Shares, Units or Other Rights that have not</w:t>
      </w:r>
    </w:p>
    <w:tbl>
      <w:tblPr>
        <w:tblLayout w:type="fixed"/>
        <w:tblInd w:w="7"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gridSpan w:val="2"/>
          </w:tcPr>
          <w:p>
            <w:pPr>
              <w:ind w:left="260"/>
              <w:spacing w:after="0" w:line="259" w:lineRule="exact"/>
              <w:rPr>
                <w:sz w:val="20"/>
                <w:szCs w:val="20"/>
                <w:color w:val="auto"/>
              </w:rPr>
            </w:pPr>
            <w:r>
              <w:rPr>
                <w:rFonts w:ascii="Arial" w:cs="Arial" w:eastAsia="Arial" w:hAnsi="Arial"/>
                <w:sz w:val="18"/>
                <w:szCs w:val="18"/>
                <w:b w:val="1"/>
                <w:bCs w:val="1"/>
                <w:color w:val="auto"/>
              </w:rPr>
              <w:t>Vested ($)</w:t>
            </w:r>
            <w:r>
              <w:rPr>
                <w:rFonts w:ascii="Arial" w:cs="Arial" w:eastAsia="Arial" w:hAnsi="Arial"/>
                <w:sz w:val="29"/>
                <w:szCs w:val="29"/>
                <w:b w:val="1"/>
                <w:bCs w:val="1"/>
                <w:color w:val="auto"/>
                <w:vertAlign w:val="superscript"/>
              </w:rPr>
              <w:t>1</w:t>
            </w:r>
          </w:p>
        </w:tc>
      </w:tr>
      <w:tr>
        <w:trPr>
          <w:trHeight w:val="195"/>
        </w:trPr>
        <w:tc>
          <w:tcPr>
            <w:tcW w:w="20" w:type="dxa"/>
            <w:vAlign w:val="bottom"/>
          </w:tcPr>
          <w:p>
            <w:pPr>
              <w:spacing w:after="0"/>
              <w:rPr>
                <w:sz w:val="16"/>
                <w:szCs w:val="16"/>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436,656</w:t>
            </w:r>
          </w:p>
        </w:tc>
        <w:tc>
          <w:tcPr>
            <w:tcW w:w="20" w:type="dxa"/>
            <w:vAlign w:val="bottom"/>
          </w:tcPr>
          <w:p>
            <w:pPr>
              <w:spacing w:after="0"/>
              <w:rPr>
                <w:sz w:val="16"/>
                <w:szCs w:val="16"/>
                <w:color w:val="auto"/>
              </w:rPr>
            </w:pPr>
          </w:p>
        </w:tc>
      </w:tr>
      <w:tr>
        <w:trPr>
          <w:trHeight w:val="216"/>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109,164</w:t>
            </w:r>
          </w:p>
        </w:tc>
      </w:tr>
      <w:tr>
        <w:trPr>
          <w:trHeight w:val="216"/>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109,164</w:t>
            </w:r>
          </w:p>
        </w:tc>
      </w:tr>
      <w:tr>
        <w:trPr>
          <w:trHeight w:val="216"/>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109,164</w:t>
            </w:r>
          </w:p>
        </w:tc>
      </w:tr>
      <w:tr>
        <w:trPr>
          <w:trHeight w:val="216"/>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54,582</w:t>
            </w:r>
          </w:p>
        </w:tc>
      </w:tr>
      <w:tr>
        <w:trPr>
          <w:trHeight w:val="230"/>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27,291</w:t>
            </w:r>
          </w:p>
        </w:tc>
      </w:tr>
    </w:tbl>
    <w:p>
      <w:pPr>
        <w:ind w:left="1327" w:hanging="1327"/>
        <w:spacing w:after="0"/>
        <w:tabs>
          <w:tab w:leader="none" w:pos="1327" w:val="left"/>
        </w:tabs>
        <w:numPr>
          <w:ilvl w:val="0"/>
          <w:numId w:val="25"/>
        </w:numPr>
        <w:rPr>
          <w:rFonts w:ascii="Arial" w:cs="Arial" w:eastAsia="Arial" w:hAnsi="Arial"/>
          <w:sz w:val="16"/>
          <w:szCs w:val="16"/>
          <w:color w:val="auto"/>
        </w:rPr>
      </w:pPr>
      <w:r>
        <w:rPr>
          <w:rFonts w:ascii="Arial" w:cs="Arial" w:eastAsia="Arial" w:hAnsi="Arial"/>
          <w:sz w:val="16"/>
          <w:szCs w:val="16"/>
          <w:color w:val="auto"/>
        </w:rPr>
        <w:t>1,154,211</w:t>
      </w:r>
    </w:p>
    <w:p>
      <w:pPr>
        <w:spacing w:after="0" w:line="664" w:lineRule="exact"/>
        <w:rPr>
          <w:sz w:val="20"/>
          <w:szCs w:val="20"/>
          <w:color w:val="auto"/>
        </w:rPr>
      </w:pPr>
    </w:p>
    <w:p>
      <w:pPr>
        <w:sectPr>
          <w:pgSz w:w="11900" w:h="16838" w:orient="portrait"/>
          <w:cols w:equalWidth="0" w:num="2">
            <w:col w:w="9060" w:space="213"/>
            <w:col w:w="2127"/>
          </w:cols>
          <w:pgMar w:left="240" w:top="908" w:right="25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Committee believes that attracting and retaining talented and motivated management and employees is essential to creating long-term shareholder value. The Committee seeks to attract and retain management and employees by offering a competitive, performance-based compensation program which the Committee believes aligns the interests of the executive officers and other key employees with those of shareholders. We believe that the Company’s 2016 compensation program met those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Risk Assessment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Compensation, Corporate Governance and Nominating Committee aims to establish Company-wide compensation policies and practices that reward contributions to long-term shareholder value and do not promote unnecessary or excessive risk-taking. In furtherance of this objective, the Committee conducted an assessment of our compensation arrangements, including those for our named executive officers. The assessment process included, among other things, a review of our (1) compensation philosophy, (2) compensation mix and (3) cash and equity-based incentive plans.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In its review, among other factors, the Committee considered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revenue model and our cash incentive plan encourage our employees to focus on creating a stable, predictable stream of revenue over multiple years, rather than focusing on current year revenue at the expense of succeeding years.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distribution of compensation among our core compensation elements has effectively balanced short-term performance and long-term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cash and equity-based incentive awards in conjunction with management efforts focus on both near-term and long-term goals.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cash and equity-based incentive awards contain a range of performance levels and payouts, to discourage executives from taking risky actions to meet a single target with an all or nothing result of compensation or no compensation.</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executives are encouraged to hold a meaningful number of Common Shares pursuant to our stock ownership policy. Based upon this assessment, our Compensation, Corporate Governance and Nominating Committee believes that our Company-wide compensation policies and practices do not create risks that are reasonably likely to have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Advisory Vote on Executive Compensation; Continuing Stockholder Engagement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our 2016 annual meeting of stockholders, our advisory vote on say-on-pay received strong support from our stockholders (approximately 84% of votes cast).</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Committee views as important the continuing dialogue with our shareholders on compensation and other governance matters. The results of the Company’s 2016 advisory vote on say-on-pay represent positive support for the named executive officers’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following the 2016 annual meeting and in advance of our future annual meetings.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Corporate Governance and Nominating Committee Interlocks and Insider Participation</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All members of the Compensation, Corporate Governance and Nominating Committee are independent directors, and none of them are present or past employees or paid officers of ours or any of our subsidiaries. No member of the Compensation, Corporate Governance and Nominating Committee: (i) has had any relationship with us requiring disclosure under Item 404 of Regulation S-K under the Securities Exchange Act of 1934, as amended; or (ii) is an executive officer of another entity, at which one of our executive officers serves on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Compensation, Corporation Governance and Nominating Committee Report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Compensation, Corporate Governance and Nominating Committee of the Company has reviewed and discussed the foregoing Compensation Discussion and Analysis for fiscal 2016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CORPORATE GOVERNANCE AND NOMINATING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Salvatore Mulia,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Salute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Gregory Zink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tables set forth the aggregate compensation earned by the Company’s Chief Executive Officer, Chief Accounting Officer, and next three most highly compensated executive officers (which we refer to as named executive officers) during 2016 and the two previous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Change in</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Pension Value</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Name and</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 Plan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All Other</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Principal</w:t>
            </w:r>
          </w:p>
        </w:tc>
        <w:tc>
          <w:tcPr>
            <w:tcW w:w="98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Salary</w:t>
            </w:r>
          </w:p>
        </w:tc>
        <w:tc>
          <w:tcPr>
            <w:tcW w:w="1080" w:type="dxa"/>
            <w:vAlign w:val="bottom"/>
          </w:tcPr>
          <w:p>
            <w:pPr>
              <w:jc w:val="right"/>
              <w:ind w:right="312"/>
              <w:spacing w:after="0"/>
              <w:rPr>
                <w:sz w:val="20"/>
                <w:szCs w:val="20"/>
                <w:color w:val="auto"/>
              </w:rPr>
            </w:pPr>
            <w:r>
              <w:rPr>
                <w:rFonts w:ascii="Arial" w:cs="Arial" w:eastAsia="Arial" w:hAnsi="Arial"/>
                <w:sz w:val="18"/>
                <w:szCs w:val="18"/>
                <w:b w:val="1"/>
                <w:bCs w:val="1"/>
                <w:color w:val="auto"/>
              </w:rPr>
              <w:t>Bonus</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Awards</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Awards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Compensation</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Compensation</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Compensation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980" w:type="dxa"/>
            <w:vAlign w:val="bottom"/>
          </w:tcPr>
          <w:p>
            <w:pPr>
              <w:ind w:left="340"/>
              <w:spacing w:after="0"/>
              <w:rPr>
                <w:sz w:val="20"/>
                <w:szCs w:val="20"/>
                <w:color w:val="auto"/>
              </w:rPr>
            </w:pPr>
            <w:r>
              <w:rPr>
                <w:rFonts w:ascii="Arial" w:cs="Arial" w:eastAsia="Arial" w:hAnsi="Arial"/>
                <w:sz w:val="18"/>
                <w:szCs w:val="18"/>
                <w:b w:val="1"/>
                <w:bCs w:val="1"/>
                <w:color w:val="auto"/>
              </w:rPr>
              <w:t>Year</w:t>
            </w: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(3)</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(3)</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Earnings ($)</w:t>
            </w: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Totals ($)</w:t>
            </w:r>
          </w:p>
        </w:tc>
        <w:tc>
          <w:tcPr>
            <w:tcW w:w="0" w:type="dxa"/>
            <w:vAlign w:val="bottom"/>
          </w:tcPr>
          <w:p>
            <w:pPr>
              <w:spacing w:after="0"/>
              <w:rPr>
                <w:sz w:val="1"/>
                <w:szCs w:val="1"/>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2016 NEOs</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Barry</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583,333</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500,000</w:t>
            </w:r>
            <w:r>
              <w:rPr>
                <w:rFonts w:ascii="Arial" w:cs="Arial" w:eastAsia="Arial" w:hAnsi="Arial"/>
                <w:sz w:val="29"/>
                <w:szCs w:val="29"/>
                <w:color w:val="auto"/>
                <w:vertAlign w:val="superscript"/>
              </w:rPr>
              <w:t>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357,456</w:t>
            </w:r>
          </w:p>
        </w:tc>
        <w:tc>
          <w:tcPr>
            <w:tcW w:w="8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1,440,789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Sloane</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483,333</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500,000</w:t>
            </w:r>
            <w:r>
              <w:rPr>
                <w:rFonts w:ascii="Arial" w:cs="Arial" w:eastAsia="Arial" w:hAnsi="Arial"/>
                <w:sz w:val="29"/>
                <w:szCs w:val="29"/>
                <w:color w:val="auto"/>
                <w:vertAlign w:val="superscript"/>
              </w:rPr>
              <w:t>2</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983,333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400,000</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100,000</w:t>
            </w:r>
            <w:r>
              <w:rPr>
                <w:rFonts w:ascii="Arial" w:cs="Arial" w:eastAsia="Arial" w:hAnsi="Arial"/>
                <w:sz w:val="29"/>
                <w:szCs w:val="29"/>
                <w:color w:val="auto"/>
                <w:vertAlign w:val="superscript"/>
              </w:rPr>
              <w:t>4</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Jennifer</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272,500</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125,000</w:t>
            </w:r>
            <w:r>
              <w:rPr>
                <w:rFonts w:ascii="Arial" w:cs="Arial" w:eastAsia="Arial" w:hAnsi="Arial"/>
                <w:sz w:val="29"/>
                <w:szCs w:val="29"/>
                <w:color w:val="auto"/>
                <w:vertAlign w:val="superscript"/>
              </w:rPr>
              <w:t>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89,634</w:t>
            </w:r>
          </w:p>
        </w:tc>
        <w:tc>
          <w:tcPr>
            <w:tcW w:w="8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487,134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Eddelson</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256,667</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100,000</w:t>
            </w:r>
            <w:r>
              <w:rPr>
                <w:rFonts w:ascii="Arial" w:cs="Arial" w:eastAsia="Arial" w:hAnsi="Arial"/>
                <w:sz w:val="29"/>
                <w:szCs w:val="29"/>
                <w:color w:val="auto"/>
                <w:vertAlign w:val="superscript"/>
              </w:rPr>
              <w:t>2</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356,667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240,000</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90,000</w:t>
            </w:r>
            <w:r>
              <w:rPr>
                <w:rFonts w:ascii="Arial" w:cs="Arial" w:eastAsia="Arial" w:hAnsi="Arial"/>
                <w:sz w:val="29"/>
                <w:szCs w:val="29"/>
                <w:color w:val="auto"/>
                <w:vertAlign w:val="superscript"/>
              </w:rPr>
              <w:t>4</w:t>
            </w:r>
          </w:p>
        </w:tc>
        <w:tc>
          <w:tcPr>
            <w:tcW w:w="10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Peter</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366,667</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125,000</w:t>
            </w:r>
            <w:r>
              <w:rPr>
                <w:rFonts w:ascii="Arial" w:cs="Arial" w:eastAsia="Arial" w:hAnsi="Arial"/>
                <w:sz w:val="29"/>
                <w:szCs w:val="29"/>
                <w:color w:val="auto"/>
                <w:vertAlign w:val="superscript"/>
              </w:rPr>
              <w:t>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89,634</w:t>
            </w:r>
          </w:p>
        </w:tc>
        <w:tc>
          <w:tcPr>
            <w:tcW w:w="8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581,301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Downs</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319,167</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100,000</w:t>
            </w:r>
            <w:r>
              <w:rPr>
                <w:rFonts w:ascii="Arial" w:cs="Arial" w:eastAsia="Arial" w:hAnsi="Arial"/>
                <w:sz w:val="29"/>
                <w:szCs w:val="29"/>
                <w:color w:val="auto"/>
                <w:vertAlign w:val="superscript"/>
              </w:rPr>
              <w:t>2</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419,167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290,000</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85,000</w:t>
            </w:r>
            <w:r>
              <w:rPr>
                <w:rFonts w:ascii="Arial" w:cs="Arial" w:eastAsia="Arial" w:hAnsi="Arial"/>
                <w:sz w:val="29"/>
                <w:szCs w:val="29"/>
                <w:color w:val="auto"/>
                <w:vertAlign w:val="superscript"/>
              </w:rPr>
              <w:t>4</w:t>
            </w:r>
          </w:p>
        </w:tc>
        <w:tc>
          <w:tcPr>
            <w:tcW w:w="10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Michael</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241,667</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100,000</w:t>
            </w:r>
            <w:r>
              <w:rPr>
                <w:rFonts w:ascii="Arial" w:cs="Arial" w:eastAsia="Arial" w:hAnsi="Arial"/>
                <w:sz w:val="29"/>
                <w:szCs w:val="29"/>
                <w:color w:val="auto"/>
                <w:vertAlign w:val="superscript"/>
              </w:rPr>
              <w:t>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89,634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431,301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Schwartz</w:t>
            </w:r>
            <w:r>
              <w:rPr>
                <w:rFonts w:ascii="Arial" w:cs="Arial" w:eastAsia="Arial" w:hAnsi="Arial"/>
                <w:sz w:val="29"/>
                <w:szCs w:val="29"/>
                <w:color w:val="auto"/>
                <w:vertAlign w:val="superscript"/>
              </w:rPr>
              <w:t>5</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191,667</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70,000</w:t>
            </w:r>
            <w:r>
              <w:rPr>
                <w:rFonts w:ascii="Arial" w:cs="Arial" w:eastAsia="Arial" w:hAnsi="Arial"/>
                <w:sz w:val="29"/>
                <w:szCs w:val="29"/>
                <w:color w:val="auto"/>
                <w:vertAlign w:val="superscript"/>
              </w:rPr>
              <w:t>2</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John Raven</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207,500</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44,682</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252,182</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Nilesh Joshi</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134,583</w:t>
            </w:r>
          </w:p>
        </w:tc>
        <w:tc>
          <w:tcPr>
            <w:tcW w:w="1080" w:type="dxa"/>
            <w:vAlign w:val="bottom"/>
            <w:shd w:val="clear" w:color="auto" w:fill="CCEEFF"/>
          </w:tcPr>
          <w:p>
            <w:pPr>
              <w:jc w:val="right"/>
              <w:ind w:right="72"/>
              <w:spacing w:after="0" w:line="256" w:lineRule="exact"/>
              <w:rPr>
                <w:sz w:val="20"/>
                <w:szCs w:val="20"/>
                <w:color w:val="auto"/>
              </w:rPr>
            </w:pPr>
            <w:r>
              <w:rPr>
                <w:rFonts w:ascii="Arial" w:cs="Arial" w:eastAsia="Arial" w:hAnsi="Arial"/>
                <w:sz w:val="18"/>
                <w:szCs w:val="18"/>
                <w:color w:val="auto"/>
              </w:rPr>
              <w:t>20,000</w:t>
            </w:r>
            <w:r>
              <w:rPr>
                <w:rFonts w:ascii="Arial" w:cs="Arial" w:eastAsia="Arial" w:hAnsi="Arial"/>
                <w:sz w:val="29"/>
                <w:szCs w:val="29"/>
                <w:color w:val="auto"/>
                <w:vertAlign w:val="superscript"/>
              </w:rPr>
              <w:t>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22,341</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176,924</w:t>
            </w:r>
          </w:p>
        </w:tc>
        <w:tc>
          <w:tcPr>
            <w:tcW w:w="0" w:type="dxa"/>
            <w:vAlign w:val="bottom"/>
          </w:tcPr>
          <w:p>
            <w:pPr>
              <w:spacing w:after="0"/>
              <w:rPr>
                <w:sz w:val="1"/>
                <w:szCs w:val="1"/>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Former NEOs</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Dean Choksi</w:t>
            </w:r>
            <w:r>
              <w:rPr>
                <w:rFonts w:ascii="Arial" w:cs="Arial" w:eastAsia="Arial" w:hAnsi="Arial"/>
                <w:sz w:val="29"/>
                <w:szCs w:val="29"/>
                <w:color w:val="auto"/>
                <w:vertAlign w:val="superscript"/>
              </w:rPr>
              <w:t>6</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104,167</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141,667</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35,000</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176,667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bonus awarded for 2016 performance and paid in 2017.</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bonus awarded for 2015 performance and paid in 2016.</w:t>
      </w:r>
    </w:p>
    <w:p>
      <w:pPr>
        <w:spacing w:after="0" w:line="9"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awards of restricted Common Shares were made in August 2016 and have twelve (12) month vesting periods. The value reported for Stock and Option Awards is the aggregate grant date fair value of options or stock awards granted to the NEOs in the years shown, determined in accordance with FASB ASC Topic 718, disregarding adjustments for forfeiture assumptions. The assumptions for making the valuation determinations are set forth in the footnote titled “Stock-Based Compensation” to our financial statements in the Company’s Annual Report on Form 10-K for the fiscal year ended December 31, 2016.</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bonus awarded for 2014 performance and paid in 2015.</w:t>
      </w:r>
    </w:p>
    <w:p>
      <w:pPr>
        <w:spacing w:after="0" w:line="9" w:lineRule="exact"/>
        <w:rPr>
          <w:rFonts w:ascii="Arial" w:cs="Arial" w:eastAsia="Arial" w:hAnsi="Arial"/>
          <w:sz w:val="18"/>
          <w:szCs w:val="18"/>
          <w:color w:val="auto"/>
        </w:rPr>
      </w:pPr>
    </w:p>
    <w:p>
      <w:pPr>
        <w:ind w:left="340" w:right="20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Schwartz was appointed Chief Legal Officer as of January 2015. The Company’s Board of Directors appointed Mr. Schwartz the Company’s Chief Compliance Officer, effective October 1, 2015.</w:t>
      </w: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Choksi was hired as Treasurer and Senior Vice President of Finance in April 2015 and left the Company in July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 &amp; Grants of Plan-Based Awards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27, 2015, the Compensation, Corporate Governance and Nominating Committee and the Board of Directors approved the 2015 Stock Plan, subject to exemptive relief from the SEC and shareholder approval, in order to have increased flexibility to use restricted stock, in addition to stock options, to assist the Company in achieving its objectives with respect to long-term equity incentive compensation. On May 10, 2016, we received an exemptive order from the SEC permitting us to award shares of restricted stock to our employees, officers, and non-employee directors, and on July 27, 2016, our shareholders approved the 2015 Stock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ind w:right="20"/>
        <w:spacing w:after="0" w:line="271" w:lineRule="auto"/>
        <w:rPr>
          <w:sz w:val="20"/>
          <w:szCs w:val="20"/>
          <w:color w:val="auto"/>
        </w:rPr>
      </w:pPr>
      <w:r>
        <w:rPr>
          <w:rFonts w:ascii="Arial" w:cs="Arial" w:eastAsia="Arial" w:hAnsi="Arial"/>
          <w:sz w:val="17"/>
          <w:szCs w:val="17"/>
          <w:color w:val="auto"/>
        </w:rPr>
        <w:t>Under the 2015 Stock Plan, a maximum of 20% of our total shares of common stock issued and outstanding, calculated on a fully diluted basis, will be available for awards under the Amended Stock Plan as of the Annual Meeting date. Up to 10% of our total issued and outstanding shares will be available for grants of shares of restricted Common Shares. We expect to have 17,292,330 shares outstanding on the date of the Annual Meeting. Therefore, there would be 3,458,466 shares available for grant pursuant to the 2015 Stock Plan. None of those shares are currently subject to stock options Under the 2015 Stock Plan, no more than 50% of the shares of stock reserved for the grant of the awards under the Amended Stock Plan (up to an aggregate of 3,000,000 shares) may be restricted stock awards at any time during the term of the 2015 Stock Plan. To date, the Compensation, Corporate Governance and Nominating Committee has awarded 135,818 restricted stock awards to 32 employees. Therefore, approximately 1.364 million shares of common stock would be available for additional grants of restricted stock as of the Annual Meeting date.</w:t>
      </w:r>
    </w:p>
    <w:p>
      <w:pPr>
        <w:spacing w:after="0" w:line="17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No more than 25% of the shares of our common stock may be made subject to awards under the plan to any individual. In the event that the Compensation, Corporate Governance and Nominating Committee determines that any corporate event, such as a stock split, dividend or other distribution (including deemed dividends), reorganization, merger, consolidation, repurchase or share exchange, affects our common stock such that an adjustment is appropriate in order to prevent dilution or enlargement of the rights of plan participants, then the Corporate Governance and Nominating Committee will make those adjustments as it deems necessary or appropriate to any or all of (i) the number and kind of shares or other property that may thereafter be issued in connection with future awards, (ii) the number and kind of shares or other property that may be issued under outstanding awards, (iii) the exercise price or purchase price of any outstanding award and (iv) the performance goals applicable to outstanding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outstanding options under the 2015 Stock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Outstanding Equity Awards at 2016 Year End</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126,965 outstanding equity awards as of December 31, 2016, including dividends paid on the outstanding equity awards in the form of additional restricted Common Shares, of which, 54,017 outstanding equity awards were held by our NEOs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outstanding awards of restricted stock held by our Named Executive Officers as of 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ind w:left="1360"/>
              <w:spacing w:after="0"/>
              <w:rPr>
                <w:sz w:val="20"/>
                <w:szCs w:val="20"/>
                <w:color w:val="auto"/>
              </w:rPr>
            </w:pPr>
            <w:r>
              <w:rPr>
                <w:rFonts w:ascii="Arial" w:cs="Arial" w:eastAsia="Arial" w:hAnsi="Arial"/>
                <w:sz w:val="18"/>
                <w:szCs w:val="18"/>
                <w:color w:val="auto"/>
              </w:rPr>
              <w:t>Stock Awards</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93"/>
              </w:rPr>
              <w:t>Equity incentive plan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Equity incentive plan</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awards: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Market value of shares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awards:</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market or payout value</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Number of shares of</w:t>
            </w:r>
          </w:p>
        </w:tc>
        <w:tc>
          <w:tcPr>
            <w:tcW w:w="1920" w:type="dxa"/>
            <w:vAlign w:val="bottom"/>
            <w:gridSpan w:val="2"/>
            <w:vMerge w:val="continue"/>
          </w:tcPr>
          <w:p>
            <w:pPr>
              <w:spacing w:after="0"/>
              <w:rPr>
                <w:sz w:val="15"/>
                <w:szCs w:val="15"/>
                <w:color w:val="auto"/>
              </w:rPr>
            </w:pPr>
          </w:p>
        </w:tc>
        <w:tc>
          <w:tcPr>
            <w:tcW w:w="1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number of unearned</w:t>
            </w:r>
          </w:p>
        </w:tc>
        <w:tc>
          <w:tcPr>
            <w:tcW w:w="1820" w:type="dxa"/>
            <w:vAlign w:val="bottom"/>
          </w:tcPr>
          <w:p>
            <w:pPr>
              <w:jc w:val="center"/>
              <w:spacing w:after="0" w:line="176" w:lineRule="exact"/>
              <w:rPr>
                <w:sz w:val="20"/>
                <w:szCs w:val="20"/>
                <w:color w:val="auto"/>
              </w:rPr>
            </w:pPr>
            <w:r>
              <w:rPr>
                <w:rFonts w:ascii="Arial" w:cs="Arial" w:eastAsia="Arial" w:hAnsi="Arial"/>
                <w:sz w:val="18"/>
                <w:szCs w:val="18"/>
                <w:color w:val="auto"/>
                <w:w w:val="87"/>
              </w:rPr>
              <w:t>of unearned shares or</w:t>
            </w:r>
          </w:p>
        </w:tc>
        <w:tc>
          <w:tcPr>
            <w:tcW w:w="0" w:type="dxa"/>
            <w:vAlign w:val="bottom"/>
          </w:tcPr>
          <w:p>
            <w:pPr>
              <w:spacing w:after="0"/>
              <w:rPr>
                <w:sz w:val="1"/>
                <w:szCs w:val="1"/>
                <w:color w:val="auto"/>
              </w:rPr>
            </w:pPr>
          </w:p>
        </w:tc>
      </w:tr>
      <w:tr>
        <w:trPr>
          <w:trHeight w:val="21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 that have not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of stock that have not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shares or other rights</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other rights that have not</w:t>
            </w:r>
          </w:p>
        </w:tc>
        <w:tc>
          <w:tcPr>
            <w:tcW w:w="0" w:type="dxa"/>
            <w:vAlign w:val="bottom"/>
          </w:tcPr>
          <w:p>
            <w:pPr>
              <w:spacing w:after="0"/>
              <w:rPr>
                <w:sz w:val="1"/>
                <w:szCs w:val="1"/>
                <w:color w:val="auto"/>
              </w:rPr>
            </w:pPr>
          </w:p>
        </w:tc>
      </w:tr>
      <w:tr>
        <w:trPr>
          <w:trHeight w:val="267"/>
        </w:trPr>
        <w:tc>
          <w:tcPr>
            <w:tcW w:w="3780" w:type="dxa"/>
            <w:vAlign w:val="bottom"/>
            <w:gridSpan w:val="2"/>
          </w:tcPr>
          <w:p>
            <w:pPr>
              <w:ind w:left="1620"/>
              <w:spacing w:after="0"/>
              <w:rPr>
                <w:sz w:val="20"/>
                <w:szCs w:val="20"/>
                <w:color w:val="auto"/>
              </w:rPr>
            </w:pPr>
            <w:r>
              <w:rPr>
                <w:rFonts w:ascii="Arial" w:cs="Arial" w:eastAsia="Arial" w:hAnsi="Arial"/>
                <w:sz w:val="18"/>
                <w:szCs w:val="18"/>
                <w:color w:val="auto"/>
              </w:rPr>
              <w:t>Name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vested</w:t>
            </w:r>
          </w:p>
        </w:tc>
        <w:tc>
          <w:tcPr>
            <w:tcW w:w="1920" w:type="dxa"/>
            <w:vAlign w:val="bottom"/>
            <w:gridSpan w:val="2"/>
          </w:tcPr>
          <w:p>
            <w:pPr>
              <w:jc w:val="center"/>
              <w:ind w:right="100"/>
              <w:spacing w:after="0" w:line="266" w:lineRule="exact"/>
              <w:rPr>
                <w:sz w:val="20"/>
                <w:szCs w:val="20"/>
                <w:color w:val="auto"/>
              </w:rPr>
            </w:pPr>
            <w:r>
              <w:rPr>
                <w:rFonts w:ascii="Arial" w:cs="Arial" w:eastAsia="Arial" w:hAnsi="Arial"/>
                <w:sz w:val="18"/>
                <w:szCs w:val="18"/>
                <w:color w:val="auto"/>
                <w:w w:val="83"/>
              </w:rPr>
              <w:t xml:space="preserve">vested </w:t>
            </w:r>
            <w:r>
              <w:rPr>
                <w:rFonts w:ascii="Arial" w:cs="Arial" w:eastAsia="Arial" w:hAnsi="Arial"/>
                <w:sz w:val="30"/>
                <w:szCs w:val="30"/>
                <w:color w:val="auto"/>
                <w:w w:val="83"/>
                <w:vertAlign w:val="superscript"/>
              </w:rPr>
              <w:t>1</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that have not vested</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vested</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Barry Sloane</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27,880</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$461,135</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Jennifer Eddelson</w:t>
            </w:r>
          </w:p>
        </w:tc>
        <w:tc>
          <w:tcPr>
            <w:tcW w:w="1840" w:type="dxa"/>
            <w:vAlign w:val="bottom"/>
          </w:tcPr>
          <w:p>
            <w:pPr>
              <w:jc w:val="center"/>
              <w:ind w:left="30"/>
              <w:spacing w:after="0"/>
              <w:rPr>
                <w:sz w:val="20"/>
                <w:szCs w:val="20"/>
                <w:color w:val="auto"/>
              </w:rPr>
            </w:pPr>
            <w:r>
              <w:rPr>
                <w:rFonts w:ascii="Arial" w:cs="Arial" w:eastAsia="Arial" w:hAnsi="Arial"/>
                <w:sz w:val="18"/>
                <w:szCs w:val="18"/>
                <w:color w:val="auto"/>
                <w:w w:val="88"/>
              </w:rPr>
              <w:t>6,970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$115,284</w:t>
            </w:r>
          </w:p>
        </w:tc>
        <w:tc>
          <w:tcPr>
            <w:tcW w:w="100" w:type="dxa"/>
            <w:vAlign w:val="bottom"/>
          </w:tcPr>
          <w:p>
            <w:pPr>
              <w:spacing w:after="0"/>
              <w:rPr>
                <w:sz w:val="18"/>
                <w:szCs w:val="18"/>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18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6,970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$115,284</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Michael Schwartz</w:t>
            </w:r>
          </w:p>
        </w:tc>
        <w:tc>
          <w:tcPr>
            <w:tcW w:w="1840" w:type="dxa"/>
            <w:vAlign w:val="bottom"/>
          </w:tcPr>
          <w:p>
            <w:pPr>
              <w:jc w:val="center"/>
              <w:ind w:left="30"/>
              <w:spacing w:after="0"/>
              <w:rPr>
                <w:sz w:val="20"/>
                <w:szCs w:val="20"/>
                <w:color w:val="auto"/>
              </w:rPr>
            </w:pPr>
            <w:r>
              <w:rPr>
                <w:rFonts w:ascii="Arial" w:cs="Arial" w:eastAsia="Arial" w:hAnsi="Arial"/>
                <w:sz w:val="18"/>
                <w:szCs w:val="18"/>
                <w:color w:val="auto"/>
                <w:w w:val="88"/>
              </w:rPr>
              <w:t>6,970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$115,284</w:t>
            </w:r>
          </w:p>
        </w:tc>
        <w:tc>
          <w:tcPr>
            <w:tcW w:w="100" w:type="dxa"/>
            <w:vAlign w:val="bottom"/>
          </w:tcPr>
          <w:p>
            <w:pPr>
              <w:spacing w:after="0"/>
              <w:rPr>
                <w:sz w:val="18"/>
                <w:szCs w:val="18"/>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Raven</w:t>
            </w:r>
          </w:p>
        </w:tc>
        <w:tc>
          <w:tcPr>
            <w:tcW w:w="18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3,485</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$57,642</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Nilesh Joshi</w:t>
            </w:r>
          </w:p>
        </w:tc>
        <w:tc>
          <w:tcPr>
            <w:tcW w:w="1840" w:type="dxa"/>
            <w:vAlign w:val="bottom"/>
          </w:tcPr>
          <w:p>
            <w:pPr>
              <w:jc w:val="center"/>
              <w:ind w:left="30"/>
              <w:spacing w:after="0"/>
              <w:rPr>
                <w:sz w:val="20"/>
                <w:szCs w:val="20"/>
                <w:color w:val="auto"/>
              </w:rPr>
            </w:pPr>
            <w:r>
              <w:rPr>
                <w:rFonts w:ascii="Arial" w:cs="Arial" w:eastAsia="Arial" w:hAnsi="Arial"/>
                <w:sz w:val="18"/>
                <w:szCs w:val="18"/>
                <w:color w:val="auto"/>
                <w:w w:val="88"/>
              </w:rPr>
              <w:t>1,742</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$28,813</w:t>
            </w:r>
          </w:p>
        </w:tc>
        <w:tc>
          <w:tcPr>
            <w:tcW w:w="10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2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Based on the closing price for our Common Shares of $16.54 on April 21,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Options Exercised and Stock Vested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exercised or shares of restricted stock vested in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separate employment agreements with the following named executive officers during 2016 (each, an “Employment Agreement”):</w:t>
      </w:r>
    </w:p>
    <w:p>
      <w:pPr>
        <w:spacing w:after="0" w:line="24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Barry Sloane, as Chairman, Chief Executive Officer and President;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Jennifer Eddelson, as Executive Vice President and Chief Accounting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Michael Schwartz, as Chief Legal Officer, Chief Compliance Officer and Secretary.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right="260"/>
        <w:spacing w:after="0" w:line="264" w:lineRule="auto"/>
        <w:rPr>
          <w:sz w:val="20"/>
          <w:szCs w:val="20"/>
          <w:color w:val="auto"/>
        </w:rPr>
      </w:pPr>
      <w:r>
        <w:rPr>
          <w:rFonts w:ascii="Arial" w:cs="Arial" w:eastAsia="Arial" w:hAnsi="Arial"/>
          <w:sz w:val="18"/>
          <w:szCs w:val="18"/>
          <w:color w:val="auto"/>
        </w:rPr>
        <w:t>Mr. Sloane’s, Ms. Eddelson’s and Mr. Schwartz’ employment agreements were renewed as of March 15, 2017 for terms through March 31, 2018, at annual base salaries of $600,000, $300,000 and $300,000, respectively. Aside from base salaries, the other terms and provisions of the employment agreements remained substantially same.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Generally, under the Employment Agreements, Messrs. Sloane, Schwartz and Ms. Eddelson were entitled to a set base compensation, cash bonuses pursuant to the Company’s Annual Cash Bonus Plan or by the action of the board of directors, and incentive compensation at the discretion of the Compensation, Corporate Governance and Nominating Committee. In addition, Messrs. Schwartz and Sloane and Ms. Eddelson are entitled to other benefits, such as participation in retirement and medical and other plans, executive benefits, and vacation and sick leave. The Employment Agreements also provide for severance payments in the case of termination without just cause, as defined therein, or of resignation with good reason, as defined therein. Under the Employment Agreements, during the term of their employment, Messrs. Schwartz and Sloane and Ms. Eddelson agree to devote substantially all of their business time to the Company and to not engage in any business or activity contrary to the business or affairs of the Company. The Company agrees to indemnify Messrs. Schwartz and Sloane and Ms. Eddelson for any and all loss, expenses, or liability that he or she may incur as a result of his or her services for the Company to the extent permitted by the Company’s Bylaws.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Mr. Sloane’s employment agreement provided for:</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twelve month term through March 31, 2017 at an annual base salary of $500,000;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million of split-dollar life insurance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Eddelson’s employment agreement provided for:</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twelve month term through March 31, 2017 at an annual base salary of $275,000;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25" w:lineRule="exact"/>
        <w:rPr>
          <w:rFonts w:ascii="Arial" w:cs="Arial" w:eastAsia="Arial" w:hAnsi="Arial"/>
          <w:sz w:val="18"/>
          <w:szCs w:val="18"/>
          <w:color w:val="auto"/>
        </w:rPr>
      </w:pPr>
    </w:p>
    <w:p>
      <w:pPr>
        <w:ind w:right="4940" w:firstLine="332"/>
        <w:spacing w:after="0" w:line="501"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Mr. Schwartz’s employment agreement provided for:</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twelve month term through March 31, 2017 at an annual base salary of $250,000;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Change of Control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Mr. Sloane’s employment agreement provided for a payment in the event of non-renewal of his employment in an amount equal to one and one-half</w:t>
      </w:r>
    </w:p>
    <w:p>
      <w:pPr>
        <w:spacing w:after="0" w:line="3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(1.5) times, or in the case of a change of control or termination other than for just cause of the agreement an amount equal to two (2) times, the sum of (i) the executive’s annual base salary in effect at the time of termination, plus (ii) the amount of any incentive compensation paid with respect to the immediately preceding fiscal year. In addition, in the case of termination other than for just cause, all outstanding and unvested equity awards are to be accelerated in full.</w:t>
      </w:r>
    </w:p>
    <w:p>
      <w:pPr>
        <w:spacing w:after="0" w:line="15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Ms. Eddelson’s and Mr. Schwartz’ employment agreements provided for a payment (1) in the case of termination other than for just cause equal to one times the sum of the executive’s current annual base salary plus any cash bonuses or incentive compensation paid in the prior year, and (2) in connection with a change in control, equal to two (2) times the executive’s “base amount” as defined in §280G(b)(3) of Internal Revenue Code of 1986. In addition, in the case of termination other than for cause, all outstanding and unvested equity awards are to be accelerated in full.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t>Each employment agreement contained a non-competition provision that requires the employee to devote substantially his full business time and efforts to the performance of the employee’s duties under the agreement.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employees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each of the employment agreements, the Company may terminate an employee’s employment for “just cause” as defined in the agreement, and upon the termination, no severance benefits are available. If the employee voluntarily terminates his or her employment for “good reason” as defined in the agreement, the employee is entitled to the same payment as in the case of termination other than for cause. If the employee’s employment terminates during the term of the agreement due to death, disability, or retirement after age 62, the employee shall receive only his or her compensation, vested rights, and executive benefits up to the date of executive’s last day of employment. The employee is able to terminate voluntarily his or her agreement by providing 60 days written notice to the Board of Directors, in which case the employee is entitled to receive only his or her compensation, vested rights and benefits up to the date of termination.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Termination Payments</w:t>
      </w: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table below reflects the amount of compensation that would have been payable to the executive officers under these arrangements if the hypothetical termination of employment events described above had occurred on December 31, 2016, given their compensation and service levels as of such date. All payments are payable by the Company in a lump sum unless otherwise noted.</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Compensation, Corporate Governance and Nominating Committee deems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actual amounts that would be paid upon Mr. Sloane’s termination of employment can be determined only at the time of his separation from the Company.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Post Termination Payments</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Termination without</w:t>
            </w:r>
          </w:p>
        </w:tc>
        <w:tc>
          <w:tcPr>
            <w:tcW w:w="100" w:type="dxa"/>
            <w:vAlign w:val="bottom"/>
          </w:tcPr>
          <w:p>
            <w:pPr>
              <w:spacing w:after="0"/>
              <w:rPr>
                <w:sz w:val="16"/>
                <w:szCs w:val="16"/>
                <w:color w:val="auto"/>
              </w:rPr>
            </w:pPr>
          </w:p>
        </w:tc>
      </w:tr>
      <w:tr>
        <w:trPr>
          <w:trHeight w:val="234"/>
        </w:trPr>
        <w:tc>
          <w:tcPr>
            <w:tcW w:w="4380" w:type="dxa"/>
            <w:vAlign w:val="bottom"/>
          </w:tcPr>
          <w:p>
            <w:pPr>
              <w:ind w:left="2580"/>
              <w:spacing w:after="0"/>
              <w:rPr>
                <w:sz w:val="20"/>
                <w:szCs w:val="20"/>
                <w:color w:val="auto"/>
              </w:rPr>
            </w:pPr>
            <w:r>
              <w:rPr>
                <w:rFonts w:ascii="Arial" w:cs="Arial" w:eastAsia="Arial" w:hAnsi="Arial"/>
                <w:sz w:val="18"/>
                <w:szCs w:val="18"/>
                <w:b w:val="1"/>
                <w:bCs w:val="1"/>
                <w:color w:val="auto"/>
              </w:rPr>
              <w:t>Name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Change in Control</w:t>
            </w:r>
          </w:p>
        </w:tc>
        <w:tc>
          <w:tcPr>
            <w:tcW w:w="440" w:type="dxa"/>
            <w:vAlign w:val="bottom"/>
          </w:tcPr>
          <w:p>
            <w:pPr>
              <w:spacing w:after="0"/>
              <w:rPr>
                <w:sz w:val="20"/>
                <w:szCs w:val="20"/>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Non-Renewal</w:t>
            </w:r>
          </w:p>
        </w:tc>
        <w:tc>
          <w:tcPr>
            <w:tcW w:w="38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2"/>
              </w:rPr>
              <w:t>cause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2016 NEOs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Barry Sloane</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1,806,440</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2,161,184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2,881,579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663,187</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487,134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Michael Schwartz</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520,404</w:t>
            </w:r>
          </w:p>
        </w:tc>
        <w:tc>
          <w:tcPr>
            <w:tcW w:w="440" w:type="dxa"/>
            <w:vAlign w:val="bottom"/>
          </w:tcPr>
          <w:p>
            <w:pPr>
              <w:spacing w:after="0"/>
              <w:rPr>
                <w:sz w:val="20"/>
                <w:szCs w:val="20"/>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431,301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nonqualified deferred compensation in the year ended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obligation under pension benefit plans to the named executive officers as of December 31,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of the Internal Revenue Code, which provides that the Company may not deduct compensation of more than $1,000,000 that is paid to certain individuals. The Company believes that compensation paid by the Company is generally fully deductible for federal income tax purposes. However, in certain situations, the Committee may, in the future, approve compensation that will not meet these requirements in order to ensure competitive levels of total compensation for its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Beginning on January 1, 2006, the Company began accounting for stock-based payments under its three incentive stock plans in accordance with the requirements of ASC Topic - 718.</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PROPOSAL II – RATIFICATION OF INDEPENDENT AUDITORS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Audit Committee of the Board of Directors, and our non-interested directors, has reappointed RSM US LLP (“RSM”) as our independent accountants to audit our consolidated financial statements for the fiscal year ending December 31, 2017, and the Audit Committee has asked that this selection be ratified by our stockholders.</w:t>
      </w:r>
    </w:p>
    <w:p>
      <w:pPr>
        <w:spacing w:after="0" w:line="181"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w:t>
      </w:r>
    </w:p>
    <w:p>
      <w:pPr>
        <w:ind w:right="100" w:firstLine="8"/>
        <w:spacing w:after="0" w:line="261" w:lineRule="auto"/>
        <w:tabs>
          <w:tab w:leader="none" w:pos="3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 304(a)(1)(v), respectively, of Regulation S-K promulgated under the Exchange Act. RSM has advised us that neither the firm nor any present member or associate of it has any material financial interest, direct or indirect, in us or our affiliates.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Representatives of RSM are expected to be present at the Annual Meeting. They will have an opportunity to make a statement if they so desire and will be available to respond to appropriate questions.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ratification of the selection of RSM as our independent accountants for the fiscal year ending December 31, 2017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2017, but the Audit Committee is not bound by the outcome of the vote.</w:t>
      </w:r>
    </w:p>
    <w:p>
      <w:pPr>
        <w:spacing w:after="0" w:line="18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THE BOARD BELIEVES THAT A VOTE FOR THE PROPOSAL TO RATIFY THE APPOINTMENT OF THE INDEPENDENT ACCOUNTANTS AS DESCRIBED ABOVE IS IN THE BEST INTERESTS OF OUR STOCKHOLDERS AND RECOMMENDS A VOTE “FOR” SUCH PROPOSAL</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Fees for professional services rendered to the Company by RSM during the fiscal year ended December 31, 2016 were as follows (in thousands):</w:t>
      </w:r>
    </w:p>
    <w:p>
      <w:pPr>
        <w:spacing w:after="0" w:line="25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Audit related fees</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All other fees</w:t>
            </w:r>
          </w:p>
        </w:tc>
        <w:tc>
          <w:tcPr>
            <w:tcW w:w="4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r>
      <w:tr>
        <w:trPr>
          <w:trHeight w:val="223"/>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Fees for professional services rendered to the Company by RSM during the fiscal year ended December 31, 2015 were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8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Audit related fees</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All other fees</w:t>
            </w:r>
          </w:p>
        </w:tc>
        <w:tc>
          <w:tcPr>
            <w:tcW w:w="3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40" w:type="dxa"/>
            <w:vAlign w:val="bottom"/>
            <w:vMerge w:val="restart"/>
          </w:tcPr>
          <w:p>
            <w:pPr>
              <w:jc w:val="right"/>
              <w:ind w:right="2130"/>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audit fees for the fiscal years ended December 31, 2016 and 2015 were for professional services rendered in connection with the audits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annual financial statements, assistance with review of documents filed with the SEC, consents and other services required to be performed by our independent registered public accounting firm.</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All other fees billed to the Company by RSM during the fiscal years ended December 31, 2016 and 2015 for non-audit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and related services for attestations not required by law.</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Tax Fees: Tax fees were for professional services rendered in connection with tax compliance, tax advice, and tax planning. </w:t>
      </w:r>
      <w:r>
        <w:rPr>
          <w:rFonts w:ascii="Arial" w:cs="Arial" w:eastAsia="Arial" w:hAnsi="Arial"/>
          <w:sz w:val="18"/>
          <w:szCs w:val="18"/>
          <w:color w:val="auto"/>
        </w:rPr>
        <w:t>No fees were billed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by RSM during the fiscal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Non-audit related services billed by RSM were primarily related to the Company’s Form N-2 and other SEC filings.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accordance with the Audit Committee Charter, all of the foregoing audit and non-audit fees paid to, and the related services provided by, RSM were pre-approved by the Audit Committee.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2016, the Audit Committee convened five times to discuss with management and the independent auditors their respective accounting, auditing and financial reporting responsibilities with respect to the fiscal years 2016 and 2015.</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connection with the December 31, 2016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Arial" w:cs="Arial" w:eastAsia="Arial" w:hAnsi="Arial"/>
          <w:sz w:val="17"/>
          <w:szCs w:val="17"/>
          <w:i w:val="1"/>
          <w:iCs w:val="1"/>
          <w:color w:val="auto"/>
        </w:rPr>
        <w:t>Communication with Audit Committees Concerning Independence</w:t>
      </w:r>
      <w:r>
        <w:rPr>
          <w:rFonts w:ascii="Arial" w:cs="Arial" w:eastAsia="Arial" w:hAnsi="Arial"/>
          <w:sz w:val="17"/>
          <w:szCs w:val="17"/>
          <w:color w:val="auto"/>
        </w:rPr>
        <w:t>. In discharging these oversight responsibilities as to the audit process, the Audit Committee 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2016,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2016, for filing with the Securities and Exchange Commission.</w:t>
      </w:r>
    </w:p>
    <w:p>
      <w:pPr>
        <w:spacing w:after="0" w:line="200" w:lineRule="exact"/>
        <w:rPr>
          <w:sz w:val="20"/>
          <w:szCs w:val="20"/>
          <w:color w:val="auto"/>
        </w:rPr>
      </w:pPr>
    </w:p>
    <w:p>
      <w:pPr>
        <w:spacing w:after="0" w:line="204"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Date: April 28, 2017</w:t>
      </w:r>
      <w:r>
        <w:rPr>
          <w:sz w:val="20"/>
          <w:szCs w:val="20"/>
          <w:color w:val="auto"/>
        </w:rPr>
        <w:tab/>
      </w:r>
      <w:r>
        <w:rPr>
          <w:rFonts w:ascii="Arial" w:cs="Arial" w:eastAsia="Arial" w:hAnsi="Arial"/>
          <w:sz w:val="16"/>
          <w:szCs w:val="16"/>
          <w:color w:val="auto"/>
        </w:rPr>
        <w:t>Respectfully submitted,</w:t>
      </w:r>
    </w:p>
    <w:p>
      <w:pPr>
        <w:spacing w:after="0" w:line="200" w:lineRule="exact"/>
        <w:rPr>
          <w:sz w:val="20"/>
          <w:szCs w:val="20"/>
          <w:color w:val="auto"/>
        </w:rPr>
      </w:pPr>
    </w:p>
    <w:p>
      <w:pPr>
        <w:spacing w:after="0" w:line="24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Richard Salute, Chairman</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Salvatore Mulia</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Gregory Zink</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PROPOSAL III – ADVISORY VOTE ON COMPENSATION OF NAMED EXECUTIVE OFFICERS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SEC rules adopted under the Dodd-Frank Wall Street Reform and Consumer Protection Act (the “Dodd-Frank Act”), we are conducting a shareholder advisory vote on the compensation paid to our named executive officers. Although the vote is advisory and is not binding on the Board of Directors, the Company or the Compensation, Corporate Governance and Nominating Committee, the Compensation, Corporate Governance and Nominating Committee will take into account the outcome of the vote when considering future executive compensation decisions.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17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At our 2016 Annual Meeting, we provided our stockholders with the opportunity to cast an advisory vote on say-on-pay with respect to the NEO compensation disclosed in our proxy statement. 96% of the votes cast by our stockholders were in favor of our advisory vote on say-on-pay at the 2016 Annual Meeting.</w:t>
      </w:r>
    </w:p>
    <w:p>
      <w:pPr>
        <w:spacing w:after="0" w:line="17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RESOLUTION RELATED TO COMPENSATION OF NAMED EXECUTIVE OFFICERS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You are encouraged to read the detailed information under “Executive Compensation” of this Proxy Statement for additional details about our executive compensation programs.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Board of Directors strongly endorses the Company’s executive compensation program and recommends that shareholders vote in favor of the following resolution:</w:t>
      </w:r>
    </w:p>
    <w:p>
      <w:pPr>
        <w:spacing w:after="0" w:line="170" w:lineRule="exact"/>
        <w:rPr>
          <w:sz w:val="20"/>
          <w:szCs w:val="20"/>
          <w:color w:val="auto"/>
        </w:rPr>
      </w:pPr>
    </w:p>
    <w:p>
      <w:pPr>
        <w:jc w:val="both"/>
        <w:ind w:left="660" w:right="860"/>
        <w:spacing w:after="0" w:line="259" w:lineRule="auto"/>
        <w:rPr>
          <w:sz w:val="20"/>
          <w:szCs w:val="20"/>
          <w:color w:val="auto"/>
        </w:rPr>
      </w:pPr>
      <w:r>
        <w:rPr>
          <w:rFonts w:ascii="Arial" w:cs="Arial" w:eastAsia="Arial" w:hAnsi="Arial"/>
          <w:sz w:val="18"/>
          <w:szCs w:val="18"/>
          <w:color w:val="auto"/>
        </w:rPr>
        <w:t>RESOLVED, that the shareholders of Newtek Business Services Corp. hereby approve on an advisory basis, the compensation paid to the Company’s named executive officers, as disclosed pursuant to Item 402 of Regulation S-K to the Company’s Proxy Statement for the 2017 Annual Meeting of Shareholders, including the Compensation Discussion and Analysis compensation tables and narrative discussion.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 RELATED TO COMPENSATION OF NAMED EXECUTIVE OFFICERS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w:t>
      </w:r>
    </w:p>
    <w:p>
      <w:pPr>
        <w:spacing w:after="0" w:line="255" w:lineRule="auto"/>
        <w:rPr>
          <w:sz w:val="20"/>
          <w:szCs w:val="20"/>
          <w:color w:val="auto"/>
        </w:rPr>
      </w:pPr>
      <w:r>
        <w:rPr>
          <w:rFonts w:ascii="Arial" w:cs="Arial" w:eastAsia="Arial" w:hAnsi="Arial"/>
          <w:sz w:val="18"/>
          <w:szCs w:val="18"/>
          <w:color w:val="auto"/>
        </w:rPr>
        <w:t>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TO BE HELD ON JUNE 15,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and Annual Report for the year ended December 31, 2016 are available at the special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http://www.astproxyportal.com/ast/19720</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file annual, quarterly and current reports, Proxy Statements and other information with the SEC at 100 F Street, N.E., Washington, D.C. 20549. You may read and copy any reports, statements or other information we file at the SEC’s Public Reference Room in Washington, D.C. 20549. Please call the SEC at</w:t>
      </w:r>
    </w:p>
    <w:p>
      <w:pPr>
        <w:ind w:right="100" w:firstLine="8"/>
        <w:spacing w:after="0" w:line="254" w:lineRule="auto"/>
        <w:tabs>
          <w:tab w:leader="none" w:pos="4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SEC-0330 for further information on the Public Reference Room. Our SEC filings are also available to the public from commercial document retrieval services and on the web site maintained by the SEC at www.sec.gov. Such information will also be furnished upon written request to Newtek Business Services Corp., 1981 Marcus Avenue, Suite 130, Lake Success, New York 11042, Attention: Secretary, and can also be accessed through our website at www.newtekone.com.</w:t>
      </w:r>
    </w:p>
    <w:p>
      <w:pPr>
        <w:spacing w:after="0" w:line="1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w:t>
      </w:r>
    </w:p>
    <w:p>
      <w:pPr>
        <w:spacing w:after="0" w:line="2" w:lineRule="exact"/>
        <w:rPr>
          <w:sz w:val="20"/>
          <w:szCs w:val="20"/>
          <w:color w:val="auto"/>
        </w:rPr>
      </w:pPr>
    </w:p>
    <w:p>
      <w:pPr>
        <w:ind w:right="220" w:firstLine="8"/>
        <w:spacing w:after="0" w:line="255" w:lineRule="auto"/>
        <w:tabs>
          <w:tab w:leader="none" w:pos="4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OF PROXIES</w:t>
      </w:r>
    </w:p>
    <w:p>
      <w:pPr>
        <w:spacing w:after="0" w:line="229"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Shareholders may send written communications to the Board of 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be eligible for inclusion in the Proxy Statement and proxy relating to the 2017 Annual Meeting of Shareholders of the Company, which will be held on or about June 15, 2018, any shareholder proposal to take action at such meeting must be received by the Secretary of the Company at 1981 Marcus Avenue, Suite 130, Lake Success, New York 11042 no later than January 12, 2018. Nothing in this paragraph shall be deemed to require the Company to include in its Proxy Statement and proxy relating to the 2017 Annual Meeting of Shareholders, or to consider and vote upon at any such meeting, any shareholder proposal which does not meet all of the requirements established by the SEC or the Company’s Restated Certificate of Incorporation or Bylaws in effect at the time such proposal is received.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33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A. Schwartz,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586105</wp:posOffset>
            </wp:positionV>
            <wp:extent cx="7143750" cy="9253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43750" cy="925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603250</wp:posOffset>
            </wp:positionV>
            <wp:extent cx="7134860" cy="9201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34860" cy="9201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911860</wp:posOffset>
            </wp:positionV>
            <wp:extent cx="7100570" cy="9124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100570" cy="9124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x"/>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x"/>
      <w:numFmt w:val="bullet"/>
      <w:start w:val="1"/>
    </w:lvl>
  </w:abstractNum>
  <w:abstractNum w:abstractNumId="4">
    <w:nsid w:val="257130A3"/>
    <w:multiLevelType w:val="hybridMultilevel"/>
    <w:lvl w:ilvl="0">
      <w:lvlJc w:val="left"/>
      <w:lvlText w:val="☐"/>
      <w:numFmt w:val="bullet"/>
      <w:start w:val="1"/>
    </w:lvl>
    <w:lvl w:ilvl="1">
      <w:lvlJc w:val="left"/>
      <w:lvlText w:val="%2."/>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lowerRoman"/>
      <w:start w:val="4"/>
    </w:lvl>
  </w:abstractNum>
  <w:abstractNum w:abstractNumId="32">
    <w:nsid w:val="3006C83E"/>
    <w:multiLevelType w:val="hybridMultilevel"/>
    <w:lvl w:ilvl="0">
      <w:lvlJc w:val="left"/>
      <w:lvlText w:val="(%1)"/>
      <w:numFmt w:val="decimal"/>
      <w:start w:val="800"/>
    </w:lvl>
  </w:abstractNum>
  <w:abstractNum w:abstractNumId="33">
    <w:nsid w:val="614FD4A1"/>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2019-12-07T20:46:00Z</dcterms:created>
  <dcterms:modified xsi:type="dcterms:W3CDTF">2019-12-07T20:46:00Z</dcterms:modified>
</cp:coreProperties>
</file>