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2"/>
        </w:trPr>
        <w:tc>
          <w:tcPr>
            <w:tcW w:w="3380" w:type="dxa"/>
            <w:vAlign w:val="bottom"/>
          </w:tcPr>
          <w:p>
            <w:pPr>
              <w:spacing w:after="0"/>
              <w:rPr>
                <w:sz w:val="24"/>
                <w:szCs w:val="24"/>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(RULE 14a-101)</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Proxy Statement</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2"/>
        </w:trPr>
        <w:tc>
          <w:tcPr>
            <w:tcW w:w="3380" w:type="dxa"/>
            <w:vAlign w:val="bottom"/>
          </w:tcPr>
          <w:p>
            <w:pPr>
              <w:spacing w:after="0"/>
              <w:rPr>
                <w:sz w:val="24"/>
                <w:szCs w:val="24"/>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SCHEDULE 14A INFORMATION</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3380" w:type="dxa"/>
            <w:vAlign w:val="bottom"/>
          </w:tcPr>
          <w:p>
            <w:pPr>
              <w:spacing w:after="0"/>
              <w:rPr>
                <w:sz w:val="18"/>
                <w:szCs w:val="18"/>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380" w:type="dxa"/>
            <w:vAlign w:val="bottom"/>
          </w:tcPr>
          <w:p>
            <w:pPr>
              <w:spacing w:after="0"/>
              <w:rPr>
                <w:sz w:val="20"/>
                <w:szCs w:val="20"/>
                <w:color w:val="auto"/>
              </w:rPr>
            </w:pPr>
          </w:p>
        </w:tc>
        <w:tc>
          <w:tcPr>
            <w:tcW w:w="4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w:t>
            </w:r>
          </w:p>
        </w:tc>
      </w:tr>
      <w:tr>
        <w:trPr>
          <w:trHeight w:val="30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S</w:t>
            </w: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Party other than the Registrant</w:t>
            </w:r>
          </w:p>
        </w:tc>
        <w:tc>
          <w:tcPr>
            <w:tcW w:w="4160" w:type="dxa"/>
            <w:vAlign w:val="bottom"/>
          </w:tcPr>
          <w:p>
            <w:pPr>
              <w:ind w:left="1740"/>
              <w:spacing w:after="0"/>
              <w:rPr>
                <w:sz w:val="20"/>
                <w:szCs w:val="20"/>
                <w:color w:val="auto"/>
              </w:rPr>
            </w:pPr>
            <w:r>
              <w:rPr>
                <w:rFonts w:ascii="Arial" w:cs="Arial" w:eastAsia="Arial" w:hAnsi="Arial"/>
                <w:sz w:val="18"/>
                <w:szCs w:val="18"/>
                <w:color w:val="auto"/>
              </w:rPr>
              <w:t>£</w:t>
            </w:r>
          </w:p>
        </w:tc>
      </w:tr>
    </w:tbl>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Preliminary Proxy Statement</w:t>
      </w:r>
    </w:p>
    <w:p>
      <w:pPr>
        <w:spacing w:after="0" w:line="58"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5"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S   </w:t>
      </w:r>
      <w:r>
        <w:rPr>
          <w:rFonts w:ascii="Times New Roman" w:cs="Times New Roman" w:eastAsia="Times New Roman" w:hAnsi="Times New Roman"/>
          <w:sz w:val="18"/>
          <w:szCs w:val="18"/>
          <w:color w:val="auto"/>
        </w:rPr>
        <w:t>Definitive Proxy Statement</w:t>
      </w:r>
    </w:p>
    <w:p>
      <w:pPr>
        <w:spacing w:after="0" w:line="62"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Definitive Additional Materials</w:t>
      </w:r>
    </w:p>
    <w:p>
      <w:pPr>
        <w:spacing w:after="0" w:line="62" w:lineRule="exact"/>
        <w:rPr>
          <w:rFonts w:ascii="Arial" w:cs="Arial" w:eastAsia="Arial" w:hAnsi="Arial"/>
          <w:sz w:val="18"/>
          <w:szCs w:val="18"/>
          <w:color w:val="auto"/>
        </w:rPr>
      </w:pPr>
    </w:p>
    <w:p>
      <w:pPr>
        <w:ind w:left="520" w:hanging="494"/>
        <w:spacing w:after="0"/>
        <w:tabs>
          <w:tab w:leader="none" w:pos="52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17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9"/>
          <w:szCs w:val="29"/>
          <w:b w:val="1"/>
          <w:bCs w:val="1"/>
          <w:color w:val="auto"/>
        </w:rPr>
        <w:t>NEWTEK BUSINESS SERVICES CORP.</w:t>
      </w:r>
    </w:p>
    <w:p>
      <w:pPr>
        <w:spacing w:after="0" w:line="4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No fee required.</w:t>
      </w:r>
    </w:p>
    <w:p>
      <w:pPr>
        <w:spacing w:after="0" w:line="62" w:lineRule="exact"/>
        <w:rPr>
          <w:sz w:val="24"/>
          <w:szCs w:val="24"/>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computed on table below per Exchange Act Rules 14a-6 (i) (1) and 0-11.</w:t>
      </w:r>
    </w:p>
    <w:p>
      <w:pPr>
        <w:spacing w:after="0" w:line="62"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46" w:lineRule="exact"/>
        <w:rPr>
          <w:rFonts w:ascii="Times New Roman" w:cs="Times New Roman" w:eastAsia="Times New Roman" w:hAnsi="Times New Roman"/>
          <w:sz w:val="18"/>
          <w:szCs w:val="18"/>
          <w:color w:val="auto"/>
        </w:rPr>
      </w:pPr>
    </w:p>
    <w:p>
      <w:pPr>
        <w:ind w:left="1100" w:hanging="575"/>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33" w:lineRule="exact"/>
        <w:rPr>
          <w:rFonts w:ascii="Times New Roman" w:cs="Times New Roman" w:eastAsia="Times New Roman" w:hAnsi="Times New Roman"/>
          <w:sz w:val="18"/>
          <w:szCs w:val="18"/>
          <w:color w:val="auto"/>
        </w:rPr>
      </w:pPr>
    </w:p>
    <w:p>
      <w:pPr>
        <w:ind w:left="1100" w:right="140" w:hanging="575"/>
        <w:spacing w:after="0" w:line="250" w:lineRule="auto"/>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70" w:lineRule="exact"/>
        <w:rPr>
          <w:rFonts w:ascii="Times New Roman" w:cs="Times New Roman" w:eastAsia="Times New Roman" w:hAnsi="Times New Roman"/>
          <w:sz w:val="18"/>
          <w:szCs w:val="18"/>
          <w:color w:val="auto"/>
        </w:rPr>
      </w:pPr>
    </w:p>
    <w:p>
      <w:pPr>
        <w:ind w:left="1100" w:hanging="575"/>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333" w:lineRule="exact"/>
        <w:rPr>
          <w:rFonts w:ascii="Times New Roman" w:cs="Times New Roman" w:eastAsia="Times New Roman" w:hAnsi="Times New Roman"/>
          <w:sz w:val="18"/>
          <w:szCs w:val="18"/>
          <w:color w:val="auto"/>
        </w:rPr>
      </w:pPr>
    </w:p>
    <w:p>
      <w:pPr>
        <w:ind w:left="1100" w:hanging="575"/>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19" w:lineRule="exact"/>
        <w:rPr>
          <w:rFonts w:ascii="Times New Roman" w:cs="Times New Roman" w:eastAsia="Times New Roman" w:hAnsi="Times New Roman"/>
          <w:sz w:val="18"/>
          <w:szCs w:val="18"/>
          <w:color w:val="auto"/>
        </w:rPr>
      </w:pPr>
    </w:p>
    <w:p>
      <w:pPr>
        <w:ind w:left="520" w:hanging="494"/>
        <w:spacing w:after="0"/>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2" w:lineRule="exact"/>
        <w:rPr>
          <w:rFonts w:ascii="Arial" w:cs="Arial" w:eastAsia="Arial" w:hAnsi="Arial"/>
          <w:sz w:val="18"/>
          <w:szCs w:val="18"/>
          <w:color w:val="auto"/>
        </w:rPr>
      </w:pPr>
    </w:p>
    <w:p>
      <w:pPr>
        <w:ind w:left="520" w:hanging="494"/>
        <w:spacing w:after="0" w:line="244" w:lineRule="auto"/>
        <w:tabs>
          <w:tab w:leader="none" w:pos="520"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1100" w:hanging="575"/>
        <w:spacing w:after="0"/>
        <w:tabs>
          <w:tab w:leader="none" w:pos="1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681990</wp:posOffset>
            </wp:positionH>
            <wp:positionV relativeFrom="paragraph">
              <wp:posOffset>-567690</wp:posOffset>
            </wp:positionV>
            <wp:extent cx="6343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-910590</wp:posOffset>
            </wp:positionV>
            <wp:extent cx="6343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-1253490</wp:posOffset>
            </wp:positionV>
            <wp:extent cx="634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-1699260</wp:posOffset>
            </wp:positionV>
            <wp:extent cx="6343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-2042160</wp:posOffset>
            </wp:positionV>
            <wp:extent cx="6343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302" w:lineRule="exact"/>
        <w:rPr>
          <w:sz w:val="20"/>
          <w:szCs w:val="20"/>
          <w:color w:val="auto"/>
        </w:rPr>
      </w:pPr>
    </w:p>
    <w:p>
      <w:pPr>
        <w:ind w:left="575" w:hanging="575"/>
        <w:spacing w:after="0"/>
        <w:tabs>
          <w:tab w:leader="none" w:pos="5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344" w:lineRule="exact"/>
        <w:rPr>
          <w:rFonts w:ascii="Times New Roman" w:cs="Times New Roman" w:eastAsia="Times New Roman" w:hAnsi="Times New Roman"/>
          <w:sz w:val="17"/>
          <w:szCs w:val="17"/>
          <w:color w:val="auto"/>
        </w:rPr>
      </w:pPr>
    </w:p>
    <w:p>
      <w:pPr>
        <w:ind w:left="575" w:hanging="575"/>
        <w:spacing w:after="0"/>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33" w:lineRule="exact"/>
        <w:rPr>
          <w:rFonts w:ascii="Times New Roman" w:cs="Times New Roman" w:eastAsia="Times New Roman" w:hAnsi="Times New Roman"/>
          <w:sz w:val="18"/>
          <w:szCs w:val="18"/>
          <w:color w:val="auto"/>
        </w:rPr>
      </w:pPr>
    </w:p>
    <w:p>
      <w:pPr>
        <w:ind w:left="575" w:hanging="575"/>
        <w:spacing w:after="0"/>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205740</wp:posOffset>
            </wp:positionV>
            <wp:extent cx="6343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-136525</wp:posOffset>
            </wp:positionV>
            <wp:extent cx="634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-479425</wp:posOffset>
            </wp:positionV>
            <wp:extent cx="6343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-822325</wp:posOffset>
            </wp:positionV>
            <wp:extent cx="6343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ectPr>
          <w:pgSz w:w="11900" w:h="16838" w:orient="portrait"/>
          <w:cols w:equalWidth="0" w:num="1">
            <w:col w:w="9614"/>
          </w:cols>
          <w:pgMar w:left="845" w:top="1440" w:right="1440"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July 28,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3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We invite you to attend the Special Meeting of Shareholders (the “Meeting”) of Newtek Business Services Corp. (the “Company”) to be held at 2711 South Ocean Drive, Hollywood, Florida, 33019, on August 26, 2022 at 9:00 a.m., Eastern Daylight Time.</w:t>
      </w:r>
    </w:p>
    <w:p>
      <w:pPr>
        <w:spacing w:after="0" w:line="176" w:lineRule="exact"/>
        <w:rPr>
          <w:sz w:val="20"/>
          <w:szCs w:val="20"/>
          <w:color w:val="auto"/>
        </w:rPr>
      </w:pPr>
    </w:p>
    <w:p>
      <w:pPr>
        <w:ind w:right="460" w:firstLine="432"/>
        <w:spacing w:after="0" w:line="261" w:lineRule="auto"/>
        <w:rPr>
          <w:sz w:val="20"/>
          <w:szCs w:val="20"/>
          <w:color w:val="auto"/>
        </w:rPr>
      </w:pPr>
      <w:r>
        <w:rPr>
          <w:rFonts w:ascii="Times New Roman" w:cs="Times New Roman" w:eastAsia="Times New Roman" w:hAnsi="Times New Roman"/>
          <w:sz w:val="18"/>
          <w:szCs w:val="18"/>
          <w:color w:val="auto"/>
        </w:rPr>
        <w:t>The attached Notice of Special Meeting and Proxy Statement accompanying this letter provide an outline of the business to be conducted at the meeting. At the Meeting, you will be asked to consider and vote upon the following proposals:</w:t>
      </w:r>
    </w:p>
    <w:p>
      <w:pPr>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w:t>
      </w:r>
    </w:p>
    <w:p>
      <w:pPr>
        <w:spacing w:after="0" w:line="199" w:lineRule="exact"/>
        <w:rPr>
          <w:rFonts w:ascii="Times New Roman" w:cs="Times New Roman" w:eastAsia="Times New Roman" w:hAnsi="Times New Roman"/>
          <w:sz w:val="18"/>
          <w:szCs w:val="18"/>
          <w:color w:val="auto"/>
        </w:rPr>
      </w:pPr>
    </w:p>
    <w:p>
      <w:pPr>
        <w:ind w:left="660" w:right="660" w:hanging="328"/>
        <w:spacing w:after="0" w:line="23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approve an amendment to the Company’s Articles of Amendment and Restatement to allow the Company’s shareholders to amend the Company’s bylaws, subject to certain limitations;</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Meeting, if necessary or appropriate, to solicit additional proxies;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of adjournment thereof.</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YOUR VOTE IS IMPORTANT, REGARDLESS OF THE NUMBER OF SHARES YOU OWN.</w:t>
      </w:r>
    </w:p>
    <w:p>
      <w:pPr>
        <w:spacing w:after="0" w:line="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On behalf of the Company’s Board of Directors, we urge you to complete, date and sign the enclosed Proxy Card and promptly return it in the envelope provided. If you prefer, you can save time by authorizing your proxy through the Internet or by telephone as described in the accompanying Proxy Statement and on the enclosed Proxy Card. This will not prevent you from voting during the Meeting, but will assure that your vote is counted if you are unable to attend the Meeting. Your vote and participation in the governance of the Company is very important to us.</w:t>
      </w:r>
    </w:p>
    <w:p>
      <w:pPr>
        <w:spacing w:after="0" w:line="2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1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Barry Sloane</w:t>
      </w:r>
    </w:p>
    <w:p>
      <w:pPr>
        <w:spacing w:after="0" w:line="2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20"/>
          </w:cols>
          <w:pgMar w:left="320" w:top="1440" w:right="359" w:bottom="1440" w:gutter="0" w:footer="0" w:header="0"/>
        </w:sectPr>
      </w:pPr>
    </w:p>
    <w:bookmarkStart w:id="3" w:name="page4"/>
    <w:bookmarkEnd w:id="3"/>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Boca Raton, FL 33431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August 26,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of Newtek Business Services Corp.:</w:t>
      </w:r>
    </w:p>
    <w:p>
      <w:pPr>
        <w:spacing w:after="0" w:line="252" w:lineRule="exact"/>
        <w:rPr>
          <w:sz w:val="20"/>
          <w:szCs w:val="20"/>
          <w:color w:val="auto"/>
        </w:rPr>
      </w:pPr>
    </w:p>
    <w:p>
      <w:pPr>
        <w:ind w:right="1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Special Meeting of Shareholders (the “Meeting”) of Newtek Business Services Corp. (the “Company”)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held at 2711 South Ocean Drive, Hollywood, Florida, 33019, on August 26, 2022 at 9:00 a.m., Eastern Daylight Time.</w:t>
      </w:r>
    </w:p>
    <w:p>
      <w:pPr>
        <w:spacing w:after="0" w:line="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Meeting is for the following purposes, which are more completely described in the accompanying Proxy Statement:</w:t>
      </w:r>
    </w:p>
    <w:p>
      <w:pPr>
        <w:spacing w:after="0" w:line="117" w:lineRule="exact"/>
        <w:rPr>
          <w:sz w:val="20"/>
          <w:szCs w:val="20"/>
          <w:color w:val="auto"/>
        </w:rPr>
      </w:pPr>
    </w:p>
    <w:p>
      <w:pPr>
        <w:ind w:left="660" w:hanging="247"/>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(“Proposal 1”);</w:t>
      </w:r>
    </w:p>
    <w:p>
      <w:pPr>
        <w:spacing w:after="0" w:line="67" w:lineRule="exact"/>
        <w:rPr>
          <w:rFonts w:ascii="Times New Roman" w:cs="Times New Roman" w:eastAsia="Times New Roman" w:hAnsi="Times New Roman"/>
          <w:sz w:val="18"/>
          <w:szCs w:val="18"/>
          <w:color w:val="auto"/>
        </w:rPr>
      </w:pPr>
    </w:p>
    <w:p>
      <w:pPr>
        <w:ind w:left="660" w:right="320" w:hanging="247"/>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To approve an amendment to the Company’s Articles of Amendment and Restatement (the “Charter”) to allow the Company’s shareholders to amend the Company’s bylaws (the “Bylaws”), subject to certain limitations </w:t>
      </w:r>
      <w:r>
        <w:rPr>
          <w:rFonts w:ascii="Times New Roman" w:cs="Times New Roman" w:eastAsia="Times New Roman" w:hAnsi="Times New Roman"/>
          <w:sz w:val="18"/>
          <w:szCs w:val="18"/>
          <w:color w:val="000000"/>
        </w:rPr>
        <w:t>(“Proposal 2”)</w:t>
      </w:r>
      <w:r>
        <w:rPr>
          <w:rFonts w:ascii="Times New Roman" w:cs="Times New Roman" w:eastAsia="Times New Roman" w:hAnsi="Times New Roman"/>
          <w:sz w:val="18"/>
          <w:szCs w:val="18"/>
          <w:color w:val="231F20"/>
        </w:rPr>
        <w:t>;</w:t>
      </w:r>
    </w:p>
    <w:p>
      <w:pPr>
        <w:spacing w:after="0" w:line="53"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6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To approve a proposal to adjourn the Meeting, if necessary or appropriate, to solicit additional proxies (“Proposal 3,” and together with Proposal 1 and Proposal 2, the “Proposals”); and</w:t>
      </w:r>
    </w:p>
    <w:p>
      <w:pPr>
        <w:spacing w:after="0" w:line="53" w:lineRule="exact"/>
        <w:rPr>
          <w:rFonts w:ascii="Times New Roman" w:cs="Times New Roman" w:eastAsia="Times New Roman" w:hAnsi="Times New Roman"/>
          <w:sz w:val="18"/>
          <w:szCs w:val="18"/>
          <w:color w:val="231F20"/>
        </w:rPr>
      </w:pPr>
    </w:p>
    <w:p>
      <w:pPr>
        <w:ind w:left="660" w:hanging="24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of adjournment thereof.</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Shareholders of record at the close of business on July 20, 2022 are entitled to vote during the Meeting and any adjournment thereof.</w:t>
      </w:r>
    </w:p>
    <w:p>
      <w:pPr>
        <w:spacing w:after="0" w:line="239" w:lineRule="exact"/>
        <w:rPr>
          <w:sz w:val="20"/>
          <w:szCs w:val="20"/>
          <w:color w:val="auto"/>
        </w:rPr>
      </w:pPr>
    </w:p>
    <w:p>
      <w:pPr>
        <w:ind w:right="120" w:firstLine="432"/>
        <w:spacing w:after="0" w:line="250" w:lineRule="auto"/>
        <w:rPr>
          <w:sz w:val="20"/>
          <w:szCs w:val="20"/>
          <w:color w:val="auto"/>
        </w:rPr>
      </w:pPr>
      <w:r>
        <w:rPr>
          <w:rFonts w:ascii="Times New Roman" w:cs="Times New Roman" w:eastAsia="Times New Roman" w:hAnsi="Times New Roman"/>
          <w:sz w:val="18"/>
          <w:szCs w:val="18"/>
          <w:color w:val="auto"/>
        </w:rPr>
        <w:t>We ask that you fill in and sign the enclosed Proxy Card which is solicited by the Board of Directors and to mail it promptly in the enclosed envelope. You may also submit your proxy by telephone or Internet as shown on the Proxy Card. Your proxy will not be used if you attend and vote at the Meeting in person..</w:t>
      </w:r>
    </w:p>
    <w:p>
      <w:pPr>
        <w:spacing w:after="0" w:line="2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14605</wp:posOffset>
            </wp:positionV>
            <wp:extent cx="42348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1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BARRY SLOANE</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34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Boca Raton, Florida</w:t>
      </w:r>
    </w:p>
    <w:p>
      <w:pPr>
        <w:spacing w:after="0" w:line="6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08914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IMPORTANT: </w:t>
      </w:r>
      <w:r>
        <w:rPr>
          <w:rFonts w:ascii="Times New Roman" w:cs="Times New Roman" w:eastAsia="Times New Roman" w:hAnsi="Times New Roman"/>
          <w:sz w:val="18"/>
          <w:szCs w:val="18"/>
          <w:color w:val="auto"/>
        </w:rPr>
        <w:t>THE PROMPT RETURN OF PROXIES WILL SAVE THE COMPANY THE EXPENSE OF A FURTHER REQUEST FOR PROXIES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TO ENSURE A QUORUM. A SELF-ADDRESSED ENVELOPE IS ENCLOSED FOR YOUR CONVENIENCE. NO POSTAGE IS REQUIRED IF MAILED WITHIN THE UNITED STATES. EVEN IF YOU VOTE YOUR SHARES PRIOR TO THE MEETING, YOU STILL MAY ATTEND THE MEETING AND VOTE YOUR SHARES DURING THE MEETING IF YOU WISH TO CHANGE YOUR VOTE.</w:t>
      </w:r>
    </w:p>
    <w:p>
      <w:pPr>
        <w:sectPr>
          <w:pgSz w:w="11900" w:h="16838" w:orient="portrait"/>
          <w:cols w:equalWidth="0" w:num="1">
            <w:col w:w="11220"/>
          </w:cols>
          <w:pgMar w:left="320" w:top="1440"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4800 T-Rex Avenue, Suite 120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Boca Raton, FL 33431 (212) 356-9500</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MEETING OF SHAREHOLDERS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AUGUST 16, 2022</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43"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Newtek Business Services Corp. (the “Company”) for the Special Meeting of Shareholders (the “Meeting”) to be held at 2711 South Ocean Drive, Hollywood, Florida, 33019, on August 26, 2022 at 9:00 a.m., Eastern Daylight Time. The accompanying Notice of Special Meeting and this proxy statement, together with the enclosed Proxy Card (collectively, the “Proxy Statement”), are first being mailed to shareholders of the Company common stock, par value $0.02 per share (the “Common Shares”), on or about July 28, 2022.</w:t>
      </w:r>
    </w:p>
    <w:p>
      <w:pPr>
        <w:spacing w:after="0" w:line="167" w:lineRule="exact"/>
        <w:rPr>
          <w:sz w:val="20"/>
          <w:szCs w:val="20"/>
          <w:color w:val="auto"/>
        </w:rPr>
      </w:pPr>
    </w:p>
    <w:p>
      <w:pPr>
        <w:ind w:right="460" w:firstLine="324"/>
        <w:spacing w:after="0" w:line="224" w:lineRule="auto"/>
        <w:rPr>
          <w:sz w:val="20"/>
          <w:szCs w:val="20"/>
          <w:color w:val="auto"/>
        </w:rPr>
      </w:pPr>
      <w:r>
        <w:rPr>
          <w:rFonts w:ascii="Times New Roman" w:cs="Times New Roman" w:eastAsia="Times New Roman" w:hAnsi="Times New Roman"/>
          <w:sz w:val="18"/>
          <w:szCs w:val="18"/>
          <w:b w:val="1"/>
          <w:bCs w:val="1"/>
          <w:color w:val="auto"/>
        </w:rPr>
        <w:t>We encourage you to vote your shares</w:t>
      </w:r>
      <w:r>
        <w:rPr>
          <w:rFonts w:ascii="Times New Roman" w:cs="Times New Roman" w:eastAsia="Times New Roman" w:hAnsi="Times New Roman"/>
          <w:sz w:val="18"/>
          <w:szCs w:val="18"/>
          <w:color w:val="auto"/>
        </w:rPr>
        <w:t>, either by voting in person at the Meeting or by granting a proxy (i.e., authorizing someone to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221" w:lineRule="exact"/>
        <w:rPr>
          <w:sz w:val="20"/>
          <w:szCs w:val="20"/>
          <w:color w:val="auto"/>
        </w:rPr>
      </w:pPr>
    </w:p>
    <w:p>
      <w:pPr>
        <w:ind w:right="40" w:firstLine="431"/>
        <w:spacing w:after="0" w:line="206" w:lineRule="auto"/>
        <w:rPr>
          <w:sz w:val="20"/>
          <w:szCs w:val="20"/>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 Shareholders of record may submit proxies by completing, signing and dating each Proxy Card received and returning it in the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 Sign your name exactly as it appears on the Proxy Card.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w:t>
      </w:r>
    </w:p>
    <w:p>
      <w:pPr>
        <w:spacing w:after="0" w:line="153" w:lineRule="exact"/>
        <w:rPr>
          <w:sz w:val="20"/>
          <w:szCs w:val="20"/>
          <w:color w:val="auto"/>
        </w:rPr>
      </w:pPr>
    </w:p>
    <w:p>
      <w:pPr>
        <w:ind w:right="100" w:firstLine="432"/>
        <w:spacing w:after="0" w:line="199" w:lineRule="auto"/>
        <w:rPr>
          <w:sz w:val="20"/>
          <w:szCs w:val="20"/>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 Shareholders of record may submit proxies by following the telephone voting instructions on each Proxy Card. Most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hold shares beneficially in street name may provide voting instructions by telephone by calling the number specified on the voting instruction form provided by their brokers, banks or other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54" w:lineRule="exact"/>
        <w:rPr>
          <w:sz w:val="20"/>
          <w:szCs w:val="20"/>
          <w:color w:val="auto"/>
        </w:rPr>
      </w:pPr>
    </w:p>
    <w:p>
      <w:pPr>
        <w:ind w:right="40" w:firstLine="432"/>
        <w:spacing w:after="0" w:line="212" w:lineRule="auto"/>
        <w:rPr>
          <w:sz w:val="20"/>
          <w:szCs w:val="20"/>
          <w:color w:val="auto"/>
        </w:rPr>
      </w:pPr>
      <w:r>
        <w:rPr>
          <w:rFonts w:ascii="Times New Roman" w:cs="Times New Roman" w:eastAsia="Times New Roman" w:hAnsi="Times New Roman"/>
          <w:sz w:val="18"/>
          <w:szCs w:val="18"/>
          <w:b w:val="1"/>
          <w:bCs w:val="1"/>
          <w:color w:val="auto"/>
        </w:rPr>
        <w:t xml:space="preserve">By Internet </w:t>
      </w:r>
      <w:r>
        <w:rPr>
          <w:rFonts w:ascii="Times New Roman" w:cs="Times New Roman" w:eastAsia="Times New Roman" w:hAnsi="Times New Roman"/>
          <w:sz w:val="18"/>
          <w:szCs w:val="18"/>
          <w:color w:val="auto"/>
        </w:rPr>
        <w:t>— Shareholders of record with internet access may submit proxies by following the internet voting instructions on their Proxy Cards.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shareholders who hold shares beneficially in street name may provide voting instructions by accessing the website specified on the voting instruction form provided by their brokers, banks or other nominees.</w:t>
      </w:r>
    </w:p>
    <w:p>
      <w:pPr>
        <w:spacing w:after="0" w:line="171" w:lineRule="exact"/>
        <w:rPr>
          <w:sz w:val="20"/>
          <w:szCs w:val="20"/>
          <w:color w:val="auto"/>
        </w:rPr>
      </w:pPr>
    </w:p>
    <w:p>
      <w:pPr>
        <w:jc w:val="both"/>
        <w:ind w:right="140" w:firstLine="432"/>
        <w:spacing w:after="0" w:line="210" w:lineRule="auto"/>
        <w:rPr>
          <w:sz w:val="20"/>
          <w:szCs w:val="20"/>
          <w:color w:val="auto"/>
        </w:rPr>
      </w:pPr>
      <w:r>
        <w:rPr>
          <w:rFonts w:ascii="Times New Roman" w:cs="Times New Roman" w:eastAsia="Times New Roman" w:hAnsi="Times New Roman"/>
          <w:sz w:val="18"/>
          <w:szCs w:val="18"/>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155" w:lineRule="exact"/>
        <w:rPr>
          <w:sz w:val="20"/>
          <w:szCs w:val="20"/>
          <w:color w:val="auto"/>
        </w:rPr>
      </w:pPr>
    </w:p>
    <w:p>
      <w:pPr>
        <w:ind w:firstLine="431"/>
        <w:spacing w:after="0" w:line="206" w:lineRule="auto"/>
        <w:rPr>
          <w:sz w:val="20"/>
          <w:szCs w:val="20"/>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 Shares held in your name as the shareholder of record may be voted at the Meeting. Shares held beneficially in street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name may be voted in person only if you obtain a legal proxy from the broker, bank or other nominee that holds your shares giving you the right to vote the shares. </w:t>
      </w:r>
      <w:r>
        <w:rPr>
          <w:rFonts w:ascii="Times New Roman" w:cs="Times New Roman" w:eastAsia="Times New Roman" w:hAnsi="Times New Roman"/>
          <w:sz w:val="18"/>
          <w:szCs w:val="18"/>
          <w:b w:val="1"/>
          <w:bCs w:val="1"/>
          <w:i w:val="1"/>
          <w:iCs w:val="1"/>
          <w:color w:val="auto"/>
        </w:rPr>
        <w:t>Even if you plan to attend the Meeting, we recommend that you also submit your proxy or voting instructions or vote by telephone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internet so that your vote will be counted if you later decide not to attend the Meeting</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right="140" w:firstLine="431"/>
        <w:spacing w:after="0" w:line="215" w:lineRule="auto"/>
        <w:rPr>
          <w:sz w:val="20"/>
          <w:szCs w:val="20"/>
          <w:color w:val="auto"/>
        </w:rPr>
      </w:pPr>
      <w:r>
        <w:rPr>
          <w:rFonts w:ascii="Times New Roman" w:cs="Times New Roman" w:eastAsia="Times New Roman" w:hAnsi="Times New Roman"/>
          <w:sz w:val="18"/>
          <w:szCs w:val="18"/>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w:t>
      </w:r>
    </w:p>
    <w:p>
      <w:pPr>
        <w:ind w:right="180"/>
        <w:spacing w:after="0" w:line="207" w:lineRule="auto"/>
        <w:rPr>
          <w:sz w:val="20"/>
          <w:szCs w:val="20"/>
          <w:color w:val="auto"/>
        </w:rPr>
      </w:pPr>
      <w:r>
        <w:rPr>
          <w:rFonts w:ascii="Times New Roman" w:cs="Times New Roman" w:eastAsia="Times New Roman" w:hAnsi="Times New Roman"/>
          <w:sz w:val="17"/>
          <w:szCs w:val="17"/>
          <w:color w:val="auto"/>
        </w:rPr>
        <w:t>by written notice to the Secretary of the Company or by the filing of a properly executed, later-dated proxy. A proxy will not be voted if a shareholder attends the Meeting and votes in person. The presence of a shareholder at the Meeting alone will not revoke such shareholder’s proxy. Shareholders have</w:t>
      </w:r>
    </w:p>
    <w:p>
      <w:pPr>
        <w:spacing w:after="0"/>
        <w:rPr>
          <w:sz w:val="20"/>
          <w:szCs w:val="20"/>
          <w:color w:val="auto"/>
        </w:rPr>
      </w:pPr>
      <w:r>
        <w:rPr>
          <w:rFonts w:ascii="Times New Roman" w:cs="Times New Roman" w:eastAsia="Times New Roman" w:hAnsi="Times New Roman"/>
          <w:sz w:val="18"/>
          <w:szCs w:val="18"/>
          <w:color w:val="auto"/>
        </w:rPr>
        <w:t>no dissenters’ or appraisal rights in connection with the Proposals described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13" w:right="379" w:bottom="1440" w:gutter="0" w:footer="0" w:header="0"/>
        </w:sectPr>
      </w:pPr>
    </w:p>
    <w:bookmarkStart w:id="5" w:name="page6"/>
    <w:bookmarkEnd w:id="5"/>
    <w:p>
      <w:pPr>
        <w:ind w:left="4600"/>
        <w:spacing w:after="0"/>
        <w:rPr>
          <w:sz w:val="20"/>
          <w:szCs w:val="20"/>
          <w:color w:val="auto"/>
        </w:rPr>
      </w:pPr>
      <w:r>
        <w:rPr>
          <w:rFonts w:ascii="Times New Roman" w:cs="Times New Roman" w:eastAsia="Times New Roman" w:hAnsi="Times New Roman"/>
          <w:sz w:val="18"/>
          <w:szCs w:val="18"/>
          <w:b w:val="1"/>
          <w:bCs w:val="1"/>
          <w:color w:val="auto"/>
        </w:rPr>
        <w:t>PURPOSE OF MEETING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Meeting, you will be asked to vote on the following proposals:</w:t>
      </w:r>
    </w:p>
    <w:p>
      <w:pPr>
        <w:spacing w:after="0" w:line="9" w:lineRule="exact"/>
        <w:rPr>
          <w:sz w:val="20"/>
          <w:szCs w:val="20"/>
          <w:color w:val="auto"/>
        </w:rPr>
      </w:pPr>
    </w:p>
    <w:p>
      <w:pPr>
        <w:ind w:left="660" w:right="30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w:t>
      </w:r>
    </w:p>
    <w:p>
      <w:pPr>
        <w:spacing w:after="0" w:line="212"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approve an amendment to the Company’s Charter to allow the Company’s shareholders to amend the Company’s Bylaws, subject to certain limitations;</w:t>
      </w:r>
    </w:p>
    <w:p>
      <w:pPr>
        <w:spacing w:after="0" w:line="161"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Meeting, if necessary or appropriate, to solicit additional proxies;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postponement of adjournment thereof.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QUORUM REQUIRED</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quorum must be present at the Meeting for any business to be conducted. The presence at the Meeting, virtually or by proxy, of holders entitled to cast a majority of the votes entitled to be cast as of the Record Date will constitute a quorum. Abstentions and broker non-votes, if any, will be deemed present for the purpose of determining a quorum for the Meeting. If there are not enough votes for a quorum, the Chairman of the Meeting may adjourn the Meeting to permit the further solicitation of proxies.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16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Broker</w:t>
            </w: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6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rPr>
              <w:t>Discretionary</w:t>
            </w:r>
          </w:p>
        </w:tc>
        <w:tc>
          <w:tcPr>
            <w:tcW w:w="2220" w:type="dxa"/>
            <w:vAlign w:val="bottom"/>
            <w:vMerge w:val="restart"/>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Effect of Abstentions and</w:t>
            </w:r>
          </w:p>
        </w:tc>
        <w:tc>
          <w:tcPr>
            <w:tcW w:w="0" w:type="dxa"/>
            <w:vAlign w:val="bottom"/>
          </w:tcPr>
          <w:p>
            <w:pPr>
              <w:spacing w:after="0"/>
              <w:rPr>
                <w:sz w:val="1"/>
                <w:szCs w:val="1"/>
                <w:color w:val="auto"/>
              </w:rPr>
            </w:pPr>
          </w:p>
        </w:tc>
      </w:tr>
      <w:tr>
        <w:trPr>
          <w:trHeight w:val="162"/>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3700" w:type="dxa"/>
            <w:vAlign w:val="bottom"/>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Vote Required</w:t>
            </w:r>
          </w:p>
        </w:tc>
        <w:tc>
          <w:tcPr>
            <w:tcW w:w="2160" w:type="dxa"/>
            <w:vAlign w:val="bottom"/>
          </w:tcPr>
          <w:p>
            <w:pPr>
              <w:jc w:val="center"/>
              <w:ind w:left="1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Voting</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80" w:type="dxa"/>
            <w:vAlign w:val="bottom"/>
            <w:vMerge w:val="continue"/>
          </w:tcPr>
          <w:p>
            <w:pPr>
              <w:spacing w:after="0"/>
              <w:rPr>
                <w:sz w:val="18"/>
                <w:szCs w:val="18"/>
                <w:color w:val="auto"/>
              </w:rPr>
            </w:pPr>
          </w:p>
        </w:tc>
        <w:tc>
          <w:tcPr>
            <w:tcW w:w="3700" w:type="dxa"/>
            <w:vAlign w:val="bottom"/>
            <w:vMerge w:val="continue"/>
          </w:tcPr>
          <w:p>
            <w:pPr>
              <w:spacing w:after="0"/>
              <w:rPr>
                <w:sz w:val="18"/>
                <w:szCs w:val="18"/>
                <w:color w:val="auto"/>
              </w:rPr>
            </w:pPr>
          </w:p>
        </w:tc>
        <w:tc>
          <w:tcPr>
            <w:tcW w:w="216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w w:val="99"/>
              </w:rPr>
              <w:t>Allowed?</w:t>
            </w:r>
          </w:p>
        </w:tc>
        <w:tc>
          <w:tcPr>
            <w:tcW w:w="22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w w:val="99"/>
              </w:rPr>
              <w:t>Broker Non-Votes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205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8"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Proposal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To approve a proposal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authorize the Company to sell shares of its</w:t>
      </w:r>
    </w:p>
    <w:p>
      <w:pPr>
        <w:spacing w:after="0" w:line="1" w:lineRule="exact"/>
        <w:rPr>
          <w:sz w:val="20"/>
          <w:szCs w:val="20"/>
          <w:color w:val="auto"/>
        </w:rPr>
      </w:pPr>
    </w:p>
    <w:p>
      <w:pPr>
        <w:ind w:left="20"/>
        <w:spacing w:after="0" w:line="208" w:lineRule="auto"/>
        <w:rPr>
          <w:sz w:val="20"/>
          <w:szCs w:val="20"/>
          <w:color w:val="auto"/>
        </w:rPr>
      </w:pPr>
      <w:r>
        <w:rPr>
          <w:rFonts w:ascii="Times New Roman" w:cs="Times New Roman" w:eastAsia="Times New Roman" w:hAnsi="Times New Roman"/>
          <w:sz w:val="18"/>
          <w:szCs w:val="18"/>
          <w:color w:val="auto"/>
        </w:rPr>
        <w:t>Common Shares, at a price below the then current net asset value per share of such Common Shares in one or multiple</w:t>
      </w:r>
    </w:p>
    <w:p>
      <w:pPr>
        <w:spacing w:after="0" w:line="2" w:lineRule="exact"/>
        <w:rPr>
          <w:sz w:val="20"/>
          <w:szCs w:val="20"/>
          <w:color w:val="auto"/>
        </w:rPr>
      </w:pPr>
    </w:p>
    <w:p>
      <w:pPr>
        <w:ind w:left="20" w:right="260"/>
        <w:spacing w:after="0" w:line="239" w:lineRule="auto"/>
        <w:rPr>
          <w:sz w:val="20"/>
          <w:szCs w:val="20"/>
          <w:color w:val="auto"/>
        </w:rPr>
      </w:pPr>
      <w:r>
        <w:rPr>
          <w:rFonts w:ascii="Times New Roman" w:cs="Times New Roman" w:eastAsia="Times New Roman" w:hAnsi="Times New Roman"/>
          <w:sz w:val="17"/>
          <w:szCs w:val="17"/>
          <w:color w:val="auto"/>
        </w:rPr>
        <w:t>offerings (subject to certain limitations described in this Proxy Statement).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Pursuant to Investment Company Act of</w:t>
            </w:r>
          </w:p>
        </w:tc>
        <w:tc>
          <w:tcPr>
            <w:tcW w:w="180" w:type="dxa"/>
            <w:vAlign w:val="bottom"/>
          </w:tcPr>
          <w:p>
            <w:pPr>
              <w:spacing w:after="0"/>
              <w:rPr>
                <w:sz w:val="15"/>
                <w:szCs w:val="15"/>
                <w:color w:val="auto"/>
              </w:rPr>
            </w:pPr>
          </w:p>
        </w:tc>
        <w:tc>
          <w:tcPr>
            <w:tcW w:w="1380" w:type="dxa"/>
            <w:vAlign w:val="bottom"/>
            <w:tcBorders>
              <w:top w:val="single" w:sz="8" w:color="auto"/>
            </w:tcBorders>
          </w:tcPr>
          <w:p>
            <w:pPr>
              <w:ind w:left="580"/>
              <w:spacing w:after="0" w:line="173" w:lineRule="exact"/>
              <w:rPr>
                <w:sz w:val="20"/>
                <w:szCs w:val="20"/>
                <w:color w:val="auto"/>
              </w:rPr>
            </w:pPr>
            <w:r>
              <w:rPr>
                <w:rFonts w:ascii="Times New Roman" w:cs="Times New Roman" w:eastAsia="Times New Roman" w:hAnsi="Times New Roman"/>
                <w:sz w:val="18"/>
                <w:szCs w:val="18"/>
                <w:color w:val="auto"/>
              </w:rPr>
              <w:t>No</w:t>
            </w:r>
          </w:p>
        </w:tc>
        <w:tc>
          <w:tcPr>
            <w:tcW w:w="180" w:type="dxa"/>
            <w:vAlign w:val="bottom"/>
          </w:tcPr>
          <w:p>
            <w:pPr>
              <w:spacing w:after="0"/>
              <w:rPr>
                <w:sz w:val="15"/>
                <w:szCs w:val="15"/>
                <w:color w:val="auto"/>
              </w:rPr>
            </w:pPr>
          </w:p>
        </w:tc>
        <w:tc>
          <w:tcPr>
            <w:tcW w:w="284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Abstentions and broker non-votes, if</w:t>
            </w:r>
          </w:p>
        </w:tc>
      </w:tr>
      <w:tr>
        <w:trPr>
          <w:trHeight w:val="184"/>
        </w:trPr>
        <w:tc>
          <w:tcPr>
            <w:tcW w:w="3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1940, as amended (the “1940 Act”),</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any, will have the effect of a vote</w:t>
            </w:r>
          </w:p>
        </w:tc>
      </w:tr>
      <w:tr>
        <w:trPr>
          <w:trHeight w:val="180"/>
        </w:trPr>
        <w:tc>
          <w:tcPr>
            <w:tcW w:w="3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approval of this proposal requires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against this proposal.</w:t>
            </w:r>
          </w:p>
        </w:tc>
      </w:tr>
      <w:tr>
        <w:trPr>
          <w:trHeight w:val="175"/>
        </w:trPr>
        <w:tc>
          <w:tcPr>
            <w:tcW w:w="3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affirmative vote of: (i) a majority of</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3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Common Shares entitled to vote</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0"/>
        </w:trPr>
        <w:tc>
          <w:tcPr>
            <w:tcW w:w="3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at the Meeting; and (ii) a majority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outstanding Common Shares entitled to vote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3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at the Meeting which are not held by</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0"/>
        </w:trPr>
        <w:tc>
          <w:tcPr>
            <w:tcW w:w="3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affiliated persons of the Company.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1940 Act defines “a majority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3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shares” as: (1) 67% or more of</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0"/>
        </w:trPr>
        <w:tc>
          <w:tcPr>
            <w:tcW w:w="3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the voting securities present at the Meeting</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if the holders of more than 50%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3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voting securities of the</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180"/>
        </w:trPr>
        <w:tc>
          <w:tcPr>
            <w:tcW w:w="3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Company are present or represented by</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75"/>
        </w:trPr>
        <w:tc>
          <w:tcPr>
            <w:tcW w:w="3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proxy; or (2) more than 50% of the</w:t>
            </w: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184"/>
        </w:trPr>
        <w:tc>
          <w:tcPr>
            <w:tcW w:w="3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outstanding voting securities of the</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234"/>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 whichever is less.</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3080" w:space="340"/>
            <w:col w:w="7820"/>
          </w:cols>
          <w:pgMar w:left="320" w:top="141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13" w:right="339" w:bottom="1440" w:gutter="0" w:footer="0" w:header="0"/>
          <w:type w:val="continuous"/>
        </w:sectPr>
      </w:pPr>
    </w:p>
    <w:bookmarkStart w:id="6" w:name="page7"/>
    <w:bookmarkEnd w:id="6"/>
    <w:p>
      <w:pPr>
        <w:spacing w:after="0" w:line="36" w:lineRule="exact"/>
        <w:rPr>
          <w:sz w:val="20"/>
          <w:szCs w:val="20"/>
          <w:color w:val="auto"/>
        </w:rPr>
      </w:pPr>
    </w:p>
    <w:p>
      <w:pPr>
        <w:ind w:lef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To approve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an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31F20"/>
        </w:rPr>
        <w:t>the Company’s Charter to allow the Company’s shareholders to amend the Company’s Bylaws</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color w:val="231F20"/>
        </w:rPr>
        <w:t xml:space="preserve"> subject to certain limitations</w:t>
      </w:r>
      <w:r>
        <w:rPr>
          <w:rFonts w:ascii="Times New Roman" w:cs="Times New Roman" w:eastAsia="Times New Roman" w:hAnsi="Times New Roman"/>
          <w:sz w:val="18"/>
          <w:szCs w:val="18"/>
          <w:color w:val="000000"/>
        </w:rPr>
        <w:t>.</w:t>
      </w:r>
    </w:p>
    <w:p>
      <w:pPr>
        <w:spacing w:after="0" w:line="4" w:lineRule="exact"/>
        <w:rPr>
          <w:sz w:val="20"/>
          <w:szCs w:val="20"/>
          <w:color w:val="auto"/>
        </w:rPr>
      </w:pPr>
    </w:p>
    <w:p>
      <w:pPr>
        <w:ind w:left="20" w:right="320"/>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3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To approve a proposal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adjourn the Meeting, if necessary or</w:t>
      </w:r>
    </w:p>
    <w:p>
      <w:pPr>
        <w:ind w:left="20"/>
        <w:spacing w:after="0"/>
        <w:rPr>
          <w:sz w:val="20"/>
          <w:szCs w:val="20"/>
          <w:color w:val="auto"/>
        </w:rPr>
      </w:pPr>
      <w:r>
        <w:rPr>
          <w:rFonts w:ascii="Times New Roman" w:cs="Times New Roman" w:eastAsia="Times New Roman" w:hAnsi="Times New Roman"/>
          <w:sz w:val="18"/>
          <w:szCs w:val="18"/>
          <w:color w:val="auto"/>
        </w:rPr>
        <w:t>appropriate, to solicit additional proxies.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231F20"/>
              </w:rPr>
              <w:t>Affirmative vote of the holders of a</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w:t>
            </w:r>
          </w:p>
        </w:tc>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Abstentions and broker non-votes, if</w:t>
            </w:r>
          </w:p>
        </w:tc>
      </w:tr>
      <w:tr>
        <w:trPr>
          <w:trHeight w:val="175"/>
        </w:trPr>
        <w:tc>
          <w:tcPr>
            <w:tcW w:w="3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231F20"/>
              </w:rPr>
              <w:t>majority of the votes entitled to be cast at</w:t>
            </w:r>
          </w:p>
        </w:tc>
        <w:tc>
          <w:tcPr>
            <w:tcW w:w="1100" w:type="dxa"/>
            <w:vAlign w:val="bottom"/>
          </w:tcPr>
          <w:p>
            <w:pPr>
              <w:spacing w:after="0"/>
              <w:rPr>
                <w:sz w:val="15"/>
                <w:szCs w:val="15"/>
                <w:color w:val="auto"/>
              </w:rPr>
            </w:pPr>
          </w:p>
        </w:tc>
        <w:tc>
          <w:tcPr>
            <w:tcW w:w="3020" w:type="dxa"/>
            <w:vAlign w:val="bottom"/>
          </w:tcPr>
          <w:p>
            <w:pPr>
              <w:ind w:left="380"/>
              <w:spacing w:after="0" w:line="176" w:lineRule="exact"/>
              <w:rPr>
                <w:sz w:val="20"/>
                <w:szCs w:val="20"/>
                <w:color w:val="auto"/>
              </w:rPr>
            </w:pPr>
            <w:r>
              <w:rPr>
                <w:rFonts w:ascii="Times New Roman" w:cs="Times New Roman" w:eastAsia="Times New Roman" w:hAnsi="Times New Roman"/>
                <w:sz w:val="18"/>
                <w:szCs w:val="18"/>
                <w:color w:val="auto"/>
              </w:rPr>
              <w:t>any, will have the effect of a vote</w:t>
            </w: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231F20"/>
              </w:rPr>
              <w:t>the Meeting.</w:t>
            </w:r>
          </w:p>
        </w:tc>
        <w:tc>
          <w:tcPr>
            <w:tcW w:w="1100" w:type="dxa"/>
            <w:vAlign w:val="bottom"/>
          </w:tcPr>
          <w:p>
            <w:pPr>
              <w:spacing w:after="0"/>
              <w:rPr>
                <w:sz w:val="21"/>
                <w:szCs w:val="21"/>
                <w:color w:val="auto"/>
              </w:rPr>
            </w:pPr>
          </w:p>
        </w:tc>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against this proposal.</w:t>
            </w:r>
          </w:p>
        </w:tc>
      </w:tr>
      <w:tr>
        <w:trPr>
          <w:trHeight w:val="71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Affirmative vote of the holders of a</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w:t>
            </w:r>
          </w:p>
        </w:tc>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Abstentions and broker non-votes, if</w:t>
            </w:r>
          </w:p>
        </w:tc>
      </w:tr>
      <w:tr>
        <w:trPr>
          <w:trHeight w:val="184"/>
        </w:trPr>
        <w:tc>
          <w:tcPr>
            <w:tcW w:w="34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majority of the votes cast at the Meeting.</w:t>
            </w:r>
          </w:p>
        </w:tc>
        <w:tc>
          <w:tcPr>
            <w:tcW w:w="1100" w:type="dxa"/>
            <w:vAlign w:val="bottom"/>
          </w:tcPr>
          <w:p>
            <w:pPr>
              <w:spacing w:after="0"/>
              <w:rPr>
                <w:sz w:val="16"/>
                <w:szCs w:val="16"/>
                <w:color w:val="auto"/>
              </w:rPr>
            </w:pPr>
          </w:p>
        </w:tc>
        <w:tc>
          <w:tcPr>
            <w:tcW w:w="3020" w:type="dxa"/>
            <w:vAlign w:val="bottom"/>
          </w:tcPr>
          <w:p>
            <w:pPr>
              <w:ind w:left="380"/>
              <w:spacing w:after="0" w:line="184" w:lineRule="exact"/>
              <w:rPr>
                <w:sz w:val="20"/>
                <w:szCs w:val="20"/>
                <w:color w:val="auto"/>
              </w:rPr>
            </w:pPr>
            <w:r>
              <w:rPr>
                <w:rFonts w:ascii="Times New Roman" w:cs="Times New Roman" w:eastAsia="Times New Roman" w:hAnsi="Times New Roman"/>
                <w:sz w:val="18"/>
                <w:szCs w:val="18"/>
                <w:color w:val="auto"/>
              </w:rPr>
              <w:t>any, will have no effect on the</w:t>
            </w:r>
          </w:p>
        </w:tc>
      </w:tr>
      <w:tr>
        <w:trPr>
          <w:trHeight w:val="234"/>
        </w:trPr>
        <w:tc>
          <w:tcPr>
            <w:tcW w:w="3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outcome of the vote.</w:t>
            </w:r>
          </w:p>
        </w:tc>
      </w:tr>
    </w:tbl>
    <w:p>
      <w:pPr>
        <w:spacing w:after="0" w:line="200" w:lineRule="exact"/>
        <w:rPr>
          <w:sz w:val="20"/>
          <w:szCs w:val="20"/>
          <w:color w:val="auto"/>
        </w:rPr>
      </w:pPr>
    </w:p>
    <w:p>
      <w:pPr>
        <w:sectPr>
          <w:pgSz w:w="11900" w:h="16838" w:orient="portrait"/>
          <w:cols w:equalWidth="0" w:num="2">
            <w:col w:w="3220" w:space="220"/>
            <w:col w:w="7780"/>
          </w:cols>
          <w:pgMar w:left="320" w:top="1431" w:right="359" w:bottom="1440" w:gutter="0" w:footer="0" w:header="0"/>
        </w:sectPr>
      </w:pPr>
    </w:p>
    <w:p>
      <w:pPr>
        <w:spacing w:after="0" w:line="92"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If a shareholder of the Company does not vote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Proposal 2, and would have no effect on Proposal 3, we do not expect any broker non-votes at the Meeting because there are no routine proposals to be voted on at the Meeting.</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48"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Proxies solicited by the Board of Directors will be voted in accordance with the directions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Proxies marked as abstentions or as broker non-votes will be treated as shares present for purposes of determining whether a quorum exists.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PROXIES FOR THE MEETING</w:t>
      </w:r>
    </w:p>
    <w:p>
      <w:pPr>
        <w:spacing w:after="0" w:line="3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209" w:lineRule="exact"/>
        <w:rPr>
          <w:sz w:val="20"/>
          <w:szCs w:val="20"/>
          <w:color w:val="auto"/>
        </w:rPr>
      </w:pPr>
    </w:p>
    <w:p>
      <w:pPr>
        <w:jc w:val="center"/>
        <w:ind w:left="680" w:right="40"/>
        <w:spacing w:after="0" w:line="286" w:lineRule="auto"/>
        <w:rPr>
          <w:sz w:val="20"/>
          <w:szCs w:val="20"/>
          <w:color w:val="auto"/>
        </w:rPr>
      </w:pPr>
      <w:r>
        <w:rPr>
          <w:rFonts w:ascii="Times New Roman" w:cs="Times New Roman" w:eastAsia="Times New Roman" w:hAnsi="Times New Roman"/>
          <w:sz w:val="18"/>
          <w:szCs w:val="18"/>
          <w:b w:val="1"/>
          <w:bCs w:val="1"/>
          <w:color w:val="auto"/>
        </w:rPr>
        <w:t>EFFECT OF THE PROPOSALS ON THE COMPANY’S PLAN TO DISCONTINUE ITS ELECTION TO BE REGULATED UNDER THE INVESTMENT COMPANY ACT OF 1940</w:t>
      </w:r>
    </w:p>
    <w:p>
      <w:pPr>
        <w:spacing w:after="0" w:line="172"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June 1, 2022, the Company’s Shareholders approved a proposal to authorize the Company’s Board of Directors to discontinue the Company’s election to be regulated as a business development company under the 1940 Act, subject to certain regulatory approvals and other conditions. Until the Company receives the required regulatory approvals, and satisfies certain other conditions, it intends to continue to operate as a business development company, subject to the discretion of the Board of Directors. Neither Proposal 1 nor Proposal 2 will have any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31" w:right="359" w:bottom="1440" w:gutter="0" w:footer="0" w:header="0"/>
          <w:type w:val="continuous"/>
        </w:sectPr>
      </w:pPr>
    </w:p>
    <w:bookmarkStart w:id="7" w:name="page8"/>
    <w:bookmarkEnd w:id="7"/>
    <w:p>
      <w:pPr>
        <w:ind w:right="500"/>
        <w:spacing w:after="0" w:line="266" w:lineRule="auto"/>
        <w:rPr>
          <w:sz w:val="20"/>
          <w:szCs w:val="20"/>
          <w:color w:val="auto"/>
        </w:rPr>
      </w:pPr>
      <w:r>
        <w:rPr>
          <w:rFonts w:ascii="Times New Roman" w:cs="Times New Roman" w:eastAsia="Times New Roman" w:hAnsi="Times New Roman"/>
          <w:sz w:val="18"/>
          <w:szCs w:val="18"/>
          <w:color w:val="auto"/>
        </w:rPr>
        <w:t>on the Company’s intent or ability to withdraw its election to be regulated as a business development company under the investment company act of 1940Act.</w:t>
      </w:r>
    </w:p>
    <w:p>
      <w:pPr>
        <w:spacing w:after="0" w:line="1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62"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securities which can be voted at the Meeting consist of the Company’s Common Shares. Shareholders of record as of the close of business on July 20, 2022 (the Record Date) are entitled to one vote for each Common Share then held on all matters. As of the Record Date, 24,186,795 Common Shares were issued and outstanding.</w:t>
      </w:r>
    </w:p>
    <w:p>
      <w:pPr>
        <w:spacing w:after="0" w:line="95"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July 20, 2022, the beneficial ownership of each current director, the Company’s executive officers, each person known to the Company to beneficially own 5% or more of the outstanding Common Shares, and the executive officers and directors as a group. The percentage of beneficial ownership is based on 24,186,795 Common Shares outstanding as of July 20, 2022.</w:t>
      </w:r>
    </w:p>
    <w:p>
      <w:pPr>
        <w:spacing w:after="0" w:line="20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Ownership information for those persons who beneficially own 5% or more of the Company’s Common Shares is based upon filings by such persons with the SEC and other information obtained from such persons, if available.</w:t>
      </w:r>
    </w:p>
    <w:p>
      <w:pPr>
        <w:spacing w:after="0" w:line="95"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1940 Act. Unless otherwise indicated, the addresses of all executive officers and directors are c/o Newtek Business Services Corp.,4800 T-Rex Avenue, Suite 120, Boca Raton, FL 33431.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162"/>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vMerge w:val="restart"/>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Shares Beneficially</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3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0" w:type="dxa"/>
            <w:vAlign w:val="bottom"/>
          </w:tcPr>
          <w:p>
            <w:pPr>
              <w:spacing w:after="0"/>
              <w:rPr>
                <w:sz w:val="1"/>
                <w:szCs w:val="1"/>
                <w:color w:val="auto"/>
              </w:rPr>
            </w:pPr>
          </w:p>
        </w:tc>
      </w:tr>
      <w:tr>
        <w:trPr>
          <w:trHeight w:val="265"/>
        </w:trPr>
        <w:tc>
          <w:tcPr>
            <w:tcW w:w="7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9"/>
                <w:szCs w:val="9"/>
                <w:color w:val="auto"/>
              </w:rPr>
              <w:t>(1)</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1,164,237</w:t>
            </w:r>
          </w:p>
        </w:tc>
        <w:tc>
          <w:tcPr>
            <w:tcW w:w="120" w:type="dxa"/>
            <w:vAlign w:val="bottom"/>
          </w:tcPr>
          <w:p>
            <w:pPr>
              <w:spacing w:after="0"/>
              <w:rPr>
                <w:sz w:val="23"/>
                <w:szCs w:val="23"/>
                <w:color w:val="auto"/>
              </w:rPr>
            </w:pPr>
          </w:p>
        </w:tc>
        <w:tc>
          <w:tcPr>
            <w:tcW w:w="1360" w:type="dxa"/>
            <w:vAlign w:val="bottom"/>
            <w:gridSpan w:val="2"/>
          </w:tcPr>
          <w:p>
            <w:pPr>
              <w:jc w:val="center"/>
              <w:ind w:left="411"/>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77"/>
        </w:trPr>
        <w:tc>
          <w:tcPr>
            <w:tcW w:w="9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Peter Downs</w:t>
            </w:r>
          </w:p>
        </w:tc>
        <w:tc>
          <w:tcPr>
            <w:tcW w:w="6420" w:type="dxa"/>
            <w:vAlign w:val="bottom"/>
            <w:shd w:val="clear" w:color="auto" w:fill="CCEEFF"/>
          </w:tcPr>
          <w:p>
            <w:pPr>
              <w:jc w:val="right"/>
              <w:ind w:right="6273"/>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120" w:type="dxa"/>
            <w:vAlign w:val="bottom"/>
            <w:shd w:val="clear" w:color="auto" w:fill="CCEEFF"/>
          </w:tcPr>
          <w:p>
            <w:pPr>
              <w:spacing w:after="0"/>
              <w:rPr>
                <w:sz w:val="15"/>
                <w:szCs w:val="15"/>
                <w:color w:val="auto"/>
              </w:rPr>
            </w:pPr>
          </w:p>
        </w:tc>
        <w:tc>
          <w:tcPr>
            <w:tcW w:w="2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47,167</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960" w:type="dxa"/>
            <w:vAlign w:val="bottom"/>
            <w:tcBorders>
              <w:bottom w:val="single" w:sz="8" w:color="CCEEFF"/>
            </w:tcBorders>
            <w:vMerge w:val="continue"/>
            <w:shd w:val="clear" w:color="auto" w:fill="CCEEFF"/>
          </w:tcPr>
          <w:p>
            <w:pPr>
              <w:spacing w:after="0"/>
              <w:rPr>
                <w:sz w:val="6"/>
                <w:szCs w:val="6"/>
                <w:color w:val="auto"/>
              </w:rPr>
            </w:pPr>
          </w:p>
        </w:tc>
        <w:tc>
          <w:tcPr>
            <w:tcW w:w="64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22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Halli Razon-Feingold</w:t>
            </w:r>
            <w:r>
              <w:rPr>
                <w:rFonts w:ascii="Times New Roman" w:cs="Times New Roman" w:eastAsia="Times New Roman" w:hAnsi="Times New Roman"/>
                <w:sz w:val="9"/>
                <w:szCs w:val="9"/>
                <w:color w:val="auto"/>
              </w:rPr>
              <w:t>(3)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20" w:type="dxa"/>
            <w:vAlign w:val="bottom"/>
          </w:tcPr>
          <w:p>
            <w:pPr>
              <w:spacing w:after="0"/>
              <w:rPr>
                <w:sz w:val="19"/>
                <w:szCs w:val="19"/>
                <w:color w:val="auto"/>
              </w:rPr>
            </w:pPr>
          </w:p>
        </w:tc>
        <w:tc>
          <w:tcPr>
            <w:tcW w:w="100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2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Gregory Zink</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120" w:type="dxa"/>
            <w:vAlign w:val="bottom"/>
          </w:tcPr>
          <w:p>
            <w:pPr>
              <w:spacing w:after="0"/>
              <w:rPr>
                <w:sz w:val="23"/>
                <w:szCs w:val="23"/>
                <w:color w:val="auto"/>
              </w:rPr>
            </w:pPr>
          </w:p>
        </w:tc>
        <w:tc>
          <w:tcPr>
            <w:tcW w:w="100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Salvatore Mulia</w:t>
            </w:r>
            <w:r>
              <w:rPr>
                <w:rFonts w:ascii="Times New Roman" w:cs="Times New Roman" w:eastAsia="Times New Roman" w:hAnsi="Times New Roman"/>
                <w:sz w:val="9"/>
                <w:szCs w:val="9"/>
                <w:color w:val="auto"/>
              </w:rPr>
              <w:t>(7)</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59,096</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Richard Salute</w:t>
            </w:r>
            <w:r>
              <w:rPr>
                <w:rFonts w:ascii="Times New Roman" w:cs="Times New Roman" w:eastAsia="Times New Roman" w:hAnsi="Times New Roman"/>
                <w:sz w:val="9"/>
                <w:szCs w:val="9"/>
                <w:color w:val="auto"/>
              </w:rPr>
              <w:t>(7)</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120" w:type="dxa"/>
            <w:vAlign w:val="bottom"/>
          </w:tcPr>
          <w:p>
            <w:pPr>
              <w:spacing w:after="0"/>
              <w:rPr>
                <w:sz w:val="23"/>
                <w:szCs w:val="23"/>
                <w:color w:val="auto"/>
              </w:rPr>
            </w:pPr>
          </w:p>
        </w:tc>
        <w:tc>
          <w:tcPr>
            <w:tcW w:w="100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Fernando Perez-Hickman</w:t>
            </w:r>
            <w:r>
              <w:rPr>
                <w:rFonts w:ascii="Times New Roman" w:cs="Times New Roman" w:eastAsia="Times New Roman" w:hAnsi="Times New Roman"/>
                <w:sz w:val="9"/>
                <w:szCs w:val="9"/>
                <w:color w:val="auto"/>
              </w:rPr>
              <w:t>(7)</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Nicholas Leger</w:t>
            </w:r>
            <w:r>
              <w:rPr>
                <w:rFonts w:ascii="Times New Roman" w:cs="Times New Roman" w:eastAsia="Times New Roman" w:hAnsi="Times New Roman"/>
                <w:sz w:val="9"/>
                <w:szCs w:val="9"/>
                <w:color w:val="auto"/>
              </w:rPr>
              <w:t>(4)</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9"/>
                <w:szCs w:val="9"/>
                <w:color w:val="auto"/>
              </w:rPr>
              <w:t>(5)</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20" w:type="dxa"/>
            <w:vAlign w:val="bottom"/>
          </w:tcPr>
          <w:p>
            <w:pPr>
              <w:spacing w:after="0"/>
              <w:rPr>
                <w:sz w:val="23"/>
                <w:szCs w:val="23"/>
                <w:color w:val="auto"/>
              </w:rPr>
            </w:pPr>
          </w:p>
        </w:tc>
        <w:tc>
          <w:tcPr>
            <w:tcW w:w="1000" w:type="dxa"/>
            <w:vAlign w:val="bottom"/>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Nicolas Young</w:t>
            </w:r>
            <w:r>
              <w:rPr>
                <w:rFonts w:ascii="Times New Roman" w:cs="Times New Roman" w:eastAsia="Times New Roman" w:hAnsi="Times New Roman"/>
                <w:sz w:val="9"/>
                <w:szCs w:val="9"/>
                <w:color w:val="auto"/>
              </w:rPr>
              <w:t>(6)</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18,882</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ind w:left="79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5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1,371,867</w:t>
            </w:r>
          </w:p>
        </w:tc>
        <w:tc>
          <w:tcPr>
            <w:tcW w:w="120" w:type="dxa"/>
            <w:vAlign w:val="bottom"/>
          </w:tcPr>
          <w:p>
            <w:pPr>
              <w:spacing w:after="0"/>
              <w:rPr>
                <w:sz w:val="21"/>
                <w:szCs w:val="21"/>
                <w:color w:val="auto"/>
              </w:rPr>
            </w:pPr>
          </w:p>
        </w:tc>
        <w:tc>
          <w:tcPr>
            <w:tcW w:w="1360" w:type="dxa"/>
            <w:vAlign w:val="bottom"/>
            <w:gridSpan w:val="2"/>
          </w:tcPr>
          <w:p>
            <w:pPr>
              <w:jc w:val="center"/>
              <w:ind w:left="411"/>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404" w:right="399" w:bottom="1440" w:gutter="0" w:footer="0" w:header="0"/>
        </w:sectPr>
      </w:pPr>
    </w:p>
    <w:bookmarkStart w:id="8" w:name="page9"/>
    <w:bookmarkEnd w:id="8"/>
    <w:p>
      <w:pPr>
        <w:spacing w:after="0" w:line="158"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total Common Shares outstanding as of the Record Date.</w:t>
      </w:r>
    </w:p>
    <w:p>
      <w:pPr>
        <w:spacing w:after="0" w:line="26" w:lineRule="exact"/>
        <w:rPr>
          <w:sz w:val="20"/>
          <w:szCs w:val="20"/>
          <w:color w:val="auto"/>
        </w:rPr>
      </w:pPr>
    </w:p>
    <w:p>
      <w:pPr>
        <w:jc w:val="both"/>
        <w:ind w:left="440" w:right="240" w:hanging="432"/>
        <w:spacing w:after="0" w:line="256" w:lineRule="auto"/>
        <w:tabs>
          <w:tab w:leader="none" w:pos="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176221 Shares owned by The B Sloane Family Foundation, a 501(c)(3) private foundation, of which Mr. Sloane shares voting and dispositive power, and 83,217 restricted Common Shares awarded to Mr. Sloane in February 2021, with one-third vesting on each of the following dates: February 15, 2022; February 15, 2023; and February 15, 2024.</w:t>
      </w:r>
    </w:p>
    <w:p>
      <w:pPr>
        <w:spacing w:after="0" w:line="1" w:lineRule="exact"/>
        <w:rPr>
          <w:rFonts w:ascii="Times New Roman" w:cs="Times New Roman" w:eastAsia="Times New Roman" w:hAnsi="Times New Roman"/>
          <w:sz w:val="16"/>
          <w:szCs w:val="16"/>
          <w:color w:val="auto"/>
        </w:rPr>
      </w:pPr>
    </w:p>
    <w:p>
      <w:pPr>
        <w:ind w:left="440" w:right="200" w:hanging="432"/>
        <w:spacing w:after="0" w:line="248" w:lineRule="auto"/>
        <w:tabs>
          <w:tab w:leader="none" w:pos="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11,557 restricted Common Shares awarded in February 2021, with one-third vesting on each of the following dates: February 15, 2022, February 15, 2023 and February 15, 2024.</w:t>
      </w:r>
    </w:p>
    <w:p>
      <w:pPr>
        <w:spacing w:after="0" w:line="1" w:lineRule="exact"/>
        <w:rPr>
          <w:rFonts w:ascii="Times New Roman" w:cs="Times New Roman" w:eastAsia="Times New Roman" w:hAnsi="Times New Roman"/>
          <w:sz w:val="16"/>
          <w:szCs w:val="16"/>
          <w:color w:val="auto"/>
        </w:rPr>
      </w:pPr>
    </w:p>
    <w:p>
      <w:pPr>
        <w:ind w:left="420" w:right="20" w:hanging="412"/>
        <w:spacing w:after="0" w:line="253" w:lineRule="auto"/>
        <w:tabs>
          <w:tab w:leader="none" w:pos="24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3,467 restricted Common Shares awarded in February 2021, with one-third vested on February 15, 2022 and one-third vesting on each of February 15, 2023 and February 15, 2024, plus accrued dividends through March 31, 2022.</w:t>
      </w:r>
    </w:p>
    <w:p>
      <w:pPr>
        <w:ind w:left="440" w:right="240" w:hanging="432"/>
        <w:spacing w:after="0" w:line="255" w:lineRule="auto"/>
        <w:tabs>
          <w:tab w:leader="none" w:pos="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4,623 restricted Common Shares awarded in February 2021, with one-third vesting on each of the following dates: April 30, 2021, February 15, 2023 and February 15, 2024.</w:t>
      </w:r>
    </w:p>
    <w:p>
      <w:pPr>
        <w:ind w:left="440" w:hanging="432"/>
        <w:spacing w:after="0"/>
        <w:tabs>
          <w:tab w:leader="none" w:pos="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3,082 restricted Common Shares awarded in March 2021, with one-third vesting on each of the following dates: March 15, 2022, March 15, 2023 and March</w:t>
      </w:r>
    </w:p>
    <w:p>
      <w:pPr>
        <w:spacing w:after="0" w:line="8" w:lineRule="exact"/>
        <w:rPr>
          <w:rFonts w:ascii="Times New Roman" w:cs="Times New Roman" w:eastAsia="Times New Roman" w:hAnsi="Times New Roman"/>
          <w:sz w:val="16"/>
          <w:szCs w:val="16"/>
          <w:color w:val="auto"/>
        </w:rPr>
      </w:pPr>
    </w:p>
    <w:p>
      <w:pPr>
        <w:ind w:left="440" w:right="360"/>
        <w:spacing w:after="0" w:line="24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 2024 and 6,934 restricted Common Shares awarded in February 2021, with one-third vesting on each of the following dates: February 15, 2022, February 15, 2023 and February 15, 2024.</w:t>
      </w:r>
    </w:p>
    <w:p>
      <w:pPr>
        <w:ind w:left="400" w:hanging="392"/>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17,197 restricted Common Shares awarded in August 2021, with one-third vesting on each of August 2, 2022, August 2, 2023 and August 2, 2024.</w:t>
      </w:r>
    </w:p>
    <w:p>
      <w:pPr>
        <w:spacing w:after="0" w:line="8" w:lineRule="exact"/>
        <w:rPr>
          <w:rFonts w:ascii="Times New Roman" w:cs="Times New Roman" w:eastAsia="Times New Roman" w:hAnsi="Times New Roman"/>
          <w:sz w:val="16"/>
          <w:szCs w:val="16"/>
          <w:color w:val="auto"/>
        </w:rPr>
      </w:pPr>
    </w:p>
    <w:p>
      <w:pPr>
        <w:ind w:left="440" w:right="60" w:hanging="432"/>
        <w:spacing w:after="0" w:line="270" w:lineRule="auto"/>
        <w:tabs>
          <w:tab w:leader="none" w:pos="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2,000 restricted Company Shares awarded in June 2022 as equity-based compensation to non-employee directors Mulia, Salute, Perez-Hickman and Zink, at the beginning of their 2022 terms of service, which forfeiture restrictions will lapse as to one-third of such Company Shares each year for three years.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Borders>
              <w:bottom w:val="single" w:sz="8" w:color="auto"/>
            </w:tcBorders>
          </w:tcPr>
          <w:p>
            <w:pPr>
              <w:spacing w:after="0"/>
              <w:rPr>
                <w:sz w:val="20"/>
                <w:szCs w:val="20"/>
                <w:color w:val="auto"/>
              </w:rPr>
            </w:pPr>
          </w:p>
        </w:tc>
        <w:tc>
          <w:tcPr>
            <w:tcW w:w="9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Company Beneficially Owned by Each Director:</w:t>
            </w:r>
          </w:p>
        </w:tc>
      </w:tr>
      <w:tr>
        <w:trPr>
          <w:trHeight w:val="172"/>
        </w:trPr>
        <w:tc>
          <w:tcPr>
            <w:tcW w:w="21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Dollar Range of Equity Securities in</w:t>
            </w:r>
          </w:p>
        </w:tc>
      </w:tr>
      <w:tr>
        <w:trPr>
          <w:trHeight w:val="267"/>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5340" w:type="dxa"/>
            <w:vAlign w:val="bottom"/>
            <w:tcBorders>
              <w:bottom w:val="single" w:sz="8" w:color="auto"/>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Newtek Business Services Corp.</w:t>
            </w:r>
            <w:r>
              <w:rPr>
                <w:rFonts w:ascii="Times New Roman" w:cs="Times New Roman" w:eastAsia="Times New Roman" w:hAnsi="Times New Roman"/>
                <w:sz w:val="23"/>
                <w:szCs w:val="23"/>
                <w:b w:val="1"/>
                <w:bCs w:val="1"/>
                <w:color w:val="auto"/>
                <w:w w:val="97"/>
                <w:vertAlign w:val="superscript"/>
              </w:rPr>
              <w:t>(1)(2)</w:t>
            </w:r>
          </w:p>
        </w:tc>
      </w:tr>
      <w:tr>
        <w:trPr>
          <w:trHeight w:val="263"/>
        </w:trPr>
        <w:tc>
          <w:tcPr>
            <w:tcW w:w="2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5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0" w:type="dxa"/>
            <w:vAlign w:val="bottom"/>
            <w:shd w:val="clear" w:color="auto" w:fill="CCEEFF"/>
          </w:tcPr>
          <w:p>
            <w:pPr>
              <w:spacing w:after="0"/>
              <w:rPr>
                <w:sz w:val="22"/>
                <w:szCs w:val="22"/>
                <w:color w:val="auto"/>
              </w:rPr>
            </w:pPr>
          </w:p>
        </w:tc>
      </w:tr>
      <w:tr>
        <w:trPr>
          <w:trHeight w:val="27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Barry Sloane</w:t>
            </w:r>
          </w:p>
        </w:tc>
        <w:tc>
          <w:tcPr>
            <w:tcW w:w="5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Peter Downs</w:t>
            </w:r>
          </w:p>
        </w:tc>
        <w:tc>
          <w:tcPr>
            <w:tcW w:w="5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Halli Razon-Feingold</w:t>
            </w:r>
          </w:p>
        </w:tc>
        <w:tc>
          <w:tcPr>
            <w:tcW w:w="5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534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3600" w:type="dxa"/>
            <w:vAlign w:val="bottom"/>
            <w:shd w:val="clear" w:color="auto" w:fill="BFE4FF"/>
          </w:tcPr>
          <w:p>
            <w:pPr>
              <w:spacing w:after="0"/>
              <w:rPr>
                <w:sz w:val="23"/>
                <w:szCs w:val="23"/>
                <w:color w:val="auto"/>
              </w:rPr>
            </w:pPr>
          </w:p>
        </w:tc>
      </w:tr>
      <w:tr>
        <w:trPr>
          <w:trHeight w:val="27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Richard Salute</w:t>
            </w:r>
          </w:p>
        </w:tc>
        <w:tc>
          <w:tcPr>
            <w:tcW w:w="5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Salvatore Mulia</w:t>
            </w:r>
          </w:p>
        </w:tc>
        <w:tc>
          <w:tcPr>
            <w:tcW w:w="5340" w:type="dxa"/>
            <w:vAlign w:val="bottom"/>
            <w:shd w:val="clear" w:color="auto" w:fill="BFE4FF"/>
          </w:tcPr>
          <w:p>
            <w:pPr>
              <w:spacing w:after="0"/>
              <w:rPr>
                <w:sz w:val="23"/>
                <w:szCs w:val="23"/>
                <w:color w:val="auto"/>
              </w:rPr>
            </w:pPr>
          </w:p>
        </w:tc>
        <w:tc>
          <w:tcPr>
            <w:tcW w:w="160" w:type="dxa"/>
            <w:vAlign w:val="bottom"/>
            <w:shd w:val="clear" w:color="auto" w:fill="BFE4FF"/>
          </w:tcPr>
          <w:p>
            <w:pPr>
              <w:spacing w:after="0"/>
              <w:rPr>
                <w:sz w:val="23"/>
                <w:szCs w:val="23"/>
                <w:color w:val="auto"/>
              </w:rPr>
            </w:pPr>
          </w:p>
        </w:tc>
        <w:tc>
          <w:tcPr>
            <w:tcW w:w="36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2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Gregory Zink</w:t>
            </w:r>
          </w:p>
        </w:tc>
        <w:tc>
          <w:tcPr>
            <w:tcW w:w="5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30"/>
        </w:trPr>
        <w:tc>
          <w:tcPr>
            <w:tcW w:w="2140" w:type="dxa"/>
            <w:vAlign w:val="bottom"/>
            <w:shd w:val="clear" w:color="auto" w:fill="BFE4FF"/>
          </w:tcPr>
          <w:p>
            <w:pPr>
              <w:ind w:left="200"/>
              <w:spacing w:after="0"/>
              <w:rPr>
                <w:sz w:val="20"/>
                <w:szCs w:val="20"/>
                <w:color w:val="auto"/>
              </w:rPr>
            </w:pPr>
            <w:r>
              <w:rPr>
                <w:rFonts w:ascii="Times New Roman" w:cs="Times New Roman" w:eastAsia="Times New Roman" w:hAnsi="Times New Roman"/>
                <w:sz w:val="18"/>
                <w:szCs w:val="18"/>
                <w:color w:val="auto"/>
              </w:rPr>
              <w:t>Fernando Perez-Hickman</w:t>
            </w:r>
          </w:p>
        </w:tc>
        <w:tc>
          <w:tcPr>
            <w:tcW w:w="5340" w:type="dxa"/>
            <w:vAlign w:val="bottom"/>
            <w:shd w:val="clear" w:color="auto" w:fill="BFE4FF"/>
          </w:tcPr>
          <w:p>
            <w:pPr>
              <w:spacing w:after="0"/>
              <w:rPr>
                <w:sz w:val="19"/>
                <w:szCs w:val="19"/>
                <w:color w:val="auto"/>
              </w:rPr>
            </w:pPr>
          </w:p>
        </w:tc>
        <w:tc>
          <w:tcPr>
            <w:tcW w:w="160" w:type="dxa"/>
            <w:vAlign w:val="bottom"/>
            <w:shd w:val="clear" w:color="auto" w:fill="BFE4FF"/>
          </w:tcPr>
          <w:p>
            <w:pPr>
              <w:spacing w:after="0"/>
              <w:rPr>
                <w:sz w:val="19"/>
                <w:szCs w:val="19"/>
                <w:color w:val="auto"/>
              </w:rPr>
            </w:pPr>
          </w:p>
        </w:tc>
        <w:tc>
          <w:tcPr>
            <w:tcW w:w="36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$10,001 — $50,000</w:t>
            </w:r>
          </w:p>
        </w:tc>
      </w:tr>
      <w:tr>
        <w:trPr>
          <w:trHeight w:val="385"/>
        </w:trPr>
        <w:tc>
          <w:tcPr>
            <w:tcW w:w="21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____________</w:t>
            </w:r>
          </w:p>
        </w:tc>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68"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Dollar ranges are as follows: None, $1 – $10,000, $10,001 – $50,000, $50,001 – $100,000, or Over $100,000.</w:t>
      </w:r>
    </w:p>
    <w:p>
      <w:pPr>
        <w:spacing w:after="0" w:line="23" w:lineRule="exact"/>
        <w:rPr>
          <w:rFonts w:ascii="Times New Roman" w:cs="Times New Roman" w:eastAsia="Times New Roman" w:hAnsi="Times New Roman"/>
          <w:sz w:val="16"/>
          <w:szCs w:val="16"/>
          <w:color w:val="auto"/>
        </w:rPr>
      </w:pPr>
    </w:p>
    <w:p>
      <w:pPr>
        <w:ind w:left="440" w:hanging="432"/>
        <w:spacing w:after="0"/>
        <w:tabs>
          <w:tab w:leader="none" w:pos="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range of equity securities beneficially owned is based on the closing price for our Common Shares of $19.48 on July 15, 2022 on the Nasdaq Global</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Market. Beneficial ownership has been determined in accordance with Rule 13d-3 of the Exchange Act.</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jc w:val="center"/>
        <w:ind w:left="340" w:right="140"/>
        <w:spacing w:after="0" w:line="268" w:lineRule="auto"/>
        <w:rPr>
          <w:sz w:val="20"/>
          <w:szCs w:val="20"/>
          <w:color w:val="auto"/>
        </w:rPr>
      </w:pPr>
      <w:r>
        <w:rPr>
          <w:rFonts w:ascii="Times New Roman" w:cs="Times New Roman" w:eastAsia="Times New Roman" w:hAnsi="Times New Roman"/>
          <w:sz w:val="18"/>
          <w:szCs w:val="18"/>
          <w:b w:val="1"/>
          <w:bCs w:val="1"/>
          <w:color w:val="auto"/>
        </w:rPr>
        <w:t>PROPOSAL 1 — AUTHORIZATION FOR THE COMPANY TO SELL ITS COMMON SHARES AT A PRICE BELOW THE COMPANY’S THEN CURRENT NET ASSET VALUE PER SHARE IN ONE OR MULTIPLE OFFERINGS (SUBJECT TO CERTAIN CONDITIONS SET FORTH IN THIS PROPOSAL)</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the 1940 Act, the Company, as a business development company (“BDC”), may not sell its Common Shares at a price below its then current net asset value (“NAV”), exclusive of sales compensation, unless its shareholders approve such a sale and the Board of Directors makes certain determinations. The Company is seeking authorization of its shareholders so that it may, in one or multiple public or private offerings, sell or otherwise issue Common Shares at a price below its then-current NAV, subject to certain conditions discussed below. The Board of Directors believes that having the flexibility to sell its Common Shares below NAV in certain instances is in the best interests of shareholders.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the Company has been able to access the capital necessary to finance its investment activities, capital may not be available to it on favorable terms, or at all, in light of the inherent uncertainty and volatility of the financial markets, which uncertainty and volatility has been highlighted by the COVID-19 pandemic, fears of inflation, and geopolitical events, including the hostilities between Russia and Ukraine. To capitalize on investment opportunities as they arise, the Company needs to be able to maintain consistent access to capital. Flexibility to sell Common Shares below NAV may provide the Company with better access to the capital markets as attractive investment opportunities arise, and improve its ability to grow over time and pay dividends to shareholders. Accordingly, even when the Company’s Common Shares trade at a market price below NAV, this Proposal 1 would permit it to offer and sell its Common Shares in accordance with pricing standards that market conditions generally require, subject to the conditions described below in connection with any offering undertaken pursuant to this Proposal 1. If approved, as required under the 1940 Act, the authorization would be effective for securities sold during a period beginning on the date of such shareholder approval and expiring on the earlier of the one year anniversary of the date of the Meeting, or the date of the Company’s 2022 Annual Meeting of Shareholders.</w:t>
      </w:r>
    </w:p>
    <w:p>
      <w:pPr>
        <w:spacing w:after="0" w:line="19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has no immediate plans to sell its Common Shares below NAV. However, the Company is seeking shareholder approval for multiple such offerings in order to maintain access to the markets if the Board of Directors determines that the Company should sell Common Shares below NAV. These sales typically must be undertaken quickly. The final terms of any such sale will be determined by the Board of Directors at the time of sale, and it is impracticable to describe the transaction or transactions in which the Company’s Common Shares would be sold at a price below NAV. Instead, any transaction where the Company sells such Common Shares, including the nature and amount of consideration that the Company would receive at the time of sale and the use of any such consideration, will be reviewed and approved by the Board of Directors at the time of sale.</w:t>
      </w:r>
    </w:p>
    <w:p>
      <w:pPr>
        <w:spacing w:after="0" w:line="183" w:lineRule="exact"/>
        <w:rPr>
          <w:sz w:val="20"/>
          <w:szCs w:val="20"/>
          <w:color w:val="auto"/>
        </w:rPr>
      </w:pPr>
    </w:p>
    <w:p>
      <w:pPr>
        <w:ind w:right="240" w:firstLine="324"/>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Subject to the condition that the cumulative number of Common Shares issued and sold pursuant to such authority does not exceed 20% of the Company’s then outstanding Common Shares immediately prior to each such sale, there will be no limit on the percentage below NAV at which the Company’s Common Shares may be sold in an offering by the Company under this Proposal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Proposal 1 is approved, no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from the shareholders will be solicited prior to any such sale in accordance with the terms of Proposal 1.</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HEREIN IS IN THE BEST INTERESTS OF THE COMPANY’S SHAREHOLDERS AND RECOMMENDS A VOTE “FOR” PROPOSAL 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for Sales below NAV</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BDC’s ability to issue shares of its common stock at a price below NAV is governed by the 1940 Act. If shareholders approve this Proposal 1,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only sell Company Shares at a price below NAV if the following conditions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3" w:right="339" w:bottom="1440" w:gutter="0" w:footer="0" w:header="0"/>
        </w:sectPr>
      </w:pPr>
    </w:p>
    <w:bookmarkStart w:id="10" w:name="page11"/>
    <w:bookmarkEnd w:id="10"/>
    <w:p>
      <w:pPr>
        <w:spacing w:after="0" w:line="221" w:lineRule="exact"/>
        <w:rPr>
          <w:sz w:val="20"/>
          <w:szCs w:val="20"/>
          <w:color w:val="auto"/>
        </w:rPr>
      </w:pPr>
    </w:p>
    <w:p>
      <w:pPr>
        <w:ind w:left="660" w:right="3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188"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issued and sold does not exceed 20% of the Company’s then outstanding Common Shares immediately prior to each such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Approval</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July 13, 2022, the Board of Directors, including a majority of the non-interested directors who have no financial interest in Proposal 1, approved Proposal 1 as in the best interests of the Company and its shareholders and is recommending that the Company’s shareholders vote in favor of this Proposal 1 to offer and sell the Company’s Common Shares at prices that may be less than NAV. In evaluating Proposal 1, the Company’s Board of Directors, including the non-interested directors, considered and evaluated factors including the following, as discussed more fully below:</w:t>
      </w:r>
    </w:p>
    <w:p>
      <w:pPr>
        <w:spacing w:after="0" w:line="18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long-term benefits to the Company’s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dilution to the Company’s NAV;</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Share offering below NAV compared to other possible means for raising capital or concluding not to raise capital;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Share offering in relation to the number of Common Shares outstanding;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Prior to approving this Proposal 1, the Board of Directors met to consider and evaluate material that the Company’s management provided on the merits of the Company possibly raising additional capital and the merits of publicly offering Common Shares at a price below NAV. The Board of Directors considered the objectives of a possible offering, the mechanics of an offering, establishing size parameters for an offering, the possible effects of dilution, Common Shares trading volume, and other matters, including that the Company’s Common Shares generally have not traded below NAV in recent years until the current COVID-19 impact on the capital markets.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of its shareholders and must comply with the other requirements of the 1940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to Offer Common Shares Below NAV</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believes that having the flexibility for the Company to sell its Common Shares below NAV in certain instances is in the Company’s best interests and the best interests of its shareholders. Such flexibility will enhance the Company’s ability to expand its business finance platform. If the Company is unable to access the capital markets when attractive investment opportunities arise, the Company’s ability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11" w:name="page12"/>
    <w:bookmarkEnd w:id="11"/>
    <w:p>
      <w:pPr>
        <w:ind w:right="140"/>
        <w:spacing w:after="0" w:line="282" w:lineRule="auto"/>
        <w:rPr>
          <w:sz w:val="20"/>
          <w:szCs w:val="20"/>
          <w:color w:val="auto"/>
        </w:rPr>
      </w:pPr>
      <w:r>
        <w:rPr>
          <w:rFonts w:ascii="Times New Roman" w:cs="Times New Roman" w:eastAsia="Times New Roman" w:hAnsi="Times New Roman"/>
          <w:sz w:val="18"/>
          <w:szCs w:val="18"/>
          <w:color w:val="auto"/>
        </w:rPr>
        <w:t>over time and to continue to pay dividends to shareholders could be adversely affected. In reaching that conclusion, the Board of Directors considered the following possible benefits to its shareholders: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Current Market Conditions May Create Attractive Opportunities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Current market opportunities may create favorable opportunities to invest, including opportunities that, all else being equal, may increase the Company’s NAV over the longer-term, even if financed with the issuance of Common Shares below NAV. For example, the novel coronavirus (“COVID-19”) pandemic has had, and may continue to have, a material adverse impact on the global economy, including the United States, as cross border commercial activity and market sentiment have been negatively impacted by the pandemic and government and other measures seeking to contain its spread. The Company believes that favorable investment opportunities to invest at attractive risk-adjusted returns may be created during this volatile period and during other periods of disruption and volatility. Shareholder approval of this Proposal 1, subject to the conditions detailed below, may provide the Company with the flexibility to expand its business finance platform and invest in the attractive opportunities it believes are presented by current market conditions.</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Current market conditions also have beneficial effects for capital providers, including reduced competition, more favorable pricing of credit risk, more conservative capital structures and more creditor-friendly contractual terms. Despite actions of the United States federal government and foreign governments, the uncertainty surrounding the COVID-19 pandemic, fears of inflation, geopolitical events, including the hostilities between Russia and Ukraine, and other factors have contributed to significant volatility and declines in global public equity markets and global debt capital markets. BDCs as an industry have been trading below NAV. Periods of market disruption and instability may adversely affect the Company’s access to sufficient debt and equity capital in order to take advantage of attractive investment opportunities. Accordingly, the Company believes that it could benefit from access to capital in this credit market and that the current environment should provide attractive investment opportunities. The Company’s ability to take advantage of these opportunities will depend upon its continued access to capital.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Greater Investment Opportunities Due to Larger Capital Resources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believes that additional capital raised through an offering of Common Shares may help it generate additional deal flow. Based on discussions with management, the Board of Directors believes that greater deal flow, which may be achieved with more capital, may enable the Company to be a more significant participant in the private debt and equity markets and to compete more effectively for attractive investment opportunities. Management has represented to the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Higher Market Capitalization and Liquidity May Make the Company’s Common Shares More Attractive to Investors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issues Common Shares, its market capitalization and the amount of its publicly-tradable Common Shares will increase, which may afford all holders of its Common Shares greater liquidity. A larger market capitalization may make the Common Shares more attractive to a larger number of investors who have limitations of the size of companies in which they invest. Furthermore, a larger number of Common Shares outstanding may increase the Common Shares trading volume, which could decrease the volatility in the secondary market price of its Common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Initiation and Possible Increase of Dividends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larger and more diversified portfolio could provide the Company with more consistent cash flow, which may support the growth of its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17" w:right="35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Reduced Expenses Per Share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Status as a BDC and RIC and Maintaining a Favorable Debt-to-Equity Ratio</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a BDC, and as a Company that has elected to be treated as a RIC for tax purposes beginning with its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BDCs generally must maintain a debt to equity ratio of less than 1:1, which currently requires the Company to finance its investments with at least as much equity as debt, in the aggregate. On July 26, 2018, the Company’s shareholders approved a proposal that permits the Company to be subject to a debt to equity ratio of 2:1, effective July 27, 2018.</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Exceeding the applicable debt to equity ratio could have negative consequences for the Company, including the inability to pay dividends, breach of covenants and failure to qualify for tax treatment as a RIC. Volatility in capital markets could continue to adversely impact the valuations of assets and create unrealized losses across the BDC industry. Any write downs in value, as well as unrealized losses based on the underlying performance of the Company’s portfolio companies will negatively impact stockholders’ equity and the resulting debt to equity ratio. Issuing additional equity would allow the Company to realign its debt to equity ratio and avoid these negative consequences.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To continue to build the Company’s investment portfolio, and thereby support maintenance and growth of the Company’s dividends, the Company endeavors to maintain consistent access to capital through the public and private equity markets to enable it to take advantage of investment opportunities as they arise.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Trading History</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The Company’s Common Shares have traded at a price both above and below their NAV since they began trading on the Nasdaq Global Market. It is not possible to predict whether the Company’s Common Shares will trade at, above, or below NAV. The following table sets forth, for the two most recent fiscal years and the current fiscal year, the range of high and low sales prices of the Company’s Common Shares as reported on the Nasdaq Global Market, the Company’s NAV per share, the premium (discount) of high sales price to NAV and the premium (discount) of low sales price to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413" w:right="379" w:bottom="1440" w:gutter="0" w:footer="0" w:header="0"/>
        </w:sectPr>
      </w:pPr>
    </w:p>
    <w:bookmarkStart w:id="13" w:name="page14"/>
    <w:bookmarkEnd w:id="13"/>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Premium (Discount)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 (Discount)</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gridSpan w:val="4"/>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High Sales Price to</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80" w:type="dxa"/>
            <w:vAlign w:val="bottom"/>
            <w:gridSpan w:val="2"/>
            <w:vMerge w:val="continue"/>
          </w:tcPr>
          <w:p>
            <w:pPr>
              <w:spacing w:after="0"/>
              <w:rPr>
                <w:sz w:val="9"/>
                <w:szCs w:val="9"/>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Low Sales Price to</w:t>
            </w:r>
          </w:p>
        </w:tc>
        <w:tc>
          <w:tcPr>
            <w:tcW w:w="0" w:type="dxa"/>
            <w:vAlign w:val="bottom"/>
          </w:tcPr>
          <w:p>
            <w:pPr>
              <w:spacing w:after="0"/>
              <w:rPr>
                <w:sz w:val="1"/>
                <w:szCs w:val="1"/>
                <w:color w:val="auto"/>
              </w:rPr>
            </w:pPr>
          </w:p>
        </w:tc>
      </w:tr>
      <w:tr>
        <w:trPr>
          <w:trHeight w:val="117"/>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NAV(2)</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8"/>
                <w:szCs w:val="8"/>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8"/>
                <w:szCs w:val="8"/>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Low</w:t>
            </w:r>
          </w:p>
        </w:tc>
        <w:tc>
          <w:tcPr>
            <w:tcW w:w="340" w:type="dxa"/>
            <w:vAlign w:val="bottom"/>
          </w:tcPr>
          <w:p>
            <w:pPr>
              <w:spacing w:after="0"/>
              <w:rPr>
                <w:sz w:val="8"/>
                <w:szCs w:val="8"/>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NAV(1)</w:t>
            </w:r>
          </w:p>
        </w:tc>
        <w:tc>
          <w:tcPr>
            <w:tcW w:w="16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NAV(2)</w:t>
            </w:r>
          </w:p>
        </w:tc>
        <w:tc>
          <w:tcPr>
            <w:tcW w:w="0" w:type="dxa"/>
            <w:vAlign w:val="bottom"/>
          </w:tcPr>
          <w:p>
            <w:pPr>
              <w:spacing w:after="0"/>
              <w:rPr>
                <w:sz w:val="1"/>
                <w:szCs w:val="1"/>
                <w:color w:val="auto"/>
              </w:rPr>
            </w:pPr>
          </w:p>
        </w:tc>
      </w:tr>
      <w:tr>
        <w:trPr>
          <w:trHeight w:val="135"/>
        </w:trPr>
        <w:tc>
          <w:tcPr>
            <w:tcW w:w="34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40" w:type="dxa"/>
            <w:vAlign w:val="bottom"/>
            <w:tcBorders>
              <w:top w:val="single" w:sz="8" w:color="auto"/>
            </w:tcBorders>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First Quarter: January 1, 2020</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March 31, 2020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175"/>
        </w:trPr>
        <w:tc>
          <w:tcPr>
            <w:tcW w:w="3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Second Quarter: April 1, 2020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Through June 30, 2020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175"/>
        </w:trPr>
        <w:tc>
          <w:tcPr>
            <w:tcW w:w="3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Third Quarter: July 1, 2020</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September 30, 2020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Fourth Quarter: October 1, 2020</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Through December 31, 2020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First Quarter: January 1, 2021</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March 31,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0" w:type="dxa"/>
            <w:vAlign w:val="bottom"/>
          </w:tcPr>
          <w:p>
            <w:pPr>
              <w:spacing w:after="0"/>
              <w:rPr>
                <w:sz w:val="1"/>
                <w:szCs w:val="1"/>
                <w:color w:val="auto"/>
              </w:rPr>
            </w:pPr>
          </w:p>
        </w:tc>
      </w:tr>
      <w:tr>
        <w:trPr>
          <w:trHeight w:val="176"/>
        </w:trPr>
        <w:tc>
          <w:tcPr>
            <w:tcW w:w="3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Second Quarter: April 1, 2021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Through June 30, 2021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137%</w:t>
            </w:r>
          </w:p>
        </w:tc>
        <w:tc>
          <w:tcPr>
            <w:tcW w:w="1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61%</w:t>
            </w:r>
          </w:p>
        </w:tc>
        <w:tc>
          <w:tcPr>
            <w:tcW w:w="0" w:type="dxa"/>
            <w:vAlign w:val="bottom"/>
          </w:tcPr>
          <w:p>
            <w:pPr>
              <w:spacing w:after="0"/>
              <w:rPr>
                <w:sz w:val="1"/>
                <w:szCs w:val="1"/>
                <w:color w:val="auto"/>
              </w:rPr>
            </w:pPr>
          </w:p>
        </w:tc>
      </w:tr>
      <w:tr>
        <w:trPr>
          <w:trHeight w:val="176"/>
        </w:trPr>
        <w:tc>
          <w:tcPr>
            <w:tcW w:w="3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Third Quarter: July 1, 2021</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September 30, 2021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124%</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0" w:type="dxa"/>
            <w:vAlign w:val="bottom"/>
          </w:tcPr>
          <w:p>
            <w:pPr>
              <w:spacing w:after="0"/>
              <w:rPr>
                <w:sz w:val="1"/>
                <w:szCs w:val="1"/>
                <w:color w:val="auto"/>
              </w:rPr>
            </w:pPr>
          </w:p>
        </w:tc>
      </w:tr>
      <w:tr>
        <w:trPr>
          <w:trHeight w:val="175"/>
        </w:trPr>
        <w:tc>
          <w:tcPr>
            <w:tcW w:w="3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Fourth Quarter: October 1, 2021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Through December 31, 2021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w:t>
            </w:r>
          </w:p>
        </w:tc>
        <w:tc>
          <w:tcPr>
            <w:tcW w:w="0" w:type="dxa"/>
            <w:vAlign w:val="bottom"/>
          </w:tcPr>
          <w:p>
            <w:pPr>
              <w:spacing w:after="0"/>
              <w:rPr>
                <w:sz w:val="1"/>
                <w:szCs w:val="1"/>
                <w:color w:val="auto"/>
              </w:rPr>
            </w:pPr>
          </w:p>
        </w:tc>
      </w:tr>
      <w:tr>
        <w:trPr>
          <w:trHeight w:val="175"/>
        </w:trPr>
        <w:tc>
          <w:tcPr>
            <w:tcW w:w="3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First Quarter: January 1, 2022</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March 31,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0" w:type="dxa"/>
            <w:vAlign w:val="bottom"/>
          </w:tcPr>
          <w:p>
            <w:pPr>
              <w:spacing w:after="0"/>
              <w:rPr>
                <w:sz w:val="1"/>
                <w:szCs w:val="1"/>
                <w:color w:val="auto"/>
              </w:rPr>
            </w:pPr>
          </w:p>
        </w:tc>
      </w:tr>
      <w:tr>
        <w:trPr>
          <w:trHeight w:val="175"/>
        </w:trPr>
        <w:tc>
          <w:tcPr>
            <w:tcW w:w="34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Second Quarter: April 1, 2022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Through June 30,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75"/>
        </w:trPr>
        <w:tc>
          <w:tcPr>
            <w:tcW w:w="34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Third Quarter: July 1, 2022</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Through July 15, 2022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50" w:lineRule="exact"/>
        <w:rPr>
          <w:sz w:val="20"/>
          <w:szCs w:val="20"/>
          <w:color w:val="auto"/>
        </w:rPr>
      </w:pPr>
    </w:p>
    <w:p>
      <w:pPr>
        <w:ind w:left="340" w:right="20" w:hanging="332"/>
        <w:spacing w:after="0" w:line="282" w:lineRule="auto"/>
        <w:tabs>
          <w:tab w:leader="none" w:pos="4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pacing w:after="0" w:line="188"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4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sales price less NAV or shareholders’ equity per share, as applicable, divided by NAV or shareholders’ equity per share, as applicable and subtracting 1.</w:t>
      </w:r>
    </w:p>
    <w:p>
      <w:pPr>
        <w:spacing w:after="0" w:line="189"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determinable at time of filing.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Shareholder Considerations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Before voting on this Proposal 1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decrease (often called dilution) in the NAV of the Common Shares held by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w:t>
      </w:r>
      <w:r>
        <w:rPr>
          <w:rFonts w:ascii="Times New Roman" w:cs="Times New Roman" w:eastAsia="Times New Roman" w:hAnsi="Times New Roman"/>
          <w:sz w:val="18"/>
          <w:szCs w:val="18"/>
          <w:b w:val="1"/>
          <w:bCs w:val="1"/>
          <w:u w:val="single" w:color="auto"/>
          <w:color w:val="auto"/>
        </w:rPr>
        <w:t>Subject to the condition that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cumulative number of Common Shares issued and sold pursuant to such authority does not exceed 20% of the Company’s then outstanding Common Shares immediately prior to each such sale, there will be no limit on the percentage below NAV at which Common Shares may be sold in an offering by the Company under this Proposal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will consider the potential dilutive effect of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4" w:name="page15"/>
    <w:bookmarkEnd w:id="14"/>
    <w:p>
      <w:pPr>
        <w:ind w:right="580"/>
        <w:spacing w:after="0" w:line="282" w:lineRule="auto"/>
        <w:rPr>
          <w:sz w:val="20"/>
          <w:szCs w:val="20"/>
          <w:color w:val="auto"/>
        </w:rPr>
      </w:pPr>
      <w:r>
        <w:rPr>
          <w:rFonts w:ascii="Times New Roman" w:cs="Times New Roman" w:eastAsia="Times New Roman" w:hAnsi="Times New Roman"/>
          <w:sz w:val="18"/>
          <w:szCs w:val="18"/>
          <w:color w:val="auto"/>
        </w:rPr>
        <w:t>Common Shares at a price below the NAV per share and will consider again such dilutive effect when considering whether to authorize any specific issuance of Common Shares below NAV.</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addition, shareholders should consider the risk that the approval of this Proposal 1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the Company receives from such offering. The Board of Directors would expect that the net proceeds to the Company will be equal to the price that investors pay per share less the amount of any underwriting discounts and commissions.</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 discussed above, it should be noted that the cumulative number of Common Shares issued and sold from an offering of Company’s Common Shares will not exceed 20% of the Company’s then outstanding Common Shares immediately prior to each such sale.</w:t>
      </w:r>
    </w:p>
    <w:p>
      <w:pPr>
        <w:spacing w:after="0" w:line="162"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Existing Shareholders Who Do Not Participate in an Offering of Common Shares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Company’s existing shareholders who do not participate in an offering below net asset value per share or who do not buy additional Common Shares in the secondary market at the same or lower price the Company obtains in the offering (after expenses and commissions) face the greatest potential risk of an immediate decrease (often called dilution) in the net asset value of the Common Shares they hold and their net asset value per share. These shareholders will experience a disproportionately greater decrease in their participation in the Company’s earnings and assets and their voting power than the increase the Company will experience in its assets, potential earning power and voting interests due to the offering. These shareholders also may experience a decline in the market price of their Common Shares, which often reflects to some degree announced or potential increases and decreases in net asset value per share. This decrease could be more pronounced as the size of the offering and level of discounts increases.</w:t>
      </w:r>
    </w:p>
    <w:p>
      <w:pPr>
        <w:spacing w:after="0" w:line="1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net asset value dilution that would be experienced by a nonparticipating shareholder in three different hypothetical offerings of different sizes and levels of discount from net asset value per share. It is not possible to predict the level of market price decline that may occur.</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examples assume that the issuer has 24,161,106 Common Shares outstanding, $1,009,312,000 in total assets and $610,832,000 in total liabilities. The current net asset value and net asset value per share are thus $398,480,000 and $16.49. The chart illustrates the dilutive effect on Shareholder A of (1) an offering of 1,208,055 Common Shares (5% of the outstanding Common Shares) at $15.67 per share after offering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15" w:name="page16"/>
    <w:bookmarkEnd w:id="15"/>
    <w:p>
      <w:pPr>
        <w:ind w:right="160"/>
        <w:spacing w:after="0" w:line="258" w:lineRule="auto"/>
        <w:rPr>
          <w:sz w:val="20"/>
          <w:szCs w:val="20"/>
          <w:color w:val="auto"/>
        </w:rPr>
      </w:pPr>
      <w:r>
        <w:rPr>
          <w:rFonts w:ascii="Times New Roman" w:cs="Times New Roman" w:eastAsia="Times New Roman" w:hAnsi="Times New Roman"/>
          <w:sz w:val="18"/>
          <w:szCs w:val="18"/>
          <w:color w:val="auto"/>
        </w:rPr>
        <w:t>commission (a 5% discount from net asset value), (2) an offering of 2,416,110 Common Shares (10% of the outstanding Common Shares) at $14.84 per share after offering expenses and commissions (a 10% discount from net asset value), (3) an offering of 4,832,221 Common Shares (20% of the outstanding Common Shares) at $13.19 per share after offering expenses and commissions (a 20% discount from net asset value) and (4) an offering of 4,832,221 Common Shares (20% of the outstanding Common Shares) at $0.02 per share after offering expenses and commissions (a 100% discount from net asset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Example 1</w:t>
            </w:r>
          </w:p>
        </w:tc>
        <w:tc>
          <w:tcPr>
            <w:tcW w:w="160" w:type="dxa"/>
            <w:vAlign w:val="bottom"/>
          </w:tcPr>
          <w:p>
            <w:pPr>
              <w:spacing w:after="0"/>
              <w:rPr>
                <w:sz w:val="16"/>
                <w:szCs w:val="16"/>
                <w:color w:val="auto"/>
              </w:rPr>
            </w:pPr>
          </w:p>
        </w:tc>
        <w:tc>
          <w:tcPr>
            <w:tcW w:w="20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Example 2</w:t>
            </w:r>
          </w:p>
        </w:tc>
        <w:tc>
          <w:tcPr>
            <w:tcW w:w="160" w:type="dxa"/>
            <w:vAlign w:val="bottom"/>
          </w:tcPr>
          <w:p>
            <w:pPr>
              <w:spacing w:after="0"/>
              <w:rPr>
                <w:sz w:val="16"/>
                <w:szCs w:val="16"/>
                <w:color w:val="auto"/>
              </w:rPr>
            </w:pPr>
          </w:p>
        </w:tc>
        <w:tc>
          <w:tcPr>
            <w:tcW w:w="2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Example 3</w:t>
            </w:r>
          </w:p>
        </w:tc>
        <w:tc>
          <w:tcPr>
            <w:tcW w:w="160" w:type="dxa"/>
            <w:vAlign w:val="bottom"/>
          </w:tcPr>
          <w:p>
            <w:pPr>
              <w:spacing w:after="0"/>
              <w:rPr>
                <w:sz w:val="16"/>
                <w:szCs w:val="16"/>
                <w:color w:val="auto"/>
              </w:rPr>
            </w:pPr>
          </w:p>
        </w:tc>
        <w:tc>
          <w:tcPr>
            <w:tcW w:w="1960" w:type="dxa"/>
            <w:vAlign w:val="bottom"/>
            <w:gridSpan w:val="2"/>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Example 4</w:t>
            </w: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5% Offering</w:t>
            </w:r>
          </w:p>
        </w:tc>
        <w:tc>
          <w:tcPr>
            <w:tcW w:w="160" w:type="dxa"/>
            <w:vAlign w:val="bottom"/>
          </w:tcPr>
          <w:p>
            <w:pPr>
              <w:spacing w:after="0"/>
              <w:rPr>
                <w:sz w:val="14"/>
                <w:szCs w:val="14"/>
                <w:color w:val="auto"/>
              </w:rPr>
            </w:pPr>
          </w:p>
        </w:tc>
        <w:tc>
          <w:tcPr>
            <w:tcW w:w="2000" w:type="dxa"/>
            <w:vAlign w:val="bottom"/>
            <w:gridSpan w:val="3"/>
          </w:tcPr>
          <w:p>
            <w:pPr>
              <w:jc w:val="center"/>
              <w:ind w:right="200"/>
              <w:spacing w:after="0" w:line="165" w:lineRule="exact"/>
              <w:rPr>
                <w:sz w:val="20"/>
                <w:szCs w:val="20"/>
                <w:color w:val="auto"/>
              </w:rPr>
            </w:pPr>
            <w:r>
              <w:rPr>
                <w:rFonts w:ascii="Times New Roman" w:cs="Times New Roman" w:eastAsia="Times New Roman" w:hAnsi="Times New Roman"/>
                <w:sz w:val="16"/>
                <w:szCs w:val="16"/>
                <w:b w:val="1"/>
                <w:bCs w:val="1"/>
                <w:color w:val="auto"/>
              </w:rPr>
              <w:t>10% Offering</w:t>
            </w:r>
          </w:p>
        </w:tc>
        <w:tc>
          <w:tcPr>
            <w:tcW w:w="160" w:type="dxa"/>
            <w:vAlign w:val="bottom"/>
          </w:tcPr>
          <w:p>
            <w:pPr>
              <w:spacing w:after="0"/>
              <w:rPr>
                <w:sz w:val="14"/>
                <w:szCs w:val="14"/>
                <w:color w:val="auto"/>
              </w:rPr>
            </w:pPr>
          </w:p>
        </w:tc>
        <w:tc>
          <w:tcPr>
            <w:tcW w:w="2060" w:type="dxa"/>
            <w:vAlign w:val="bottom"/>
            <w:gridSpan w:val="3"/>
          </w:tcPr>
          <w:p>
            <w:pPr>
              <w:jc w:val="center"/>
              <w:ind w:right="260"/>
              <w:spacing w:after="0" w:line="165" w:lineRule="exact"/>
              <w:rPr>
                <w:sz w:val="20"/>
                <w:szCs w:val="20"/>
                <w:color w:val="auto"/>
              </w:rPr>
            </w:pPr>
            <w:r>
              <w:rPr>
                <w:rFonts w:ascii="Times New Roman" w:cs="Times New Roman" w:eastAsia="Times New Roman" w:hAnsi="Times New Roman"/>
                <w:sz w:val="16"/>
                <w:szCs w:val="16"/>
                <w:b w:val="1"/>
                <w:bCs w:val="1"/>
                <w:color w:val="auto"/>
              </w:rPr>
              <w:t>20% Offering</w:t>
            </w:r>
          </w:p>
        </w:tc>
        <w:tc>
          <w:tcPr>
            <w:tcW w:w="160" w:type="dxa"/>
            <w:vAlign w:val="bottom"/>
          </w:tcPr>
          <w:p>
            <w:pPr>
              <w:spacing w:after="0"/>
              <w:rPr>
                <w:sz w:val="14"/>
                <w:szCs w:val="14"/>
                <w:color w:val="auto"/>
              </w:rPr>
            </w:pPr>
          </w:p>
        </w:tc>
        <w:tc>
          <w:tcPr>
            <w:tcW w:w="1960" w:type="dxa"/>
            <w:vAlign w:val="bottom"/>
            <w:gridSpan w:val="2"/>
          </w:tcPr>
          <w:p>
            <w:pPr>
              <w:jc w:val="center"/>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20% Offering</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left="579"/>
              <w:spacing w:after="0" w:line="162" w:lineRule="exact"/>
              <w:rPr>
                <w:sz w:val="20"/>
                <w:szCs w:val="20"/>
                <w:color w:val="auto"/>
              </w:rPr>
            </w:pPr>
            <w:r>
              <w:rPr>
                <w:rFonts w:ascii="Times New Roman" w:cs="Times New Roman" w:eastAsia="Times New Roman" w:hAnsi="Times New Roman"/>
                <w:sz w:val="16"/>
                <w:szCs w:val="16"/>
                <w:b w:val="1"/>
                <w:bCs w:val="1"/>
                <w:color w:val="auto"/>
              </w:rPr>
              <w:t>at 5%</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at 10%</w:t>
            </w:r>
          </w:p>
        </w:tc>
        <w:tc>
          <w:tcPr>
            <w:tcW w:w="160" w:type="dxa"/>
            <w:vAlign w:val="bottom"/>
          </w:tcPr>
          <w:p>
            <w:pPr>
              <w:spacing w:after="0"/>
              <w:rPr>
                <w:sz w:val="14"/>
                <w:szCs w:val="14"/>
                <w:color w:val="auto"/>
              </w:rPr>
            </w:pPr>
          </w:p>
        </w:tc>
        <w:tc>
          <w:tcPr>
            <w:tcW w:w="20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at 20%</w:t>
            </w:r>
          </w:p>
        </w:tc>
        <w:tc>
          <w:tcPr>
            <w:tcW w:w="160" w:type="dxa"/>
            <w:vAlign w:val="bottom"/>
          </w:tcPr>
          <w:p>
            <w:pPr>
              <w:spacing w:after="0"/>
              <w:rPr>
                <w:sz w:val="14"/>
                <w:szCs w:val="14"/>
                <w:color w:val="auto"/>
              </w:rPr>
            </w:pPr>
          </w:p>
        </w:tc>
        <w:tc>
          <w:tcPr>
            <w:tcW w:w="1960" w:type="dxa"/>
            <w:vAlign w:val="bottom"/>
            <w:gridSpan w:val="2"/>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at 100%</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Discount</w:t>
            </w:r>
          </w:p>
        </w:tc>
        <w:tc>
          <w:tcPr>
            <w:tcW w:w="0" w:type="dxa"/>
            <w:vAlign w:val="bottom"/>
          </w:tcPr>
          <w:p>
            <w:pPr>
              <w:spacing w:after="0"/>
              <w:rPr>
                <w:sz w:val="1"/>
                <w:szCs w:val="1"/>
                <w:color w:val="auto"/>
              </w:rPr>
            </w:pPr>
          </w:p>
        </w:tc>
      </w:tr>
      <w:tr>
        <w:trPr>
          <w:trHeight w:val="146"/>
        </w:trPr>
        <w:tc>
          <w:tcPr>
            <w:tcW w:w="13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b w:val="1"/>
                <w:bCs w:val="1"/>
                <w:color w:val="auto"/>
              </w:rPr>
              <w:t>Prior to Sale</w:t>
            </w:r>
          </w:p>
        </w:tc>
        <w:tc>
          <w:tcPr>
            <w:tcW w:w="10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Prior to Sale</w:t>
            </w:r>
          </w:p>
        </w:tc>
        <w:tc>
          <w:tcPr>
            <w:tcW w:w="12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Following Sale</w:t>
            </w: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Following Sale</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Following Sale</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Following Sale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13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Below NAV</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60" w:type="dxa"/>
            <w:vAlign w:val="bottom"/>
            <w:gridSpan w:val="4"/>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Price per Share to</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15.62</w:t>
            </w:r>
          </w:p>
        </w:tc>
        <w:tc>
          <w:tcPr>
            <w:tcW w:w="96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13.89</w:t>
            </w:r>
          </w:p>
        </w:tc>
        <w:tc>
          <w:tcPr>
            <w:tcW w:w="1000" w:type="dxa"/>
            <w:vAlign w:val="bottom"/>
            <w:gridSpan w:val="2"/>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0.02</w:t>
            </w: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Public</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60" w:type="dxa"/>
            <w:vAlign w:val="bottom"/>
            <w:gridSpan w:val="2"/>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Net Proceeds per</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14.84</w:t>
            </w:r>
          </w:p>
        </w:tc>
        <w:tc>
          <w:tcPr>
            <w:tcW w:w="960" w:type="dxa"/>
            <w:vAlign w:val="bottom"/>
            <w:gridSpan w:val="2"/>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13.19</w:t>
            </w:r>
          </w:p>
        </w:tc>
        <w:tc>
          <w:tcPr>
            <w:tcW w:w="1000" w:type="dxa"/>
            <w:vAlign w:val="bottom"/>
            <w:gridSpan w:val="2"/>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0.02</w:t>
            </w:r>
          </w:p>
        </w:tc>
        <w:tc>
          <w:tcPr>
            <w:tcW w:w="9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 to Issuer</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Decrease to Net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Asset Value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60" w:type="dxa"/>
            <w:vAlign w:val="bottom"/>
            <w:gridSpan w:val="2"/>
            <w:shd w:val="clear" w:color="auto" w:fill="CCEEFF"/>
          </w:tcPr>
          <w:p>
            <w:pPr>
              <w:ind w:left="60"/>
              <w:spacing w:after="0" w:line="163" w:lineRule="exact"/>
              <w:rPr>
                <w:sz w:val="20"/>
                <w:szCs w:val="20"/>
                <w:color w:val="auto"/>
              </w:rPr>
            </w:pPr>
            <w:r>
              <w:rPr>
                <w:rFonts w:ascii="Times New Roman" w:cs="Times New Roman" w:eastAsia="Times New Roman" w:hAnsi="Times New Roman"/>
                <w:sz w:val="16"/>
                <w:szCs w:val="16"/>
                <w:color w:val="auto"/>
              </w:rPr>
              <w:t>Total Shares</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24,161,106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25,369,161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26,577,217</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28,993,327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28,993,327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20.00 %</w:t>
            </w: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Outstanding</w:t>
            </w: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Net Asset Value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color w:val="auto"/>
              </w:rPr>
              <w:t>(0.24)%</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16.34</w:t>
            </w:r>
          </w:p>
        </w:tc>
        <w:tc>
          <w:tcPr>
            <w:tcW w:w="88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(0.91)%</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15.94</w:t>
            </w: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color w:val="auto"/>
                <w:w w:val="99"/>
              </w:rPr>
              <w:t>(3.33)%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13.75</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0" w:type="dxa"/>
            <w:vAlign w:val="bottom"/>
          </w:tcPr>
          <w:p>
            <w:pPr>
              <w:spacing w:after="0"/>
              <w:rPr>
                <w:sz w:val="1"/>
                <w:szCs w:val="1"/>
                <w:color w:val="auto"/>
              </w:rPr>
            </w:pPr>
          </w:p>
        </w:tc>
      </w:tr>
      <w:tr>
        <w:trPr>
          <w:trHeight w:val="213"/>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per Share</w:t>
            </w: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60" w:type="dxa"/>
            <w:vAlign w:val="bottom"/>
            <w:gridSpan w:val="2"/>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b w:val="1"/>
                <w:bCs w:val="1"/>
                <w:i w:val="1"/>
                <w:iCs w:val="1"/>
                <w:color w:val="auto"/>
              </w:rPr>
              <w:t>Dilution to Non-</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participating</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Stockholder</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Shares Held by</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241,611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241,611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241,611</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241,611</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241,611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Stockholder A</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60" w:type="dxa"/>
            <w:vAlign w:val="bottom"/>
            <w:gridSpan w:val="2"/>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Percentage Held</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0.95 %</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0.91 %</w:t>
            </w:r>
          </w:p>
        </w:tc>
        <w:tc>
          <w:tcPr>
            <w:tcW w:w="880" w:type="dxa"/>
            <w:vAlign w:val="bottom"/>
            <w:vMerge w:val="restart"/>
            <w:shd w:val="clear" w:color="auto" w:fill="CCEEFF"/>
          </w:tcPr>
          <w:p>
            <w:pPr>
              <w:jc w:val="center"/>
              <w:ind w:left="219"/>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0.83 %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0.83 %</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by Stockholder A</w:t>
            </w: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Total Net Asset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Value Held by</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3,984,800</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3,974,501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3,947,924</w:t>
            </w:r>
          </w:p>
        </w:tc>
        <w:tc>
          <w:tcPr>
            <w:tcW w:w="880" w:type="dxa"/>
            <w:vAlign w:val="bottom"/>
            <w:vMerge w:val="restart"/>
          </w:tcPr>
          <w:p>
            <w:pPr>
              <w:jc w:val="center"/>
              <w:ind w:left="219"/>
              <w:spacing w:after="0"/>
              <w:rPr>
                <w:sz w:val="20"/>
                <w:szCs w:val="20"/>
                <w:color w:val="auto"/>
              </w:rPr>
            </w:pPr>
            <w:r>
              <w:rPr>
                <w:rFonts w:ascii="Times New Roman" w:cs="Times New Roman" w:eastAsia="Times New Roman" w:hAnsi="Times New Roman"/>
                <w:sz w:val="16"/>
                <w:szCs w:val="16"/>
                <w:color w:val="auto"/>
              </w:rPr>
              <w:t>(0.93)%</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3,851,279</w:t>
            </w:r>
          </w:p>
        </w:tc>
        <w:tc>
          <w:tcPr>
            <w:tcW w:w="90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color w:val="auto"/>
                <w:w w:val="99"/>
              </w:rPr>
              <w:t>(3.35)%</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3,322,151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0" w:type="dxa"/>
            <w:vAlign w:val="bottom"/>
          </w:tcPr>
          <w:p>
            <w:pPr>
              <w:spacing w:after="0"/>
              <w:rPr>
                <w:sz w:val="1"/>
                <w:szCs w:val="1"/>
                <w:color w:val="auto"/>
              </w:rPr>
            </w:pPr>
          </w:p>
        </w:tc>
      </w:tr>
      <w:tr>
        <w:trPr>
          <w:trHeight w:val="213"/>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Stockholder A</w:t>
            </w:r>
          </w:p>
        </w:tc>
        <w:tc>
          <w:tcPr>
            <w:tcW w:w="1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60" w:type="dxa"/>
            <w:vAlign w:val="bottom"/>
            <w:gridSpan w:val="2"/>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Total Investment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by Stockholder A</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(Assumed to be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3,984,800</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3,984,800</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3,984,800</w:t>
            </w:r>
          </w:p>
        </w:tc>
        <w:tc>
          <w:tcPr>
            <w:tcW w:w="960" w:type="dxa"/>
            <w:vAlign w:val="bottom"/>
            <w:gridSpan w:val="2"/>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3,984,800</w:t>
            </w:r>
          </w:p>
        </w:tc>
        <w:tc>
          <w:tcPr>
            <w:tcW w:w="1000" w:type="dxa"/>
            <w:vAlign w:val="bottom"/>
            <w:gridSpan w:val="2"/>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3,984,800</w:t>
            </w:r>
          </w:p>
        </w:tc>
        <w:tc>
          <w:tcPr>
            <w:tcW w:w="9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$16.49 per Share)</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Total Dilution to</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Stockholder A</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(Total Net Asset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Value Less Total</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(10,299)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2"/>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(36,876)</w:t>
            </w:r>
          </w:p>
        </w:tc>
        <w:tc>
          <w:tcPr>
            <w:tcW w:w="960" w:type="dxa"/>
            <w:vAlign w:val="bottom"/>
            <w:gridSpan w:val="2"/>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(133,521)</w:t>
            </w:r>
          </w:p>
        </w:tc>
        <w:tc>
          <w:tcPr>
            <w:tcW w:w="1000" w:type="dxa"/>
            <w:vAlign w:val="bottom"/>
            <w:gridSpan w:val="2"/>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(662,649)</w:t>
            </w:r>
          </w:p>
        </w:tc>
        <w:tc>
          <w:tcPr>
            <w:tcW w:w="9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Investment)</w:t>
            </w: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60" w:type="dxa"/>
            <w:vAlign w:val="bottom"/>
            <w:gridSpan w:val="2"/>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Net Asset Value</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gridSpan w:val="2"/>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per Share Held by</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16.34</w:t>
            </w:r>
          </w:p>
        </w:tc>
        <w:tc>
          <w:tcPr>
            <w:tcW w:w="960" w:type="dxa"/>
            <w:vAlign w:val="bottom"/>
            <w:gridSpan w:val="2"/>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15.94</w:t>
            </w:r>
          </w:p>
        </w:tc>
        <w:tc>
          <w:tcPr>
            <w:tcW w:w="1000" w:type="dxa"/>
            <w:vAlign w:val="bottom"/>
            <w:gridSpan w:val="2"/>
            <w:vMerge w:val="restart"/>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13.75</w:t>
            </w:r>
          </w:p>
        </w:tc>
        <w:tc>
          <w:tcPr>
            <w:tcW w:w="9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Stockholder A</w:t>
            </w: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00"/>
          </w:cols>
          <w:pgMar w:left="320" w:top="1417" w:right="37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Investment per</w:t>
            </w: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Share Held by</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Stockholder A</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(Assumed to be</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$16.49 per Share on</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Shares Held Prior to</w:t>
            </w:r>
          </w:p>
        </w:tc>
        <w:tc>
          <w:tcPr>
            <w:tcW w:w="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4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16.49</w:t>
            </w:r>
          </w:p>
        </w:tc>
        <w:tc>
          <w:tcPr>
            <w:tcW w:w="86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16.49</w:t>
            </w:r>
          </w:p>
        </w:tc>
        <w:tc>
          <w:tcPr>
            <w:tcW w:w="88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16.49</w:t>
            </w:r>
          </w:p>
        </w:tc>
        <w:tc>
          <w:tcPr>
            <w:tcW w:w="86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16.49</w:t>
            </w:r>
          </w:p>
        </w:tc>
        <w:tc>
          <w:tcPr>
            <w:tcW w:w="88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Sale)</w:t>
            </w:r>
          </w:p>
        </w:tc>
        <w:tc>
          <w:tcPr>
            <w:tcW w:w="3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Dilution per Share</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Held by</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Stockholder A (Net</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Asset Value per</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Share Less</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ind w:left="60"/>
              <w:spacing w:after="0" w:line="162" w:lineRule="exact"/>
              <w:rPr>
                <w:sz w:val="20"/>
                <w:szCs w:val="20"/>
                <w:color w:val="auto"/>
              </w:rPr>
            </w:pPr>
            <w:r>
              <w:rPr>
                <w:rFonts w:ascii="Times New Roman" w:cs="Times New Roman" w:eastAsia="Times New Roman" w:hAnsi="Times New Roman"/>
                <w:sz w:val="16"/>
                <w:szCs w:val="16"/>
                <w:color w:val="auto"/>
              </w:rPr>
              <w:t>Investment per</w:t>
            </w:r>
          </w:p>
        </w:tc>
        <w:tc>
          <w:tcPr>
            <w:tcW w:w="3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(0.04)</w:t>
            </w:r>
          </w:p>
        </w:tc>
        <w:tc>
          <w:tcPr>
            <w:tcW w:w="860" w:type="dxa"/>
            <w:vAlign w:val="bottom"/>
            <w:vMerge w:val="restart"/>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(0.15)</w:t>
            </w:r>
          </w:p>
        </w:tc>
        <w:tc>
          <w:tcPr>
            <w:tcW w:w="880" w:type="dxa"/>
            <w:vAlign w:val="bottom"/>
            <w:vMerge w:val="restart"/>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(0.55)</w:t>
            </w:r>
          </w:p>
        </w:tc>
        <w:tc>
          <w:tcPr>
            <w:tcW w:w="860" w:type="dxa"/>
            <w:vAlign w:val="bottom"/>
            <w:vMerge w:val="restart"/>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(2.75)</w:t>
            </w:r>
          </w:p>
        </w:tc>
        <w:tc>
          <w:tcPr>
            <w:tcW w:w="88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Share)</w:t>
            </w:r>
          </w:p>
        </w:tc>
        <w:tc>
          <w:tcPr>
            <w:tcW w:w="3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Percentage Dilution</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to Stockholder A</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(Dilution per Share</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Divided by</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Investment per</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rPr>
              <w:t>(0.24)%</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w w:val="99"/>
              </w:rPr>
              <w:t>(0.91)%</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vMerge w:val="restart"/>
          </w:tcPr>
          <w:p>
            <w:pPr>
              <w:jc w:val="center"/>
              <w:ind w:left="119"/>
              <w:spacing w:after="0"/>
              <w:rPr>
                <w:sz w:val="20"/>
                <w:szCs w:val="20"/>
                <w:color w:val="auto"/>
              </w:rPr>
            </w:pPr>
            <w:r>
              <w:rPr>
                <w:rFonts w:ascii="Times New Roman" w:cs="Times New Roman" w:eastAsia="Times New Roman" w:hAnsi="Times New Roman"/>
                <w:sz w:val="16"/>
                <w:szCs w:val="16"/>
                <w:color w:val="auto"/>
              </w:rPr>
              <w:t>(3.34)%</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(16.68)%</w:t>
            </w:r>
          </w:p>
        </w:tc>
        <w:tc>
          <w:tcPr>
            <w:tcW w:w="0" w:type="dxa"/>
            <w:vAlign w:val="bottom"/>
          </w:tcPr>
          <w:p>
            <w:pPr>
              <w:spacing w:after="0"/>
              <w:rPr>
                <w:sz w:val="1"/>
                <w:szCs w:val="1"/>
                <w:color w:val="auto"/>
              </w:rPr>
            </w:pPr>
          </w:p>
        </w:tc>
      </w:tr>
      <w:tr>
        <w:trPr>
          <w:trHeight w:val="210"/>
        </w:trPr>
        <w:tc>
          <w:tcPr>
            <w:tcW w:w="14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Share)</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Existing Shareholders Who Do Participate in an Offering of Common Shares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Company’s existing shareholders who participate in an offering below net asset value per share or who buy additional Common Shares in the secondary market at the same or lower price as the Company obtains in the offering (after expenses and commissions) will experience the same types of net asset value dilution as the nonparticipating shareholders, albeit at a lower level, to the extent they purchase less than the same percentage of the discounted offering as their interest in the Company’s Common Shares immediately prior to the offering. The level of net asset value dilution will decrease as the number of Common Shares such shareholders purchase increases. Existing shareholders who buy more than such percentage will experience net asset value dilution on their existing shares but will, in contrast to existing shareholders who purchase less than their proportionate share of the offering, experience an increase (often called accretion) in average net asset value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Common Shares such shareholders purchases increases. Even a shareholder who over-participates will, however, be subject to the risk that the Company may make additional discounted offerings in which such shareholder does not participate, in which case such a shareholder will experience net asset value dilution as described above in such subsequent offerings. These shareholders may also experience a decline in the market price of their Common Shares, which often reflects to some degree announced or potential decreases in net asset value per share. This decrease could be more pronounced as the size of the offering and level of discounts increases.</w:t>
      </w:r>
    </w:p>
    <w:p>
      <w:pPr>
        <w:spacing w:after="0" w:line="19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for a shareholder that acquires Common Shares equal to (1) 50% of its proportionate share of the offering (i.e., 241,611 Common Shares, which is 0.5% of an offering of 4,832,221 Common Shares) rather than its 1.00% proportionate share and (2) 150% of such percentage (i.e. 72,483 Common Shares, which is 1.5% of an offering of 4,832,221 Common Shares rather than its 0.10% proportionate share). It is not possible to predict the level of market price decline that may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50% Participation</w:t>
            </w:r>
          </w:p>
        </w:tc>
        <w:tc>
          <w:tcPr>
            <w:tcW w:w="120" w:type="dxa"/>
            <w:vAlign w:val="bottom"/>
          </w:tcPr>
          <w:p>
            <w:pPr>
              <w:spacing w:after="0"/>
              <w:rPr>
                <w:sz w:val="20"/>
                <w:szCs w:val="20"/>
                <w:color w:val="auto"/>
              </w:rPr>
            </w:pPr>
          </w:p>
        </w:tc>
        <w:tc>
          <w:tcPr>
            <w:tcW w:w="24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150% Participation</w:t>
            </w:r>
          </w:p>
        </w:tc>
      </w:tr>
      <w:tr>
        <w:trPr>
          <w:trHeight w:val="223"/>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to Sale Below NAV</w:t>
            </w: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Prior to Sale</w:t>
            </w: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Following Sale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Following Sale</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Offering Price</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4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Decrease/Increase to Net Asset Value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4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24,161,106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28,993,328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28,993,328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20.00 %</w:t>
            </w:r>
          </w:p>
        </w:tc>
      </w:tr>
      <w:tr>
        <w:trPr>
          <w:trHeight w:val="230"/>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Dilution/Accretion to Participating Stockholder</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241,611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r>
      <w:tr>
        <w:trPr>
          <w:trHeight w:val="229"/>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Net Asset Value Held by Stockholder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3,984,800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4,237,171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5,007,565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25.67 %</w:t>
            </w:r>
          </w:p>
        </w:tc>
      </w:tr>
      <w:tr>
        <w:trPr>
          <w:trHeight w:val="176"/>
        </w:trPr>
        <w:tc>
          <w:tcPr>
            <w:tcW w:w="456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Total Investment by Stockholder A (Assumed to be $16.49</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4,320,362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4,991,486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Total Dilution/Accretion to Stockholder A (Total Net Asset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Value Less Total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(83,191)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175"/>
        </w:trPr>
        <w:tc>
          <w:tcPr>
            <w:tcW w:w="456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Investment per Share held by Stockholder A (Assumed to</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 $16.49 per Share on Shares Held Prior to 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56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456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Percentage Dilution to Stockholder A (Dilution/Accretion</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on New Investors of Common Shares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shareholders and who participate in an offering of the Company’s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shareholders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the Company’s earnings and assets and their voting power than the Company’s increase in assets, potential earning power and voting interests. These investors will, however, be subject to the risk that the Company may make additional discounted offerings in which such new shareholder does not participate, in which case such new shareholder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9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 (1.00%) of the shares of common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ind w:right="80"/>
        <w:spacing w:after="0" w:line="282" w:lineRule="auto"/>
        <w:rPr>
          <w:sz w:val="20"/>
          <w:szCs w:val="20"/>
          <w:color w:val="auto"/>
        </w:rPr>
      </w:pPr>
      <w:r>
        <w:rPr>
          <w:rFonts w:ascii="Times New Roman" w:cs="Times New Roman" w:eastAsia="Times New Roman" w:hAnsi="Times New Roman"/>
          <w:sz w:val="18"/>
          <w:szCs w:val="18"/>
          <w:color w:val="auto"/>
        </w:rPr>
        <w:t>the offering as Shareholder A in the prior examples held immediately prior to the offering. It is not possible to predict the level of market price decline that may occur.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Example 1 5%</w:t>
            </w:r>
          </w:p>
        </w:tc>
        <w:tc>
          <w:tcPr>
            <w:tcW w:w="280" w:type="dxa"/>
            <w:vAlign w:val="bottom"/>
          </w:tcPr>
          <w:p>
            <w:pPr>
              <w:spacing w:after="0"/>
              <w:rPr>
                <w:sz w:val="17"/>
                <w:szCs w:val="17"/>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Example 2 10%</w:t>
            </w:r>
          </w:p>
        </w:tc>
        <w:tc>
          <w:tcPr>
            <w:tcW w:w="260" w:type="dxa"/>
            <w:vAlign w:val="bottom"/>
          </w:tcPr>
          <w:p>
            <w:pPr>
              <w:spacing w:after="0"/>
              <w:rPr>
                <w:sz w:val="17"/>
                <w:szCs w:val="17"/>
                <w:color w:val="auto"/>
              </w:rPr>
            </w:pPr>
          </w:p>
        </w:tc>
        <w:tc>
          <w:tcPr>
            <w:tcW w:w="20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Example 3 20%</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line="180" w:lineRule="exact"/>
              <w:rPr>
                <w:sz w:val="20"/>
                <w:szCs w:val="20"/>
                <w:color w:val="auto"/>
              </w:rPr>
            </w:pPr>
            <w:r>
              <w:rPr>
                <w:rFonts w:ascii="Times New Roman" w:cs="Times New Roman" w:eastAsia="Times New Roman" w:hAnsi="Times New Roman"/>
                <w:sz w:val="18"/>
                <w:szCs w:val="18"/>
                <w:b w:val="1"/>
                <w:bCs w:val="1"/>
                <w:color w:val="auto"/>
              </w:rPr>
              <w:t>Offering at 5%</w:t>
            </w:r>
          </w:p>
        </w:tc>
        <w:tc>
          <w:tcPr>
            <w:tcW w:w="280" w:type="dxa"/>
            <w:vAlign w:val="bottom"/>
          </w:tcPr>
          <w:p>
            <w:pPr>
              <w:spacing w:after="0"/>
              <w:rPr>
                <w:sz w:val="15"/>
                <w:szCs w:val="15"/>
                <w:color w:val="auto"/>
              </w:rPr>
            </w:pPr>
          </w:p>
        </w:tc>
        <w:tc>
          <w:tcPr>
            <w:tcW w:w="2180" w:type="dxa"/>
            <w:vAlign w:val="bottom"/>
            <w:gridSpan w:val="5"/>
          </w:tcPr>
          <w:p>
            <w:pPr>
              <w:jc w:val="center"/>
              <w:ind w:right="3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Offering at 10%</w:t>
            </w:r>
          </w:p>
        </w:tc>
        <w:tc>
          <w:tcPr>
            <w:tcW w:w="260" w:type="dxa"/>
            <w:vAlign w:val="bottom"/>
          </w:tcPr>
          <w:p>
            <w:pPr>
              <w:spacing w:after="0"/>
              <w:rPr>
                <w:sz w:val="15"/>
                <w:szCs w:val="15"/>
                <w:color w:val="auto"/>
              </w:rPr>
            </w:pPr>
          </w:p>
        </w:tc>
        <w:tc>
          <w:tcPr>
            <w:tcW w:w="2080" w:type="dxa"/>
            <w:vAlign w:val="bottom"/>
            <w:gridSpan w:val="4"/>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Offering at 20%</w:t>
            </w: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to Sale Below NAV</w:t>
            </w:r>
          </w:p>
        </w:tc>
        <w:tc>
          <w:tcPr>
            <w:tcW w:w="1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Prior to Sale</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Following Sale</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Following Sale</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Following Sale</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Offering Price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Decrease to Net Asset Value</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24,161,106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25,369,162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28,993,328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20.00 %</w:t>
            </w: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Dilution/Accretion to a New</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Investor</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Held by Investor A</w:t>
            </w:r>
          </w:p>
        </w:tc>
        <w:tc>
          <w:tcPr>
            <w:tcW w:w="1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241,611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Percentage Held by Investor A</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Total Net Asset Value Held by</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Investor 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3,984,800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198,766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770,253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Total Investment by Investor A</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(Assumed to be $16.49 per</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3,984,800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199,240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377,507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671,124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Total Dilution to Investor A</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(Total Net Asset Value Less</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Investment)</w:t>
            </w: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Asset Value per Share Held</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Investor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Investment per Share Held by</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Investor A (Assumed to be</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$16.49 per Share on Shares Held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16.49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Prior to Sale)</w:t>
            </w:r>
          </w:p>
        </w:tc>
        <w:tc>
          <w:tcPr>
            <w:tcW w:w="1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Dilution per Share Held by</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Investor A (Net Asset Value per</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6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Share Less Investment per</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Percentage Dilution to Investor</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4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A (Dilution per Share Divided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by Investment per Share)</w:t>
            </w: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14.76 %</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reaching its recommendation to the shareholders of the Company to approve this Proposal 1, the Board of Directors considered the effect or the following factors:</w:t>
      </w:r>
    </w:p>
    <w:p>
      <w:pPr>
        <w:spacing w:after="0" w:line="189" w:lineRule="exact"/>
        <w:rPr>
          <w:sz w:val="20"/>
          <w:szCs w:val="20"/>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benefits of a Common Share offering below NAV compared to other possible means for raising capital or concluding not to raise capital;</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 Common Share offering in relation to the number of Common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19" w:name="page20"/>
    <w:bookmarkEnd w:id="19"/>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impact on operating expenses associated with an increase in capital.</w:t>
      </w:r>
    </w:p>
    <w:p>
      <w:pPr>
        <w:spacing w:after="0" w:line="225"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including a majority of the non-interested directors who have no financial interest in this Proposal 1, concluded that the benefits to the shareholders from increasing the Company’s capital base outweighed any detriment, including dilution to existing shareholders.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the Company’s officers, directors, employees and 5% shareholders. Because the Company is regulated as a BDC under the 1940 Act, the 1940 Act definition of  “a majority of the outstanding shares” must be used for purposes of this proposal. Under the 1940 Act, “a majority of the outstanding shares” is defined as the lesser of:</w:t>
      </w:r>
    </w:p>
    <w:p>
      <w:pPr>
        <w:spacing w:after="0" w:line="3" w:lineRule="exact"/>
        <w:rPr>
          <w:sz w:val="20"/>
          <w:szCs w:val="20"/>
          <w:color w:val="auto"/>
        </w:rPr>
      </w:pPr>
    </w:p>
    <w:p>
      <w:pPr>
        <w:ind w:firstLine="8"/>
        <w:spacing w:after="0" w:line="255"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voting securities present at the Meeting if the holders of more than 50% of the Company’s outstanding voting securities are present or represented by proxy; or (ii) more than 50% of the Company’s outstanding voting securities. Abstentions and Broker Non-Votes will have the effect of a vote against this proposal.</w:t>
      </w:r>
    </w:p>
    <w:p>
      <w:pPr>
        <w:spacing w:after="0" w:line="182" w:lineRule="exact"/>
        <w:rPr>
          <w:sz w:val="20"/>
          <w:szCs w:val="20"/>
          <w:color w:val="auto"/>
        </w:rPr>
      </w:pPr>
    </w:p>
    <w:p>
      <w:pPr>
        <w:ind w:right="2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(SUBJECT TO CERTAIN LIMITATIONS DESCRIBED IN THIS PROXY STATEMENT), AS DESCRIBED ABOVE IS IN THE BEST INTERESTS OF THE COMPANY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1417" w:right="419" w:bottom="1440" w:gutter="0" w:footer="0" w:header="0"/>
        </w:sectPr>
      </w:pPr>
    </w:p>
    <w:bookmarkStart w:id="20" w:name="page21"/>
    <w:bookmarkEnd w:id="20"/>
    <w:p>
      <w:pPr>
        <w:spacing w:after="0" w:line="190" w:lineRule="exact"/>
        <w:rPr>
          <w:sz w:val="20"/>
          <w:szCs w:val="20"/>
          <w:color w:val="auto"/>
        </w:rPr>
      </w:pPr>
    </w:p>
    <w:p>
      <w:pPr>
        <w:jc w:val="center"/>
        <w:ind w:left="400" w:right="100"/>
        <w:spacing w:after="0" w:line="286" w:lineRule="auto"/>
        <w:rPr>
          <w:sz w:val="20"/>
          <w:szCs w:val="20"/>
          <w:color w:val="auto"/>
        </w:rPr>
      </w:pPr>
      <w:r>
        <w:rPr>
          <w:rFonts w:ascii="Times New Roman" w:cs="Times New Roman" w:eastAsia="Times New Roman" w:hAnsi="Times New Roman"/>
          <w:sz w:val="18"/>
          <w:szCs w:val="18"/>
          <w:b w:val="1"/>
          <w:bCs w:val="1"/>
          <w:color w:val="auto"/>
        </w:rPr>
        <w:t>PROPOSAL 2: APPROVE AN AMENDMENT TO THE COMPANY’S CHARTER TO ALLOW THE COMPANY’S SHAREHOLDERS TO AMEND THE BYLAWS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resolution whereby it has declared advisable, and recommends for your approval, an amendment to Article VI, Section 5.6 of the Company’s Charter, to provide that the Company’s Bylaws may be amended by the vote of a majority of our entire Board of Directors or by our shareholders by the affirmative vote of a majority of all the votes entitled to be cast on the matter. Currently, Article VI, Section 5.6 of the Company’s Charter provides that our Board of Directors has the exclusive power to make, alter, amend or repeal the Bylaws.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Our Board is committed to strong and effective corporate governance and monitors regularly our corporate governance policies and practices. After careful consideration, our Board believes that allowing our shareholders to amend our Bylaws by the affirmative vote of a majority of all the votes entitled to be cast on the matter is in the Company’s best interests and in the best interests of our shareholders. A copy of the proposed amendment to our Charter is attached as Attachment A to this Proxy Statement and incorporated by reference into this Proposal 2. If this Charter amendment is approved by the Company’s shareholders, the Company’s Board of Directors will similarly amend the Company’s Bylaws. If this Charter amendment is not approved by shareholders, then the Board of Directors will not amend the Company’s Charter or Bylaws to provide this right to shareholders,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shareholders will not have the power to alter or repeal any provision of the Bylaws providing indemnification or advancement rights to any person.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all the votes entitled to be cast on the matter is required to amend the Company’s Charter to allow shareholders to amend the Bylaws by the affirmative vote of a majority of all the votes entitled to be cast on the matter. For purposes of the vote on this Proposal 2, abstentions and broker non-votes will have the effect of a vote against this proposal.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BOARD OF DIRECTORS BELIEVES THAT A VOTE “FOR” PROPOSAL 2 TO AMEND THE COMPANY’S CHARTER TO ALLOW</w:t>
      </w:r>
    </w:p>
    <w:p>
      <w:pPr>
        <w:spacing w:after="0" w:line="6" w:lineRule="exact"/>
        <w:rPr>
          <w:sz w:val="20"/>
          <w:szCs w:val="20"/>
          <w:color w:val="auto"/>
        </w:rPr>
      </w:pPr>
    </w:p>
    <w:p>
      <w:pPr>
        <w:ind w:right="1120"/>
        <w:spacing w:after="0" w:line="226" w:lineRule="auto"/>
        <w:rPr>
          <w:sz w:val="20"/>
          <w:szCs w:val="20"/>
          <w:color w:val="auto"/>
        </w:rPr>
      </w:pPr>
      <w:r>
        <w:rPr>
          <w:rFonts w:ascii="Times New Roman" w:cs="Times New Roman" w:eastAsia="Times New Roman" w:hAnsi="Times New Roman"/>
          <w:sz w:val="18"/>
          <w:szCs w:val="18"/>
          <w:b w:val="1"/>
          <w:bCs w:val="1"/>
          <w:color w:val="231F20"/>
        </w:rPr>
        <w:t>SHAREHOLDERS TO AMEND THE COMPANY’S BYLAWS IS IN THE BEST INTERESTS OF OUR SHAREHOLDERS AND RECOMMENDS A VOTE “FOR” THE APPROVAL OF THIS PROPOSAL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80"/>
          </w:cols>
          <w:pgMar w:left="320" w:top="1440" w:right="399" w:bottom="1440" w:gutter="0" w:footer="0" w:header="0"/>
        </w:sectPr>
      </w:pPr>
    </w:p>
    <w:bookmarkStart w:id="21" w:name="page22"/>
    <w:bookmarkEnd w:id="2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III — ADJOURNMENT OF THE MEETING</w:t>
      </w:r>
    </w:p>
    <w:p>
      <w:pPr>
        <w:spacing w:after="0" w:line="16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ind w:right="220"/>
        <w:spacing w:after="0" w:line="250" w:lineRule="auto"/>
        <w:rPr>
          <w:sz w:val="20"/>
          <w:szCs w:val="20"/>
          <w:color w:val="auto"/>
        </w:rPr>
      </w:pPr>
      <w:r>
        <w:rPr>
          <w:rFonts w:ascii="Times New Roman" w:cs="Times New Roman" w:eastAsia="Times New Roman" w:hAnsi="Times New Roman"/>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If the adjournment proposal is submitted for a vote at the Meeting, and if the Company’s shareholders vote to approve the adjournment proposal, the meeting will be adjourned to enable the Board of Directors to solicit additional proxies in favor of one or more proposals. If the adjournment proposal is approved, and the Meeting is adjourned, the Board of Directors will use the additional time to solicit additional proxies in favor of any of the proposals to be presented at the Meeting, including the solicitation of proxies from shareholders that have previously voted against the relevant proposal.</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Board of Directors believes that, if the number of Common Shares voting in favor of any of the proposals presented at the Meeting is insufficient to approve a proposal, it is in the best interests of the Company’s shareholders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at the Meeting was adjourned or postponed.</w:t>
      </w:r>
    </w:p>
    <w:p>
      <w:pPr>
        <w:spacing w:after="0" w:line="2"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OF THE MEETING, IF NECESSARY OR APPROPRIATE, TO SOLICIT ADDITIONAL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Meeting other than those matters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83" w:lineRule="exact"/>
        <w:rPr>
          <w:sz w:val="20"/>
          <w:szCs w:val="20"/>
          <w:color w:val="auto"/>
        </w:rPr>
      </w:pPr>
    </w:p>
    <w:p>
      <w:pPr>
        <w:ind w:right="2160" w:firstLine="2174"/>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TO BE HELD ON AUGUST 26, 2022</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Proxy Statement, the Proxy Card and the accompanying Notice of Special Meeting of Shareholders are available at the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http://www.astproxyportal.com/ast/19720/special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Company’s SEC filings are also available to the public from commercial document retrieval services and on the web 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Such information will also be furnished upon written request to Newtek Business Services Corp., 1981 Marcus Avenue, Suite 130, Lake Success, New York 11042, Attention: Corporate Secretary, and can also be accessed through the Company’s website at </w:t>
      </w:r>
      <w:r>
        <w:rPr>
          <w:rFonts w:ascii="Times New Roman" w:cs="Times New Roman" w:eastAsia="Times New Roman" w:hAnsi="Times New Roman"/>
          <w:sz w:val="18"/>
          <w:szCs w:val="18"/>
          <w:i w:val="1"/>
          <w:iCs w:val="1"/>
          <w:color w:val="auto"/>
        </w:rPr>
        <w:t>www.newtekone.com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Mailings for multiple shareholders going to a single household are combined by delivering to that address, in a single envelope, a copy of the documents (prospectuses, proxy statements, etc.) or other communications for all shareholders who have consented or are deemed to have consented to receiving such communications in such manner in accordance with the rules promulgated by the SEC.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the Company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 OF PROXIES</w:t>
      </w:r>
    </w:p>
    <w:p>
      <w:pPr>
        <w:spacing w:after="0" w:line="148" w:lineRule="exact"/>
        <w:rPr>
          <w:sz w:val="20"/>
          <w:szCs w:val="20"/>
          <w:color w:val="auto"/>
        </w:rPr>
      </w:pPr>
    </w:p>
    <w:p>
      <w:pPr>
        <w:jc w:val="both"/>
        <w:ind w:right="80" w:firstLine="432"/>
        <w:spacing w:after="0" w:line="312" w:lineRule="auto"/>
        <w:rPr>
          <w:sz w:val="20"/>
          <w:szCs w:val="20"/>
          <w:color w:val="auto"/>
        </w:rPr>
      </w:pPr>
      <w:r>
        <w:rPr>
          <w:rFonts w:ascii="Times New Roman" w:cs="Times New Roman" w:eastAsia="Times New Roman" w:hAnsi="Times New Roman"/>
          <w:sz w:val="17"/>
          <w:szCs w:val="17"/>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COSTS OF PROXY SOLICITATIONS; SHAREHOLDER COMMUNICATIONS</w:t>
      </w:r>
    </w:p>
    <w:p>
      <w:pPr>
        <w:spacing w:after="0" w:line="148" w:lineRule="exact"/>
        <w:rPr>
          <w:sz w:val="20"/>
          <w:szCs w:val="20"/>
          <w:color w:val="auto"/>
        </w:rPr>
      </w:pPr>
    </w:p>
    <w:p>
      <w:pPr>
        <w:ind w:right="100" w:firstLine="324"/>
        <w:spacing w:after="0" w:line="237" w:lineRule="auto"/>
        <w:rPr>
          <w:sz w:val="20"/>
          <w:szCs w:val="20"/>
          <w:color w:val="auto"/>
        </w:rPr>
      </w:pPr>
      <w:r>
        <w:rPr>
          <w:rFonts w:ascii="Times New Roman" w:cs="Times New Roman" w:eastAsia="Times New Roman" w:hAnsi="Times New Roman"/>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 The Company has engaged the services of Georgeson LLC to assist in the solicitation of proxies. The Company has estimated that it will pay approximately $60,000, plus reimbursement of certain expenses and fees for additional services requested. Please note that Georgeson LLC may solicit shareholder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Shareholders may send written communications to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13"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18"/>
          <w:szCs w:val="18"/>
          <w:color w:val="auto"/>
        </w:rPr>
        <w:t>Directors to the attention of the Board of Directors, c/o Newtek Business Services Corp., 4800 T-Rex Avenue, Suite 120, Boca Raton, FL 33431.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43"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The Company will furnish, without charge, a copy of the Company’s Annual Report on Form 10-K for the fiscal year ended December 31, 2021 to any shareholder upon request. Requests should be directed to Newtek Business Services Corp., 1981 Marcus Avenue, Suite 130, Lake Success, New York 11042, Attention: Chief Legal Officer, or call (212) 356-9500, or by emailing mschwartz@newtekone.com.</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243"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In order to be eligible for inclusion in the Proxy Statement and proxy relating to the 2023 Annual Meeting of Shareholders of the Company, which will be held on or about June 16, 2023, any shareholder proposal to take action at such meeting must be received by the Secretary of the Company at 1981 Marcus Avenue, Suite 130, Lake Success, New York 11042, no later than January 15, 2023. Nothing in this paragraph shall be deemed to require the Company to include in its Proxy Statement and proxy relating to the 2022 Special Meeting of Shareholders, or to consider and vote upon at any such meeting, any shareholder proposal which does not meet all of the requirements established by the SEC or the Company’s Articles of Amendment and Restatement or Bylaws in effect at the time such proposal is received.</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jc w:val="center"/>
        <w:ind w:left="360" w:right="8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MEETING, THE COMPANY URGES YOU TO VOTE OVER THE INTERNET, BY PHONE, OR BY MARKING, SIGNING AND RETURNING YOUR PROXY OR VOTING INSTRUCTION CARD AS SOON AS POSSIBLE. NO POSTAGE IS NECESSARY IF MAILED IN THE UNITED STATES.</w:t>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488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A. Schwartz,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00"/>
          </w:cols>
          <w:pgMar w:left="320" w:top="1440" w:right="3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ATTACHMENT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PROPOSED CHARTER AMENDMENT</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NEWTEK BUSINESS SERVICES CORP., a Maryland corporation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to the State Department of Assessments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Maryland that:</w:t>
      </w:r>
    </w:p>
    <w:p>
      <w:pPr>
        <w:spacing w:after="0" w:line="21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Article VI, Section 5.6 of the Articles of Amendment and Restatement of the Corporation filed on October 31, 2014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is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by deleting such Section 5.6 and replacing it in its entirety with the following:</w:t>
      </w:r>
    </w:p>
    <w:p>
      <w:pPr>
        <w:spacing w:after="0" w:line="1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right="30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Charter and Bylaws</w:t>
      </w:r>
      <w:r>
        <w:rPr>
          <w:rFonts w:ascii="Times New Roman" w:cs="Times New Roman" w:eastAsia="Times New Roman" w:hAnsi="Times New Roman"/>
          <w:sz w:val="18"/>
          <w:szCs w:val="18"/>
          <w:color w:val="auto"/>
        </w:rPr>
        <w:t>. All persons who shall acquire stock in the Corporation shall acquire the same subject to the provisions of the charter and the Bylaws. The Board of Directors is vested with the power to adopt, alter or repeal any provision of the Bylaws and to make new Bylaws. In addition, the stockholders may adopt, alter or repeal any provision of the Bylaws and make new Bylaws if such action is approved by the affirmative vote of a majority of all votes entitled to be cast on the matter, except that the stockholders shall not have the power to alter or repeal any provision of the Bylaws providing indemnification or advancement rights to any person.”</w:t>
      </w: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right="3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This amendment to the Charter has been approved by the Board of Directors and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Corporation.</w:t>
      </w:r>
    </w:p>
    <w:p>
      <w:pPr>
        <w:spacing w:after="0" w:line="185" w:lineRule="exact"/>
        <w:rPr>
          <w:sz w:val="20"/>
          <w:szCs w:val="20"/>
          <w:color w:val="auto"/>
        </w:rPr>
      </w:pPr>
    </w:p>
    <w:p>
      <w:pPr>
        <w:ind w:right="30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The undersigned acknowledges these Articles of Amendment to be the corporate act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as to all matters of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09" w:lineRule="exact"/>
        <w:rPr>
          <w:sz w:val="20"/>
          <w:szCs w:val="20"/>
          <w:color w:val="auto"/>
        </w:rPr>
      </w:pPr>
    </w:p>
    <w:p>
      <w:pPr>
        <w:ind w:right="3260" w:firstLine="324"/>
        <w:spacing w:after="0" w:line="266" w:lineRule="auto"/>
        <w:rPr>
          <w:sz w:val="20"/>
          <w:szCs w:val="20"/>
          <w:color w:val="auto"/>
        </w:rPr>
      </w:pPr>
      <w:r>
        <w:rPr>
          <w:rFonts w:ascii="Times New Roman" w:cs="Times New Roman" w:eastAsia="Times New Roman" w:hAnsi="Times New Roman"/>
          <w:sz w:val="18"/>
          <w:szCs w:val="18"/>
          <w:color w:val="auto"/>
        </w:rPr>
        <w:t>IN WITNESS WHEREOF, the Corporation has caused these Articles of Amendment to be signed in its name and on its behalf by Chief Executive Officer and attested to by its Secretary as of the     day of                     ,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NEWTEK BUSINESS SERVICES CORP</w:t>
            </w:r>
          </w:p>
        </w:tc>
      </w:tr>
      <w:tr>
        <w:trPr>
          <w:trHeight w:val="50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270"/>
        </w:trPr>
        <w:tc>
          <w:tcPr>
            <w:tcW w:w="780" w:type="dxa"/>
            <w:vAlign w:val="bottom"/>
          </w:tcPr>
          <w:p>
            <w:pPr>
              <w:spacing w:after="0"/>
              <w:rPr>
                <w:sz w:val="23"/>
                <w:szCs w:val="23"/>
                <w:color w:val="auto"/>
              </w:rPr>
            </w:pPr>
          </w:p>
        </w:tc>
        <w:tc>
          <w:tcPr>
            <w:tcW w:w="4820" w:type="dxa"/>
            <w:vAlign w:val="bottom"/>
            <w:tcBorders>
              <w:bottom w:val="single" w:sz="8" w:color="auto"/>
            </w:tcBorders>
          </w:tcPr>
          <w:p>
            <w:pPr>
              <w:spacing w:after="0"/>
              <w:rPr>
                <w:sz w:val="23"/>
                <w:szCs w:val="23"/>
                <w:color w:val="auto"/>
              </w:rPr>
            </w:pPr>
          </w:p>
        </w:tc>
        <w:tc>
          <w:tcPr>
            <w:tcW w:w="620" w:type="dxa"/>
            <w:vAlign w:val="bottom"/>
          </w:tcPr>
          <w:p>
            <w:pPr>
              <w:spacing w:after="0"/>
              <w:rPr>
                <w:sz w:val="23"/>
                <w:szCs w:val="23"/>
                <w:color w:val="auto"/>
              </w:rPr>
            </w:pPr>
          </w:p>
        </w:tc>
        <w:tc>
          <w:tcPr>
            <w:tcW w:w="5000" w:type="dxa"/>
            <w:vAlign w:val="bottom"/>
            <w:tcBorders>
              <w:bottom w:val="single" w:sz="8" w:color="auto"/>
            </w:tcBorders>
          </w:tcPr>
          <w:p>
            <w:pPr>
              <w:spacing w:after="0"/>
              <w:rPr>
                <w:sz w:val="23"/>
                <w:szCs w:val="23"/>
                <w:color w:val="auto"/>
              </w:rPr>
            </w:pPr>
          </w:p>
        </w:tc>
      </w:tr>
      <w:tr>
        <w:trPr>
          <w:trHeight w:val="228"/>
        </w:trPr>
        <w:tc>
          <w:tcPr>
            <w:tcW w:w="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A. Schwartz</w:t>
            </w:r>
          </w:p>
        </w:tc>
        <w:tc>
          <w:tcPr>
            <w:tcW w:w="6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Barry Sloane</w:t>
            </w:r>
          </w:p>
        </w:tc>
      </w:tr>
      <w:tr>
        <w:trPr>
          <w:trHeight w:val="265"/>
        </w:trPr>
        <w:tc>
          <w:tcPr>
            <w:tcW w:w="78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620" w:type="dxa"/>
            <w:vAlign w:val="bottom"/>
          </w:tcPr>
          <w:p>
            <w:pPr>
              <w:spacing w:after="0"/>
              <w:rPr>
                <w:sz w:val="23"/>
                <w:szCs w:val="23"/>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00" w:right="33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349240" cy="6917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5349240" cy="691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5349240" cy="6917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S"/>
      <w:numFmt w:val="bullet"/>
      <w:start w:val="1"/>
    </w:lvl>
  </w:abstractNum>
  <w:abstractNum w:abstractNumId="2">
    <w:nsid w:val="4DB127F8"/>
    <w:multiLevelType w:val="hybridMultilevel"/>
    <w:lvl w:ilvl="0">
      <w:lvlJc w:val="left"/>
      <w:lvlText w:val="£"/>
      <w:numFmt w:val="bullet"/>
      <w:start w:val="1"/>
    </w:lvl>
    <w:lvl w:ilvl="1">
      <w:lvlJc w:val="left"/>
      <w:lvlText w:val="(%2)"/>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2022-07-29T10:01:27Z</dcterms:created>
  <dcterms:modified xsi:type="dcterms:W3CDTF">2022-07-29T10:01:27Z</dcterms:modified>
</cp:coreProperties>
</file>