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SCHEDULE 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14a-101)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Proxy Statement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4315" w:type="dxa"/>
        <w:jc w:val="left"/>
        <w:tblInd w:w="0" w:type="dxa"/>
        <w:tblLayout w:type="fixed"/>
        <w:tblCellMar>
          <w:top w:w="28" w:type="dxa"/>
          <w:left w:w="28" w:type="dxa"/>
          <w:bottom w:w="28" w:type="dxa"/>
          <w:right w:w="28" w:type="dxa"/>
        </w:tblCellMar>
      </w:tblPr>
      <w:tblGrid>
        <w:gridCol w:w="1309"/>
        <w:gridCol w:w="1151"/>
        <w:gridCol w:w="1156"/>
        <w:gridCol w:w="109"/>
        <w:gridCol w:w="109"/>
        <w:gridCol w:w="109"/>
        <w:gridCol w:w="109"/>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S</w:t>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Party other than the 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14a-11(c) or Rule 14a-12</w:t>
            </w:r>
          </w:p>
        </w:tc>
      </w:tr>
    </w:tbl>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NEWTEKONE,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9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4"/>
        <w:gridCol w:w="894"/>
        <w:gridCol w:w="894"/>
        <w:gridCol w:w="894"/>
        <w:gridCol w:w="894"/>
        <w:gridCol w:w="894"/>
        <w:gridCol w:w="894"/>
        <w:gridCol w:w="894"/>
        <w:gridCol w:w="1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 (i)(1)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83"/>
        <w:jc w:val="center"/>
        <w:rPr>
          <w:rFonts w:ascii="Times New Roman;sans-serif" w:hAnsi="Times New Roman;sans-serif"/>
          <w:b/>
          <w:color w:val="000000"/>
          <w:sz w:val="22"/>
        </w:rPr>
      </w:pPr>
      <w:r>
        <w:rPr>
          <w:rFonts w:ascii="Times New Roman;sans-serif" w:hAnsi="Times New Roman;sans-serif"/>
          <w:b/>
          <w:color w:val="000000"/>
          <w:sz w:val="22"/>
        </w:rPr>
        <w:t>NEWTEKONE,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4800 T-Rex Avenue, Suite 120</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Boca Raton, FL 33431</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(212) 356-9500</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May 3, 2024</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Dear Shareholder:</w:t>
      </w:r>
    </w:p>
    <w:p>
      <w:pPr>
        <w:pStyle w:val="TextBody"/>
        <w:bidi w:val="0"/>
        <w:spacing w:before="0" w:after="0"/>
        <w:jc w:val="left"/>
        <w:rPr/>
      </w:pPr>
      <w:r>
        <w:rPr/>
      </w:r>
    </w:p>
    <w:p>
      <w:pPr>
        <w:pStyle w:val="TextBody"/>
        <w:bidi w:val="0"/>
        <w:spacing w:lineRule="auto" w:line="268" w:before="0" w:after="0"/>
        <w:ind w:left="0" w:right="0" w:firstLine="480"/>
        <w:jc w:val="left"/>
        <w:rPr/>
      </w:pPr>
      <w:r>
        <w:rPr>
          <w:rFonts w:ascii="Times New Roman;sans-serif" w:hAnsi="Times New Roman;sans-serif"/>
          <w:b w:val="false"/>
          <w:color w:val="000000"/>
          <w:sz w:val="22"/>
        </w:rPr>
        <w:t xml:space="preserve">We invite you to attend the Annual Meeting of Shareholders (the “Annual Meeting”) of NewtekOne, Inc. (the “Company”) to be held at </w:t>
      </w:r>
      <w:r>
        <w:rPr>
          <w:rFonts w:ascii="Times New Roman;sans-serif" w:hAnsi="Times New Roman;sans-serif"/>
          <w:b w:val="false"/>
          <w:color w:val="000000"/>
          <w:sz w:val="22"/>
          <w:shd w:fill="FFFFFF" w:val="clear"/>
        </w:rPr>
        <w:t xml:space="preserve">1111 Brickell Avenue, Suite 135, Miami, </w:t>
      </w:r>
      <w:r>
        <w:rPr>
          <w:rFonts w:ascii="Times New Roman;sans-serif" w:hAnsi="Times New Roman;sans-serif"/>
          <w:b w:val="false"/>
          <w:color w:val="000000"/>
          <w:sz w:val="22"/>
        </w:rPr>
        <w:t>FL 33131, on June 14, 2024 at 9:00 a.m., local time.</w:t>
      </w:r>
    </w:p>
    <w:p>
      <w:pPr>
        <w:pStyle w:val="TextBody"/>
        <w:bidi w:val="0"/>
        <w:spacing w:lineRule="auto" w:line="288" w:before="240" w:after="283"/>
        <w:ind w:left="0" w:right="0" w:firstLine="480"/>
        <w:jc w:val="left"/>
        <w:rPr>
          <w:rFonts w:ascii="Times New Roman;sans-serif" w:hAnsi="Times New Roman;sans-serif"/>
          <w:b w:val="false"/>
          <w:color w:val="000000"/>
          <w:sz w:val="22"/>
        </w:rPr>
      </w:pPr>
      <w:r>
        <w:rPr>
          <w:rFonts w:ascii="Times New Roman;sans-serif" w:hAnsi="Times New Roman;sans-serif"/>
          <w:b w:val="false"/>
          <w:color w:val="000000"/>
          <w:sz w:val="22"/>
        </w:rPr>
        <w:t>The attached Notice of Annual Meeting and Proxy Statement describe the formal business to be transacted at the Annual Meeting. Also enclosed is a Proxy Card and the Company’s Annual Report on Form 10-K for the year ended December 31, 2023.</w:t>
      </w:r>
    </w:p>
    <w:p>
      <w:pPr>
        <w:pStyle w:val="TextBody"/>
        <w:bidi w:val="0"/>
        <w:spacing w:lineRule="auto" w:line="288" w:before="240" w:after="283"/>
        <w:ind w:left="0" w:right="0" w:firstLine="480"/>
        <w:jc w:val="left"/>
        <w:rPr>
          <w:rFonts w:ascii="Times New Roman;sans-serif" w:hAnsi="Times New Roman;sans-serif"/>
          <w:b w:val="false"/>
          <w:color w:val="000000"/>
          <w:sz w:val="22"/>
        </w:rPr>
      </w:pPr>
      <w:r>
        <w:rPr>
          <w:rFonts w:ascii="Times New Roman;sans-serif" w:hAnsi="Times New Roman;sans-serif"/>
          <w:b w:val="false"/>
          <w:color w:val="000000"/>
          <w:sz w:val="22"/>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pStyle w:val="TextBody"/>
        <w:bidi w:val="0"/>
        <w:spacing w:before="0" w:after="0"/>
        <w:jc w:val="left"/>
        <w:rPr/>
      </w:pPr>
      <w:r>
        <w:rPr/>
      </w:r>
    </w:p>
    <w:p>
      <w:pPr>
        <w:pStyle w:val="TextBody"/>
        <w:bidi w:val="0"/>
        <w:spacing w:lineRule="auto" w:line="268" w:before="0" w:after="0"/>
        <w:ind w:left="0" w:right="0" w:firstLine="480"/>
        <w:jc w:val="left"/>
        <w:rPr/>
      </w:pPr>
      <w:r>
        <w:rPr>
          <w:rFonts w:ascii="Times New Roman;sans-serif" w:hAnsi="Times New Roman;sans-serif"/>
          <w:b/>
          <w:color w:val="000000"/>
          <w:sz w:val="22"/>
        </w:rPr>
        <w:t>YOUR VOTE IS IMPORTANT, REGARDLESS OF THE NUMBER OF SHARES YOU OWN.</w:t>
      </w:r>
      <w:r>
        <w:rPr>
          <w:color w:val="000000"/>
        </w:rPr>
        <w:t xml:space="preserve"> </w:t>
      </w:r>
      <w:r>
        <w:rPr>
          <w:rFonts w:ascii="Times New Roman;sans-serif" w:hAnsi="Times New Roman;sans-serif"/>
          <w:b w:val="false"/>
          <w:color w:val="000000"/>
          <w:sz w:val="22"/>
        </w:rPr>
        <w:t>On behalf of the Company’s Board of Directors, we urge you to please sign, date and return the enclosed Proxy Card in the enclosed postage-prepaid envelope or vote by telephone or internet as soon as possible even if you currently plan to attend the Annual Meeting in person. This will not prevent you from voting during the meeting, but will assure that your vote is counted if you are unable to attend the Annual Meeting. Your vote and participation in the governance of the Company is very important to us.</w:t>
      </w:r>
    </w:p>
    <w:p>
      <w:pPr>
        <w:pStyle w:val="TextBody"/>
        <w:bidi w:val="0"/>
        <w:spacing w:before="0" w:after="0"/>
        <w:ind w:left="0" w:right="0" w:firstLine="480"/>
        <w:jc w:val="left"/>
        <w:rPr/>
      </w:pPr>
      <w:r>
        <w:rPr/>
      </w:r>
    </w:p>
    <w:tbl>
      <w:tblPr>
        <w:tblW w:w="53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83"/>
        <w:gridCol w:w="1383"/>
        <w:gridCol w:w="1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Barry Sloane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Barry Sloane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Chairman, Chief Executive Officer and President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 of Shareholders to Be Held on June 14, 2024.</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Our Proxy Statement and Annual Report on Form 10-K for the year ended December 31, 2023 are available on the inter</w:t>
      </w:r>
      <w:r>
        <w:rPr>
          <w:rFonts w:ascii="Times New Roman;sans-serif" w:hAnsi="Times New Roman;sans-serif"/>
          <w:b w:val="false"/>
          <w:color w:val="000000"/>
          <w:sz w:val="20"/>
          <w:shd w:fill="FFFFFF" w:val="clear"/>
        </w:rPr>
        <w:t xml:space="preserve">net at </w:t>
      </w:r>
      <w:r>
        <w:rPr>
          <w:rFonts w:ascii="Times New Roman;sans-serif" w:hAnsi="Times New Roman;sans-serif"/>
          <w:b w:val="false"/>
          <w:i/>
          <w:color w:val="000000"/>
          <w:sz w:val="20"/>
          <w:u w:val="single"/>
        </w:rPr>
        <w:t>http://proxyvote.com</w:t>
      </w:r>
      <w:r>
        <w:rPr>
          <w:rFonts w:ascii="Times New Roman;sans-serif" w:hAnsi="Times New Roman;sans-serif"/>
          <w:b w:val="false"/>
          <w:color w:val="000000"/>
          <w:sz w:val="20"/>
        </w:rPr>
        <w:t>.</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applicable to the Annual Meeting may be found in the Proxy Statement and accompanying Proxy Card: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The date, time and location of the Annual Meeting;</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list of the matters intended to be acted on and our recommendations regarding those matters;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 xml:space="preserve">Any control/identification numbers that you need to access your Proxy Card; </w:t>
      </w:r>
    </w:p>
    <w:p>
      <w:pPr>
        <w:pStyle w:val="TextBody"/>
        <w:bidi w:val="0"/>
        <w:spacing w:before="0" w:after="0"/>
        <w:jc w:val="left"/>
        <w:rPr/>
      </w:pPr>
      <w:r>
        <w:rPr/>
      </w:r>
    </w:p>
    <w:p>
      <w:pPr>
        <w:pStyle w:val="TextBody"/>
        <w:bidi w:val="0"/>
        <w:spacing w:lineRule="auto" w:line="268" w:before="0" w:after="0"/>
        <w:ind w:left="0" w:right="0" w:hanging="480"/>
        <w:jc w:val="left"/>
        <w:rPr>
          <w:color w:val="000000"/>
        </w:rPr>
      </w:pPr>
      <w:r>
        <w:rPr>
          <w:color w:val="000000"/>
        </w:rPr>
        <w:t>•        </w:t>
      </w:r>
      <w:r>
        <w:rPr>
          <w:rFonts w:ascii="Times New Roman;sans-serif" w:hAnsi="Times New Roman;sans-serif"/>
          <w:b w:val="false"/>
          <w:color w:val="000000"/>
          <w:sz w:val="20"/>
        </w:rPr>
        <w:t xml:space="preserve">Information about attending the Annual Meeting; and </w:t>
      </w:r>
    </w:p>
    <w:p>
      <w:pPr>
        <w:pStyle w:val="TextBody"/>
        <w:bidi w:val="0"/>
        <w:spacing w:before="0" w:after="0"/>
        <w:jc w:val="left"/>
        <w:rPr/>
      </w:pPr>
      <w:r>
        <w:rPr/>
      </w:r>
    </w:p>
    <w:p>
      <w:pPr>
        <w:pStyle w:val="TextBody"/>
        <w:bidi w:val="0"/>
        <w:spacing w:lineRule="auto" w:line="268" w:before="0" w:after="0"/>
        <w:ind w:left="0" w:right="0" w:hanging="480"/>
        <w:jc w:val="left"/>
        <w:rPr>
          <w:color w:val="000000"/>
        </w:rPr>
      </w:pPr>
      <w:r>
        <w:rPr>
          <w:color w:val="000000"/>
        </w:rPr>
        <w:t>•        </w:t>
      </w:r>
      <w:r>
        <w:rPr>
          <w:rFonts w:ascii="Times New Roman;sans-serif" w:hAnsi="Times New Roman;sans-serif"/>
          <w:b w:val="false"/>
          <w:color w:val="000000"/>
          <w:sz w:val="20"/>
        </w:rPr>
        <w:t>How to vote using any of the following methods: by mail, by telephone, by internet and in-person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NEWTEKONE,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4800 T-Rex Avenue, Suite 120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Boca Raton, FL 33431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(212) 356-9500</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NOTICE OF ANNUAL MEETING OF SHAREHOLDERS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14,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To the Shareholders of NewtekOne, Inc.:</w:t>
      </w:r>
    </w:p>
    <w:p>
      <w:pPr>
        <w:pStyle w:val="TextBody"/>
        <w:bidi w:val="0"/>
        <w:spacing w:lineRule="auto" w:line="288" w:before="120" w:after="283"/>
        <w:ind w:left="0" w:right="0" w:firstLine="480"/>
        <w:jc w:val="left"/>
        <w:rPr/>
      </w:pPr>
      <w:r>
        <w:rPr>
          <w:rFonts w:ascii="Times New Roman;sans-serif" w:hAnsi="Times New Roman;sans-serif"/>
          <w:b/>
          <w:color w:val="000000"/>
          <w:sz w:val="20"/>
        </w:rPr>
        <w:t>NOTICE IS HEREBY GIVEN</w:t>
      </w:r>
      <w:r>
        <w:rPr>
          <w:color w:val="000000"/>
        </w:rPr>
        <w:t xml:space="preserve"> </w:t>
      </w:r>
      <w:r>
        <w:rPr>
          <w:rFonts w:ascii="Times New Roman;sans-serif" w:hAnsi="Times New Roman;sans-serif"/>
          <w:b w:val="false"/>
          <w:color w:val="000000"/>
          <w:sz w:val="20"/>
        </w:rPr>
        <w:t>that the Annual Meeting of Shareholders (the “Annual Meeting”) of NewtekOne, Inc. (the “Company”) will be hel</w:t>
      </w:r>
      <w:r>
        <w:rPr>
          <w:rFonts w:ascii="Times New Roman;sans-serif" w:hAnsi="Times New Roman;sans-serif"/>
          <w:b w:val="false"/>
          <w:color w:val="000000"/>
          <w:sz w:val="20"/>
          <w:shd w:fill="FFFFFF" w:val="clear"/>
        </w:rPr>
        <w:t xml:space="preserve">d at 1111 Brickell Avenue, Suite 135, Miami, </w:t>
      </w:r>
      <w:r>
        <w:rPr>
          <w:rFonts w:ascii="Times New Roman;sans-serif" w:hAnsi="Times New Roman;sans-serif"/>
          <w:b w:val="false"/>
          <w:color w:val="000000"/>
          <w:sz w:val="20"/>
        </w:rPr>
        <w:t>FL 33131, on June 14, 2024 at 9:00 a.m., local time.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Annual Meeting is for the following purposes, which are more completely described in the accompanying Proxy Statement:</w:t>
      </w:r>
    </w:p>
    <w:p>
      <w:pPr>
        <w:pStyle w:val="TextBody"/>
        <w:bidi w:val="0"/>
        <w:spacing w:lineRule="auto" w:line="288" w:before="12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1.      To elect two directors of the Company to serve on the Board of Directors until the Company’s Annual Meeting of Shareholders in 2027 and until their successors are duly elected and qualified;</w:t>
      </w:r>
    </w:p>
    <w:p>
      <w:pPr>
        <w:pStyle w:val="TextBody"/>
        <w:bidi w:val="0"/>
        <w:spacing w:lineRule="auto" w:line="288" w:before="12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2.      To ratify the selection of RSM US LLP as the Company’s independent registered accounting firm (independent auditors) for the fiscal year ending December 31, 2024;</w:t>
      </w:r>
    </w:p>
    <w:p>
      <w:pPr>
        <w:pStyle w:val="TextBody"/>
        <w:bidi w:val="0"/>
        <w:spacing w:lineRule="auto" w:line="288" w:before="12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To conduct an advisory vote on the compensation of our named executive officers; </w:t>
      </w:r>
    </w:p>
    <w:p>
      <w:pPr>
        <w:pStyle w:val="TextBody"/>
        <w:bidi w:val="0"/>
        <w:spacing w:lineRule="auto" w:line="288" w:before="12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4.     To approve an amendment to the Company’s Amended and Restated Articles of Incorporation (the “Charter”) to allow the Company’s shareholders to amend the Company’s bylaws, subject to certain limitations; and</w:t>
      </w:r>
    </w:p>
    <w:p>
      <w:pPr>
        <w:pStyle w:val="TextBody"/>
        <w:bidi w:val="0"/>
        <w:spacing w:lineRule="auto" w:line="288" w:before="12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5.     To transact such other business as may properly come before the Annual Meeting or any adjournment thereof.</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not aware of any other business to come before the Annual Meeting.</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Any action may be taken on any one of the foregoing proposals at the Annual Meeting or any adjournments thereof. Shareholders of record at the close of business on April 26, 2024 (the “Record Date”) are entitled to vote at the Annual Meeting and any adjournment thereof.</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tbl>
      <w:tblPr>
        <w:tblW w:w="6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1"/>
        <w:gridCol w:w="1561"/>
        <w:gridCol w:w="22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BARRY SLOANE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Boca Raton,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3,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ANNUAL MEETING, YOU STILL MAY ATTEND THE ANNUAL MEETING AND VOTE YOUR SHARES IN PERSON DURING THE ANNUAL MEETING IF YOU WISH TO CHANGE YOUR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NEWTEKONE,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4800 T-Rex Avenue, Suite 120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Boca Raton, FL 33431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(212) 356-9500</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ANNUAL MEETING OF SHAREHOLDERS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14,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This Proxy Statement is furnished in connection with the solicitation of proxies by the Board of Directors of NewtekOne, Inc. (the “Company”) for the Annual Meeting of Shareholders (the “Annual Meeting”) to b</w:t>
      </w:r>
      <w:r>
        <w:rPr>
          <w:rFonts w:ascii="Times New Roman;sans-serif" w:hAnsi="Times New Roman;sans-serif"/>
          <w:b w:val="false"/>
          <w:color w:val="000000"/>
          <w:sz w:val="20"/>
          <w:shd w:fill="FFFFFF" w:val="clear"/>
        </w:rPr>
        <w:t xml:space="preserve">e held at 1111 Brickell Avenue, Suite 135, Miami, </w:t>
      </w:r>
      <w:r>
        <w:rPr>
          <w:rFonts w:ascii="Times New Roman;sans-serif" w:hAnsi="Times New Roman;sans-serif"/>
          <w:b w:val="false"/>
          <w:color w:val="000000"/>
          <w:sz w:val="20"/>
        </w:rPr>
        <w:t>FL 33131, on June 14, 2024 at 9:00 a.m., local time.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Notice of Annual Meeting and this Proxy Statement, together with the enclosed Proxy Card, and the Company’s Annual Report on Form 10-K for the year ended December 31, 2023, are first being mailed to shareholders on or about May 3, 2024.</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color w:val="000000"/>
          <w:sz w:val="20"/>
        </w:rPr>
        <w:t>We encourage you to vote your shares</w:t>
      </w:r>
      <w:r>
        <w:rPr>
          <w:rFonts w:ascii="Times New Roman;sans-serif" w:hAnsi="Times New Roman;sans-serif"/>
          <w:b w:val="false"/>
          <w:color w:val="000000"/>
          <w:sz w:val="20"/>
        </w:rPr>
        <w:t xml:space="preserve">, either by voting by mail, telephone, the internet, in person at the Annual Meeting or by granting a proxy (i.e., authorizing someone to vote your shares). </w:t>
      </w:r>
    </w:p>
    <w:p>
      <w:pPr>
        <w:pStyle w:val="TextBody"/>
        <w:bidi w:val="0"/>
        <w:spacing w:before="0" w:after="0"/>
        <w:ind w:left="0" w:right="0" w:firstLine="720"/>
        <w:jc w:val="left"/>
        <w:rPr/>
      </w:pPr>
      <w:r>
        <w:rPr/>
      </w:r>
    </w:p>
    <w:p>
      <w:pPr>
        <w:pStyle w:val="TextBody"/>
        <w:bidi w:val="0"/>
        <w:spacing w:lineRule="auto" w:line="220"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How Do You Exercise Your Rights to Vote on the Proposals?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vote using any of the following methods: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pPr>
      <w:r>
        <w:rPr>
          <w:rFonts w:ascii="Times New Roman;sans-serif" w:hAnsi="Times New Roman;sans-serif"/>
          <w:b/>
          <w:color w:val="000000"/>
          <w:sz w:val="20"/>
        </w:rPr>
        <w:t>By Mail</w:t>
      </w:r>
      <w:r>
        <w:rPr>
          <w:color w:val="000000"/>
        </w:rPr>
        <w:t> — </w:t>
      </w:r>
      <w:r>
        <w:rPr>
          <w:rFonts w:ascii="Times New Roman;sans-serif" w:hAnsi="Times New Roman;sans-serif"/>
          <w:b w:val="false"/>
          <w:color w:val="000000"/>
          <w:sz w:val="20"/>
        </w:rPr>
        <w:t xml:space="preserve">Shareholders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pPr>
      <w:r>
        <w:rPr>
          <w:rFonts w:ascii="Times New Roman;sans-serif" w:hAnsi="Times New Roman;sans-serif"/>
          <w:b/>
          <w:color w:val="000000"/>
          <w:sz w:val="20"/>
        </w:rPr>
        <w:t>By Telephone</w:t>
      </w:r>
      <w:r>
        <w:rPr>
          <w:color w:val="000000"/>
        </w:rPr>
        <w:t> — </w:t>
      </w:r>
      <w:r>
        <w:rPr>
          <w:rFonts w:ascii="Times New Roman;sans-serif" w:hAnsi="Times New Roman;sans-serif"/>
          <w:b w:val="false"/>
          <w:color w:val="000000"/>
          <w:sz w:val="20"/>
        </w:rPr>
        <w:t xml:space="preserve">Shareholders of record may submit proxies by following the telephone voting instructions on each Proxy Card. Most 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pPr>
      <w:r>
        <w:rPr>
          <w:rFonts w:ascii="Times New Roman;sans-serif" w:hAnsi="Times New Roman;sans-serif"/>
          <w:b/>
          <w:color w:val="000000"/>
          <w:sz w:val="20"/>
        </w:rPr>
        <w:t>By Internet</w:t>
      </w:r>
      <w:r>
        <w:rPr>
          <w:color w:val="000000"/>
        </w:rPr>
        <w:t> — </w:t>
      </w:r>
      <w:r>
        <w:rPr>
          <w:rFonts w:ascii="Times New Roman;sans-serif" w:hAnsi="Times New Roman;sans-serif"/>
          <w:b w:val="false"/>
          <w:color w:val="000000"/>
          <w:sz w:val="20"/>
        </w:rPr>
        <w:t xml:space="preserve">Shareholders of record with internet access may submit proxies by following the internet voting instructions on their Proxy Cards. Most shareholders who hold shares beneficially in street name may provide voting instructions by accessing the website specified on the voting instruction form provided by their brokers, banks or nominees.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pPr>
      <w:r>
        <w:rPr>
          <w:rFonts w:ascii="Times New Roman;sans-serif" w:hAnsi="Times New Roman;sans-serif"/>
          <w:b/>
          <w:color w:val="000000"/>
          <w:sz w:val="20"/>
        </w:rPr>
        <w:t>In Person at the Meeting</w:t>
      </w:r>
      <w:r>
        <w:rPr>
          <w:color w:val="000000"/>
        </w:rPr>
        <w:t> — </w:t>
      </w:r>
      <w:r>
        <w:rPr>
          <w:rFonts w:ascii="Times New Roman;sans-serif" w:hAnsi="Times New Roman;sans-serif"/>
          <w:b w:val="false"/>
          <w:color w:val="000000"/>
          <w:sz w:val="20"/>
        </w:rPr>
        <w:t>Shares held in your name as the shareholder of record may be voted at the Annual Meeting. Shares held beneficially in street name may be voted in person only if you obtain a legal proxy from the broker, bank or other nominee that holds your shares giving you the right to vote the shares.</w:t>
      </w:r>
      <w:r>
        <w:rPr>
          <w:color w:val="000000"/>
        </w:rPr>
        <w:t xml:space="preserve"> </w:t>
      </w:r>
      <w:r>
        <w:rPr>
          <w:rFonts w:ascii="Times New Roman;sans-serif" w:hAnsi="Times New Roman;sans-serif"/>
          <w:b/>
          <w:i/>
          <w:color w:val="000000"/>
          <w:sz w:val="20"/>
        </w:rPr>
        <w:t>Even if you plan to attend the Meeting, we recommend that you also submit your proxy or voting instructions or vote by telephone or the internet so that your vote will be counted if you later decide not to attend the Annual Meeting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the Proposals described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is the Vote Required for Each Proposal?</w:t>
      </w:r>
    </w:p>
    <w:tbl>
      <w:tblPr>
        <w:tblW w:w="10205" w:type="dxa"/>
        <w:jc w:val="left"/>
        <w:tblInd w:w="0" w:type="dxa"/>
        <w:tblLayout w:type="fixed"/>
        <w:tblCellMar>
          <w:top w:w="28" w:type="dxa"/>
          <w:left w:w="28" w:type="dxa"/>
          <w:bottom w:w="28" w:type="dxa"/>
          <w:right w:w="28" w:type="dxa"/>
        </w:tblCellMar>
      </w:tblPr>
      <w:tblGrid>
        <w:gridCol w:w="1230"/>
        <w:gridCol w:w="848"/>
        <w:gridCol w:w="860"/>
        <w:gridCol w:w="109"/>
        <w:gridCol w:w="109"/>
        <w:gridCol w:w="109"/>
        <w:gridCol w:w="654"/>
        <w:gridCol w:w="603"/>
        <w:gridCol w:w="538"/>
        <w:gridCol w:w="109"/>
        <w:gridCol w:w="109"/>
        <w:gridCol w:w="109"/>
        <w:gridCol w:w="381"/>
        <w:gridCol w:w="381"/>
        <w:gridCol w:w="382"/>
        <w:gridCol w:w="109"/>
        <w:gridCol w:w="109"/>
        <w:gridCol w:w="109"/>
        <w:gridCol w:w="1004"/>
        <w:gridCol w:w="965"/>
        <w:gridCol w:w="1378"/>
      </w:tblGrid>
      <w:tr>
        <w:trPr/>
        <w:tc>
          <w:tcPr>
            <w:tcW w:w="1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Proposal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Vote Required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Broker </w:t>
              <w:br/>
              <w:t xml:space="preserve">Discretionary </w:t>
              <w:br/>
              <w:t xml:space="preserve">Voting </w:t>
              <w:br/>
              <w:t>Allowed?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Effect of Abstentions and </w:t>
              <w:br/>
              <w:t>Broker Non-Votes</w:t>
            </w:r>
          </w:p>
        </w:tc>
      </w:tr>
      <w:tr>
        <w:trPr/>
        <w:tc>
          <w:tcPr>
            <w:tcW w:w="2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I — Election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plurality of all the votes cast at the Annual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non-votes and a proxy marked “withhold authority” with respect to the director nominee are not counted as votes cast for purposes of the election of a director nominee and, therefore, will have no effect on the outcome of such election.</w:t>
            </w:r>
          </w:p>
        </w:tc>
      </w:tr>
      <w:tr>
        <w:trPr/>
        <w:tc>
          <w:tcPr>
            <w:tcW w:w="2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II — Ratification of Appointment of Independent Auditors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the votes cast at the Annual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are not counted as votes cast and will have no effect on the outcome of the vote.</w:t>
            </w:r>
          </w:p>
        </w:tc>
      </w:tr>
      <w:tr>
        <w:trPr/>
        <w:tc>
          <w:tcPr>
            <w:tcW w:w="29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III — Advisory Vote on Compensation of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the votes cast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not be counted as votes cast and will have no effect on the result of the vote.</w:t>
            </w:r>
          </w:p>
        </w:tc>
      </w:tr>
      <w:tr>
        <w:trPr/>
        <w:tc>
          <w:tcPr>
            <w:tcW w:w="29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IV — To Approve an Amendment to the Company’s Charter to Allow the Company’s Shareholders to Amend the Company’s Bylaws, subject to certain limitations.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the holders of a majority of the votes entitled to be cast at the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if any, will have the effect of a vote against this proposal.</w:t>
            </w:r>
          </w:p>
        </w:tc>
      </w:tr>
      <w:tr>
        <w:trPr/>
        <w:tc>
          <w:tcPr>
            <w:tcW w:w="29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VOTING AND REVOCATION OF PROXIES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VOTING SECURITIES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which can be voted at the Annual Meeting consist of the Company’s common shares, $0.02 par value per share (“Common Shares” or “Common Stock”) and the Company’s Series A Convertible Preferred Stock, par value $0.02 per share (the “Preferred Stock”), holders of which are entitled to vote on an as-converted basis, together with the holders of our Common Stock, voting together as a single class, on each matter on which the holders of Common Stock are entitled to vote. Shareholders of record as of the close of business on the Record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entitled to one vote for each Common Share then held on all matters. As of the Record Date, approximately 25,637,838 Common Shares were issued and outstanding (which includes the shares of Preferred Stock which carry, in the aggregate and on an as-converted basis, the right to vote the equivalent of 950,811 shares of Common Stock). The presence, in person or by proxy, of at least a majority of the total number of Common Shares outstanding and entitled to vote will be necessary to constitute a quorum at the Annual Meeting.</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Persons and groups owning in excess of 5% of Company’s Common Shares are required to file certain reports regarding such ownership with the Securities and Exchange Commission (“SEC”) pursuant to the Securities Exchange Act of 1934, as amended (the “Exchange Act”).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lineRule="auto" w:line="26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as of April 26, 2024, the beneficial ownership of each current director, the nominees for director, the Company’s executive officers, the executive officers and directors as a group and each person known to us to beneficially own 5% or more of the outstanding Common Shares. A person is a “beneficial owner” of a security if that person has or shares “voting power,” which includes the power to vote or to direct the voting of the security, or “investment power,” which includes the power to dispose of or to direct the disposition of the security,or has the right to acquire such powers within 60 days. Percentage of beneficial ownership is based on 25,637,838 Common Shares outstanding as of the Record Date (including our Preferred Stock on an as-converted basis).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pStyle w:val="TextBody"/>
        <w:bidi w:val="0"/>
        <w:spacing w:before="0" w:after="0"/>
        <w:jc w:val="left"/>
        <w:rPr/>
      </w:pPr>
      <w:r>
        <w:rPr/>
      </w:r>
    </w:p>
    <w:p>
      <w:pPr>
        <w:pStyle w:val="TextBody"/>
        <w:bidi w:val="0"/>
        <w:spacing w:lineRule="auto" w:line="26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the Company believes that each beneficial owner set forth in the tables below has sole voting and investment power.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Beneficial Ownership of Shares by Holders of More Than 5% of Outstanding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Based on filings made under Section 13(d) and 13(g) of the Exchange Act reporting ownership of shares and percent of class as of December 31, 2023, the only persons known by us to be beneficial owners of more than 5% of our common stock as of April 26, 2024 were as follows:</w:t>
      </w:r>
      <w:r>
        <w:rPr>
          <w:color w:val="000000"/>
        </w:rPr>
        <w:t xml:space="preserve"> </w:t>
      </w:r>
    </w:p>
    <w:tbl>
      <w:tblPr>
        <w:tblW w:w="7984" w:type="dxa"/>
        <w:jc w:val="left"/>
        <w:tblInd w:w="0" w:type="dxa"/>
        <w:tblLayout w:type="fixed"/>
        <w:tblCellMar>
          <w:top w:w="28" w:type="dxa"/>
          <w:left w:w="28" w:type="dxa"/>
          <w:bottom w:w="28" w:type="dxa"/>
          <w:right w:w="28" w:type="dxa"/>
        </w:tblCellMar>
      </w:tblPr>
      <w:tblGrid>
        <w:gridCol w:w="1655"/>
        <w:gridCol w:w="1458"/>
        <w:gridCol w:w="1462"/>
        <w:gridCol w:w="109"/>
        <w:gridCol w:w="109"/>
        <w:gridCol w:w="109"/>
        <w:gridCol w:w="504"/>
        <w:gridCol w:w="504"/>
        <w:gridCol w:w="506"/>
        <w:gridCol w:w="109"/>
        <w:gridCol w:w="109"/>
        <w:gridCol w:w="109"/>
        <w:gridCol w:w="289"/>
        <w:gridCol w:w="289"/>
        <w:gridCol w:w="291"/>
        <w:gridCol w:w="109"/>
        <w:gridCol w:w="109"/>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Name and Address of Beneficial Owner: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Number of </w:t>
              <w:br/>
              <w:t xml:space="preserve">Shares Beneficially </w:t>
              <w:b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Percent of </w:t>
              <w:br/>
              <w:t>Class</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Barry Sloane, CEO</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 xml:space="preserve">c/o NewtekOne, Inc.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4800 T-Rex Avenue, Suite 120 Boca Raton, FL 33431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1,296,895 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The Vanguard Group</w:t>
            </w:r>
            <w:r>
              <w:rPr>
                <w:rFonts w:ascii="Times New Roman;sans-serif" w:hAnsi="Times New Roman;sans-serif"/>
                <w:b w:val="false"/>
                <w:color w:val="000000"/>
                <w:sz w:val="10"/>
                <w:shd w:fill="CCEEFF" w:val="clear"/>
              </w:rPr>
              <w:t>(2</w:t>
            </w:r>
            <w:r>
              <w:rPr>
                <w:rFonts w:ascii="Times New Roman;sans-serif" w:hAnsi="Times New Roman;sans-serif"/>
                <w:b w:val="false"/>
                <w:color w:val="000000"/>
                <w:sz w:val="10"/>
              </w:rPr>
              <w: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Vanguard Blvd.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Malvern, PA 19355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1,351,102 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BlackRock, Inc.</w:t>
            </w:r>
            <w:r>
              <w:rPr>
                <w:rFonts w:ascii="Times New Roman;sans-serif" w:hAnsi="Times New Roman;sans-serif"/>
                <w:b w:val="false"/>
                <w:color w:val="000000"/>
                <w:sz w:val="10"/>
              </w:rPr>
              <w:t>(3)</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Hudson Yards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1,793,129 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Royce &amp; Associates, LP</w:t>
            </w:r>
            <w:r>
              <w:rPr>
                <w:rFonts w:ascii="Times New Roman;sans-serif" w:hAnsi="Times New Roman;sans-serif"/>
                <w:b w:val="false"/>
                <w:color w:val="000000"/>
                <w:sz w:val="10"/>
              </w:rPr>
              <w:t>(4)</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745 Fifth Avenue New York, NY 10151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2,042,490 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12"/>
        </w:rPr>
        <w:t>(1)   </w:t>
      </w:r>
      <w:r>
        <w:rPr>
          <w:color w:val="000000"/>
        </w:rPr>
        <w:t xml:space="preserve">  </w:t>
      </w:r>
      <w:r>
        <w:rPr>
          <w:rFonts w:ascii="Times New Roman;sans-serif" w:hAnsi="Times New Roman;sans-serif"/>
          <w:b w:val="false"/>
          <w:color w:val="000000"/>
          <w:sz w:val="18"/>
        </w:rPr>
        <w:t xml:space="preserve">Mr. Sloane holds and has sole voting power as to 1,120,674 Common Shares, and shared voting power as to 176,221 Common Shares owned by The B Sloane Family Foundation, a 501(c)(3) private foundation; and sole dispositive power over 1,120,674 Common Shares, and has shared dispositive power as to 176,221 Common Shares owned by The B Sloane Family Foundation; includes 47,080 restricted Common Shares (the “Restricted Stock Awards”) granted to Mr. Sloane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August 2022, plus accrued dividends, vesting on August 15, 2025; and 61,652 Restricted Stock Awards granted in December 2022, plus accrued dividends, vesting on January 15, 2026. </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(2)     </w:t>
      </w:r>
      <w:r>
        <w:rPr>
          <w:rFonts w:ascii="Times New Roman;sans-serif" w:hAnsi="Times New Roman;sans-serif"/>
          <w:b w:val="false"/>
          <w:color w:val="000000"/>
          <w:sz w:val="18"/>
        </w:rPr>
        <w:t xml:space="preserve">Based on a review of the Schedule 13G filed on February 13, 2024 by The Vanguard Group. The Schedule 13G discloses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that The Vanguard Group had shared voting power as to 10,576 Common Shares, sole dispositive power as to 1,330,107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and shared dispositive power as to 20,995 Common Shares.</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(3)    </w:t>
      </w:r>
      <w:r>
        <w:rPr>
          <w:color w:val="000000"/>
        </w:rPr>
        <w:t>    </w:t>
      </w:r>
      <w:r>
        <w:rPr>
          <w:rFonts w:ascii="Times New Roman;sans-serif" w:hAnsi="Times New Roman;sans-serif"/>
          <w:b w:val="false"/>
          <w:color w:val="000000"/>
          <w:sz w:val="18"/>
        </w:rPr>
        <w:t>Based on a review of the Schedule 13G filed on January 26, 2024 by BlackRock, Inc. The Schedule 13G discloses that BlackRock, Inc. had sole voting power as to 1,760,280 Common Shares and sole dispositive power as to 1,793,129 Common Shares.</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(4) </w:t>
      </w:r>
      <w:r>
        <w:rPr>
          <w:color w:val="000000"/>
        </w:rPr>
        <w:t>       </w:t>
      </w:r>
      <w:r>
        <w:rPr>
          <w:rFonts w:ascii="Times New Roman;sans-serif" w:hAnsi="Times New Roman;sans-serif"/>
          <w:b w:val="false"/>
          <w:color w:val="000000"/>
          <w:sz w:val="18"/>
        </w:rPr>
        <w:t>Based on a review of the Schedule 13G filed on January 24, 2024 by Royce &amp; Associates, LP. The Schedule 13G discloses that Royce &amp; Associates, LP. had sole voting power as to 2,042,490 Common Shares and sole dispositive power as to 2,042,490 Common Shares.</w: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Beneficial ownership of each current director, the nominees for director and the Company’s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directors are divided into two groups — non-independent directors and independent directors. Independent directors are “Independent Directors” as defined by Nasdaq Stock Market corporate governance listing standards (“Nasdaq listing rules”). Unless otherwise indicated, the addresses of all executive officers and directors are c/o NewtekOne, Inc., 4800 T-Rex Avenue, Suite 120, Boca Raton, FL 33431.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5"/>
        <w:gridCol w:w="2193"/>
        <w:gridCol w:w="2200"/>
        <w:gridCol w:w="109"/>
        <w:gridCol w:w="109"/>
        <w:gridCol w:w="109"/>
        <w:gridCol w:w="529"/>
        <w:gridCol w:w="522"/>
        <w:gridCol w:w="515"/>
        <w:gridCol w:w="109"/>
        <w:gridCol w:w="109"/>
        <w:gridCol w:w="109"/>
        <w:gridCol w:w="203"/>
        <w:gridCol w:w="203"/>
        <w:gridCol w:w="146"/>
        <w:gridCol w:w="146"/>
        <w:gridCol w:w="146"/>
        <w:gridCol w:w="213"/>
      </w:tblGrid>
      <w:tr>
        <w:trPr/>
        <w:tc>
          <w:tcPr>
            <w:tcW w:w="2535"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9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Beneficial Ownership of Shares by Directors and Executive Officers: 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 xml:space="preserve">Shares Beneficially </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Percent of </w:t>
              <w:br/>
              <w:t>Class</w:t>
            </w:r>
          </w:p>
        </w:tc>
      </w:tr>
      <w:tr>
        <w:trPr/>
        <w:tc>
          <w:tcPr>
            <w:tcW w:w="6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Non-Independent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Barry Sloane, CEO</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1,296,895 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Peter Downs, Chief Lending Officer</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71,138 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Halli Razon-Feingold, Chief Administrative Officer</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Independent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Gregory Zink</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Salvatore Mulia</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46,559 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Richard Salute</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29,958 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Fernando Perez-Hickman</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44,443 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 Scott Price, Chief Financial Officer </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Michael Schwartz, Chief Legal Officer</w:t>
            </w: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39,384 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Nicolas Young, President Newtek Bank, N.A.</w:t>
            </w: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30,191 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Frank M. DeMaria, Chief Accounting Officer</w:t>
            </w:r>
            <w:r>
              <w:rPr>
                <w:rFonts w:ascii="Times New Roman;sans-serif" w:hAnsi="Times New Roman;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Former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Nicholas Leger</w:t>
            </w:r>
            <w:r>
              <w:rPr>
                <w:rFonts w:ascii="Times New Roman;sans-serif" w:hAnsi="Times New Roman;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18,059 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 current and former directors and executive officers as a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1,654,958 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Less than 1% of total Common Shares outstanding as of the Record Date.</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(1) </w:t>
      </w:r>
      <w:r>
        <w:rPr>
          <w:color w:val="000000"/>
        </w:rPr>
        <w:t>    </w:t>
      </w:r>
      <w:r>
        <w:rPr>
          <w:rFonts w:ascii="Times New Roman;sans-serif" w:hAnsi="Times New Roman;sans-serif"/>
          <w:b w:val="false"/>
          <w:color w:val="000000"/>
          <w:sz w:val="18"/>
        </w:rPr>
        <w:t>Mr. Sloane has sole voting power as to 1,120,674 Common Shares, and shared voting power as to 176,221 Common Shares owned by The B Sloane Family Foundation, a 501(c)(3) private foundation; and sole dispositive power over 1,120,674 Common Shares, and has shared dispositive power as to 176,221 Common Shares owned by The B Sloane Family Foundation; includes 47,080 Restricted Stock Awards granted to Mr. Sloane in August 2022, plus accrued dividends, vesting on August 15, 2025; and 61,652 Restricted Stock Awards granted in December 2022, plus accrued dividends, vesting on January 15, 2026.</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 xml:space="preserve">Includes 17,655 Restricted Stock Awards granted in August 2022, plus accrued dividends, vesting on August 15, 2025. </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(3)    </w:t>
      </w:r>
      <w:r>
        <w:rPr>
          <w:rFonts w:ascii="Times New Roman;sans-serif" w:hAnsi="Times New Roman;sans-serif"/>
          <w:b w:val="false"/>
          <w:color w:val="000000"/>
          <w:sz w:val="18"/>
        </w:rPr>
        <w:t>Includes 7,062 Restricted Stock Awards granted in August 2022, plus accrued dividends, vesting on August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450"/>
        <w:jc w:val="left"/>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Includes 18,645 Restricted Stock Awards granted in July 2023, plus accrued dividends, vesting on July 15, 2026.</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(5)</w:t>
      </w:r>
      <w:r>
        <w:rPr>
          <w:color w:val="000000"/>
        </w:rPr>
        <w:t>    </w:t>
      </w:r>
      <w:r>
        <w:rPr>
          <w:rFonts w:ascii="Times New Roman;sans-serif" w:hAnsi="Times New Roman;sans-serif"/>
          <w:b w:val="false"/>
          <w:color w:val="000000"/>
          <w:sz w:val="18"/>
        </w:rPr>
        <w:t>Includes 14,124 Restricted Stock Awards granted in August 2022, plus accrued dividends, vesting on August 15, 2025.</w:t>
      </w:r>
    </w:p>
    <w:p>
      <w:pPr>
        <w:pStyle w:val="TextBody"/>
        <w:bidi w:val="0"/>
        <w:spacing w:lineRule="auto" w:line="268" w:before="0" w:after="0"/>
        <w:ind w:left="0" w:right="0" w:hanging="450"/>
        <w:jc w:val="left"/>
        <w:rPr/>
      </w:pPr>
      <w:r>
        <w:rPr>
          <w:rFonts w:ascii="Times New Roman;sans-serif" w:hAnsi="Times New Roman;sans-serif"/>
          <w:b w:val="false"/>
          <w:color w:val="000000"/>
          <w:sz w:val="12"/>
        </w:rPr>
        <w:t>(6)</w:t>
      </w:r>
      <w:r>
        <w:rPr>
          <w:color w:val="000000"/>
        </w:rPr>
        <w:t>    </w:t>
      </w:r>
      <w:r>
        <w:rPr>
          <w:rFonts w:ascii="Times New Roman;sans-serif" w:hAnsi="Times New Roman;sans-serif"/>
          <w:b w:val="false"/>
          <w:color w:val="000000"/>
          <w:sz w:val="18"/>
        </w:rPr>
        <w:t>Includes 9,416 Restricted Stock Awards granted in August 2022, plus accrued dividends, vesting on August 15, 2025; and 17,197 Restricted Stock Awards granted in August 2021, plus accrued dividends, with one-third vested on each of August 2, 2022 and August 2, 2023, and one-third vesting on August 2, 2024.</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(7)</w:t>
      </w:r>
      <w:r>
        <w:rPr>
          <w:color w:val="000000"/>
        </w:rPr>
        <w:t>    </w:t>
      </w:r>
      <w:r>
        <w:rPr>
          <w:rFonts w:ascii="Times New Roman;sans-serif" w:hAnsi="Times New Roman;sans-serif"/>
          <w:b w:val="false"/>
          <w:color w:val="000000"/>
          <w:sz w:val="18"/>
        </w:rPr>
        <w:t>Includes 2,000 Restricted Stock Awards granted in June 2022, plus accrued dividends, as equity-based compensation to non-employee directors Mulia, Salute, Perez-Hickman and Zink, at the beginning of their 2022 terms of service, which forfeiture restrictions lapse as to one-third of such Common Shares each year for three years; and 1,568 Restricted Stock Awards granted in July 2023, plus accrued dividends, as equity-based compensation to non-employee directors Mulia, Salute, Perez-Hickman and Zink, at the beginning of their 2023 terms of service, which forfeiture restrictions will lapse on July 15, 2024.  </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(8)    </w:t>
      </w:r>
      <w:r>
        <w:rPr>
          <w:rFonts w:ascii="Times New Roman;sans-serif" w:hAnsi="Times New Roman;sans-serif"/>
          <w:b w:val="false"/>
          <w:color w:val="000000"/>
          <w:sz w:val="18"/>
        </w:rPr>
        <w:t>Mr. DeMaria was appointed Executive Vice President, Chief Accounting Officer, in March 2024; includes 6,215 Restricted Stock Awards granted in July 2023, plus accrued dividends, vesting on July 15, 2026.</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(9)    </w:t>
      </w:r>
      <w:r>
        <w:rPr>
          <w:rFonts w:ascii="Times New Roman;sans-serif" w:hAnsi="Times New Roman;sans-serif"/>
          <w:b w:val="false"/>
          <w:color w:val="000000"/>
          <w:sz w:val="18"/>
        </w:rPr>
        <w:t>Mr. Leger was our Chief Accounting until March 29, 2024 ,when he transitioned to the role of Treasurer and is no longer an executive officer; includes 10,593 Restricted Stock Awards granted in August 2022, plus accrued dividends, vesting on August 15, 2025.</w:t>
      </w:r>
    </w:p>
    <w:p>
      <w:pPr>
        <w:pStyle w:val="TextBody"/>
        <w:bidi w:val="0"/>
        <w:spacing w:before="0" w:after="0"/>
        <w:ind w:left="0" w:right="0" w:hanging="450"/>
        <w:jc w:val="left"/>
        <w:rPr/>
      </w:pPr>
      <w:r>
        <w:rPr/>
      </w:r>
    </w:p>
    <w:tbl>
      <w:tblPr>
        <w:tblW w:w="7852" w:type="dxa"/>
        <w:jc w:val="left"/>
        <w:tblInd w:w="0" w:type="dxa"/>
        <w:tblLayout w:type="fixed"/>
        <w:tblCellMar>
          <w:top w:w="28" w:type="dxa"/>
          <w:left w:w="28" w:type="dxa"/>
          <w:bottom w:w="28" w:type="dxa"/>
          <w:right w:w="28" w:type="dxa"/>
        </w:tblCellMar>
      </w:tblPr>
      <w:tblGrid>
        <w:gridCol w:w="907"/>
        <w:gridCol w:w="798"/>
        <w:gridCol w:w="798"/>
        <w:gridCol w:w="798"/>
        <w:gridCol w:w="798"/>
        <w:gridCol w:w="798"/>
        <w:gridCol w:w="862"/>
        <w:gridCol w:w="862"/>
        <w:gridCol w:w="1231"/>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7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Range of Equity Securities in the Company Beneficially Owned by Each Director:</w:t>
            </w:r>
          </w:p>
        </w:tc>
      </w:tr>
      <w:tr>
        <w:trPr/>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Director</w:t>
            </w:r>
          </w:p>
        </w:tc>
        <w:tc>
          <w:tcPr>
            <w:tcW w:w="2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Dollar Range of Equity Securities in </w:t>
            </w:r>
          </w:p>
          <w:p>
            <w:pPr>
              <w:pStyle w:val="TableContents"/>
              <w:bidi w:val="0"/>
              <w:spacing w:lineRule="auto" w:line="288" w:before="0" w:after="0"/>
              <w:jc w:val="center"/>
              <w:rPr/>
            </w:pPr>
            <w:r>
              <w:rPr>
                <w:rFonts w:ascii="Times New Roman;sans-serif" w:hAnsi="Times New Roman;sans-serif"/>
                <w:b/>
                <w:color w:val="000000"/>
                <w:sz w:val="18"/>
              </w:rPr>
              <w:t>NewtekOne, Inc.</w:t>
            </w:r>
            <w:r>
              <w:rPr>
                <w:rFonts w:ascii="Times New Roman;sans-serif" w:hAnsi="Times New Roman;sans-serif"/>
                <w:b/>
                <w:color w:val="000000"/>
                <w:sz w:val="13"/>
              </w:rPr>
              <w:t>(1)(2)</w:t>
            </w:r>
          </w:p>
        </w:tc>
      </w:tr>
      <w:tr>
        <w:trPr/>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Non-Independent Directors:</w:t>
            </w:r>
          </w:p>
        </w:tc>
        <w:tc>
          <w:tcPr>
            <w:tcW w:w="2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2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Halli Razon-Feingold</w:t>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Independent Directors:</w:t>
            </w:r>
          </w:p>
        </w:tc>
        <w:tc>
          <w:tcPr>
            <w:tcW w:w="2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w:t>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Mulia</w:t>
            </w:r>
          </w:p>
        </w:tc>
        <w:tc>
          <w:tcPr>
            <w:tcW w:w="2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w:t>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Fernando Perez-Hickman</w:t>
            </w:r>
          </w:p>
        </w:tc>
        <w:tc>
          <w:tcPr>
            <w:tcW w:w="2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200" w:after="283"/>
        <w:ind w:left="0" w:right="0" w:hanging="480"/>
        <w:jc w:val="left"/>
        <w:rPr/>
      </w:pPr>
      <w:r>
        <w:rPr>
          <w:rFonts w:ascii="Times New Roman;sans-serif" w:hAnsi="Times New Roman;sans-serif"/>
          <w:b w:val="false"/>
          <w:color w:val="000000"/>
          <w:sz w:val="12"/>
        </w:rPr>
        <w:t>(1) </w:t>
      </w:r>
      <w:r>
        <w:rPr>
          <w:color w:val="000000"/>
        </w:rPr>
        <w:t>     </w:t>
      </w:r>
      <w:r>
        <w:rPr>
          <w:rFonts w:ascii="Times New Roman;sans-serif" w:hAnsi="Times New Roman;sans-serif"/>
          <w:b w:val="false"/>
          <w:color w:val="000000"/>
          <w:sz w:val="18"/>
        </w:rPr>
        <w:t>Dollar ranges are as follows: None, $1 – $10,000, $10,001 – $50,000, $50,001 – $100,000, or Over $100,000.</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(2) </w:t>
      </w:r>
      <w:r>
        <w:rPr>
          <w:color w:val="000000"/>
        </w:rPr>
        <w:t>     </w:t>
      </w:r>
      <w:r>
        <w:rPr>
          <w:rFonts w:ascii="Times New Roman;sans-serif" w:hAnsi="Times New Roman;sans-serif"/>
          <w:b w:val="false"/>
          <w:color w:val="000000"/>
          <w:sz w:val="18"/>
        </w:rPr>
        <w:t>The dollar range of equity securities beneficially owned is based on the closing price for our Common Shares of $10.97 on April 18, 2024 on the Nasdaq Global Market. Beneficial ownership has been determined in accordance with Rule 13d-3 of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tbl>
      <w:tblPr>
        <w:tblW w:w="4155" w:type="dxa"/>
        <w:jc w:val="left"/>
        <w:tblInd w:w="0" w:type="dxa"/>
        <w:tblLayout w:type="fixed"/>
        <w:tblCellMar>
          <w:top w:w="28" w:type="dxa"/>
          <w:left w:w="28" w:type="dxa"/>
          <w:bottom w:w="28" w:type="dxa"/>
          <w:right w:w="28" w:type="dxa"/>
        </w:tblCellMar>
      </w:tblPr>
      <w:tblGrid>
        <w:gridCol w:w="1329"/>
        <w:gridCol w:w="1168"/>
        <w:gridCol w:w="1658"/>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PROPOSAL I — ELECTION OF DIRECTORS</w:t>
            </w:r>
          </w:p>
        </w:tc>
      </w:tr>
    </w:tbl>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 and Peter Downs have been nominated for re-election for terms expiring in 2027. Messrs. Sloane and Downs are not being nominated as directors for election pursuant to any agreements or understandings between the Company and each of Messrs. Sloane and Downs. Messrs. Sloane and Downs have indicated their willingness to continue to serve if elected and have consented to be named as nominees. Messrs. Sloane and Downs are not “independent directors” of the Company as defined in Nasdaq listing rules.</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 xml:space="preserve">A shareholder can vote for or withhold his or her vote for the nominees. </w:t>
      </w:r>
      <w:r>
        <w:rPr>
          <w:rFonts w:ascii="Times New Roman;sans-serif" w:hAnsi="Times New Roman;sans-serif"/>
          <w:b/>
          <w:color w:val="000000"/>
          <w:sz w:val="20"/>
        </w:rPr>
        <w:t xml:space="preserve">In the absence of instructions to the contrary, it is the intention of the 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Times New Roman;sans-serif" w:hAnsi="Times New Roman;sans-serif"/>
          <w:b w:val="false"/>
          <w:color w:val="000000"/>
          <w:sz w:val="20"/>
        </w:rPr>
        <w:t>Our Board of Directors has no reason to believe that the nominees will be unable or unwilling to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 nominees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cast, an abstention will have no effect on the outcome of the vote and, therefore, is not offered as a voting option for this proposal. Common Shares represented by broker non-votes are not considered votes cast, and thus have no effect on this proposal.</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Information about the Directors and Executive Officers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as of April 26, 2024, regarding Messrs. Sloane and Downs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pStyle w:val="TextBody"/>
        <w:bidi w:val="0"/>
        <w:spacing w:lineRule="auto" w:line="288" w:before="160" w:after="283"/>
        <w:ind w:left="0" w:right="0" w:hanging="48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The business addresses of the director nominees and the other directors are c/o NewtekOne, Inc., 4800 T-Rex Avenue, Suite 120, Boca Raton, FL 33431.</w:t>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Nominees for Class I Directors — Terms Expiring 2027</w:t>
      </w:r>
    </w:p>
    <w:tbl>
      <w:tblPr>
        <w:tblW w:w="10205" w:type="dxa"/>
        <w:jc w:val="left"/>
        <w:tblInd w:w="0" w:type="dxa"/>
        <w:tblLayout w:type="fixed"/>
        <w:tblCellMar>
          <w:top w:w="28" w:type="dxa"/>
          <w:left w:w="28" w:type="dxa"/>
          <w:bottom w:w="28" w:type="dxa"/>
          <w:right w:w="28" w:type="dxa"/>
        </w:tblCellMar>
      </w:tblPr>
      <w:tblGrid>
        <w:gridCol w:w="1048"/>
        <w:gridCol w:w="513"/>
        <w:gridCol w:w="516"/>
        <w:gridCol w:w="109"/>
        <w:gridCol w:w="109"/>
        <w:gridCol w:w="109"/>
        <w:gridCol w:w="487"/>
        <w:gridCol w:w="435"/>
        <w:gridCol w:w="437"/>
        <w:gridCol w:w="109"/>
        <w:gridCol w:w="109"/>
        <w:gridCol w:w="109"/>
        <w:gridCol w:w="555"/>
        <w:gridCol w:w="464"/>
        <w:gridCol w:w="466"/>
        <w:gridCol w:w="109"/>
        <w:gridCol w:w="109"/>
        <w:gridCol w:w="109"/>
        <w:gridCol w:w="866"/>
        <w:gridCol w:w="854"/>
        <w:gridCol w:w="856"/>
        <w:gridCol w:w="109"/>
        <w:gridCol w:w="109"/>
        <w:gridCol w:w="109"/>
        <w:gridCol w:w="408"/>
        <w:gridCol w:w="408"/>
        <w:gridCol w:w="584"/>
      </w:tblGrid>
      <w:tr>
        <w:trPr/>
        <w:tc>
          <w:tcPr>
            <w:tcW w:w="104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Name, Address, and 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Position(s) </w:t>
              <w:br/>
              <w:t xml:space="preserve">Held with the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Term of Office </w:t>
              <w:br/>
              <w:t xml:space="preserve">and Length of </w:t>
              <w:br/>
              <w:t>Time Served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Principal </w:t>
              <w:br/>
              <w:t xml:space="preserve">Occupation(s) During </w:t>
              <w:br/>
              <w:t>Past 5 Years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w:t>
              <w:br/>
              <w:t xml:space="preserve">Directorships </w:t>
              <w:br/>
              <w:t xml:space="preserve">Held by Director or Nominee for </w:t>
              <w:br/>
              <w:t xml:space="preserve">Director During </w:t>
              <w:br/>
              <w:t>Past 5 Years</w:t>
            </w:r>
          </w:p>
        </w:tc>
      </w:tr>
      <w:tr>
        <w:trPr/>
        <w:tc>
          <w:tcPr>
            <w:tcW w:w="2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Messrs. Sloane and Downs are not Independent Directors as defined by Nasdaq listing rules.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 64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Chief Executive Officer and President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since 1999 and Class I Director since 2014; Term expires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 of the Company; Chief Executive Officer of Newtek Bank, N.A. and the Company’s non-bank subsidiaries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 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Lending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 Director since 2014; Term expires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Lending Officer of the Company and Newtek Bank, N.A.; President of Newtek Small Business Finance,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i/>
          <w:color w:val="000000"/>
          <w:sz w:val="20"/>
        </w:rPr>
        <w:t>Mr. Sloane</w:t>
      </w:r>
      <w:r>
        <w:rPr>
          <w:color w:val="000000"/>
        </w:rPr>
        <w:t xml:space="preserve"> </w:t>
      </w:r>
      <w:r>
        <w:rPr>
          <w:rFonts w:ascii="Times New Roman;sans-serif" w:hAnsi="Times New Roman;sans-serif"/>
          <w:b w:val="false"/>
          <w:color w:val="000000"/>
          <w:sz w:val="20"/>
        </w:rPr>
        <w:t xml:space="preserve">has served as our Chairman and Chief Executive Officer since 1999, as our President since 2008 and Chairman and Chief Executive Officer of our bank subsidiary, Newtek Bank, N.A. (“Newtek Bank”) since January 2023. Mr. Sloane founded the Company in 1998 and is an executive officer of each of the Company’s subsidiaries. From September 1993 through July 1995, Mr. Sloane was a Managing Director of Smith Barney, Inc., where he directed the Commercial and Residential Real Estate Securitization Unit, and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salesman and trader for Bear Stearns, L.F. Rothschild, E.F. Hutton and Paine Webber. Mr. Sloane’s broad business and financial experience and his knowledge of the Company’s businesses have been of great value to the other members of the Board and qualify him to serve on our Board of Directors and as the Chairman of our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Mr. Downs</w:t>
      </w:r>
      <w:r>
        <w:rPr>
          <w:color w:val="000000"/>
        </w:rPr>
        <w:t xml:space="preserve"> </w:t>
      </w:r>
      <w:r>
        <w:rPr>
          <w:rFonts w:ascii="Times New Roman;sans-serif" w:hAnsi="Times New Roman;sans-serif"/>
          <w:b w:val="false"/>
          <w:color w:val="000000"/>
          <w:sz w:val="20"/>
        </w:rPr>
        <w:t>is the Company’s and Newtek Bank’s Chief Lending Officer. Since 2003, Mr. Downs has been the President of Newtek Small Business Finance, LLC (“NSBF”), the Company’s wholly owned subsidiary, and a member of the NSBF board of directors. Mr. Downs became Chief Lending Officer of Newtek Bank and a member of the board of directors of Newtek Bank in January 2023. He has had primary responsibility for the development of the Company’s lending policies and procedures, portfolio and marketing. Prior to joining the Company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U.S. Small Business Administration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 Mr. Down’s history with the Company and extensive experience in the small business lending space, including SBA 7(a) lending, provides our Board of Directors with the valuable insight of an experienced lender.</w:t>
      </w:r>
    </w:p>
    <w:p>
      <w:pPr>
        <w:pStyle w:val="TextBody"/>
        <w:bidi w:val="0"/>
        <w:spacing w:lineRule="auto" w:line="288" w:before="24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Incumbent Class III Directors — Terms Expiring 2026</w:t>
      </w:r>
    </w:p>
    <w:tbl>
      <w:tblPr>
        <w:tblW w:w="10205" w:type="dxa"/>
        <w:jc w:val="left"/>
        <w:tblInd w:w="0" w:type="dxa"/>
        <w:tblLayout w:type="fixed"/>
        <w:tblCellMar>
          <w:top w:w="28" w:type="dxa"/>
          <w:left w:w="28" w:type="dxa"/>
          <w:bottom w:w="28" w:type="dxa"/>
          <w:right w:w="28" w:type="dxa"/>
        </w:tblCellMar>
      </w:tblPr>
      <w:tblGrid>
        <w:gridCol w:w="1234"/>
        <w:gridCol w:w="728"/>
        <w:gridCol w:w="733"/>
        <w:gridCol w:w="109"/>
        <w:gridCol w:w="109"/>
        <w:gridCol w:w="109"/>
        <w:gridCol w:w="316"/>
        <w:gridCol w:w="316"/>
        <w:gridCol w:w="317"/>
        <w:gridCol w:w="109"/>
        <w:gridCol w:w="109"/>
        <w:gridCol w:w="109"/>
        <w:gridCol w:w="579"/>
        <w:gridCol w:w="500"/>
        <w:gridCol w:w="503"/>
        <w:gridCol w:w="109"/>
        <w:gridCol w:w="109"/>
        <w:gridCol w:w="109"/>
        <w:gridCol w:w="415"/>
        <w:gridCol w:w="415"/>
        <w:gridCol w:w="416"/>
        <w:gridCol w:w="109"/>
        <w:gridCol w:w="109"/>
        <w:gridCol w:w="109"/>
        <w:gridCol w:w="708"/>
        <w:gridCol w:w="708"/>
        <w:gridCol w:w="1009"/>
      </w:tblGrid>
      <w:tr>
        <w:trPr/>
        <w:tc>
          <w:tcPr>
            <w:tcW w:w="123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Name, Address, and 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Position(s) </w:t>
              <w:br/>
              <w:t xml:space="preserve">Held with the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Term of Office </w:t>
              <w:br/>
              <w:t xml:space="preserve">and Length of </w:t>
              <w:br/>
              <w:t>Time Served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Principal </w:t>
              <w:br/>
              <w:t xml:space="preserve">Occupation(s) During </w:t>
              <w:br/>
              <w:t>Past 5 Years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w:t>
              <w:br/>
              <w:t xml:space="preserve">Directorships </w:t>
              <w:br/>
              <w:t xml:space="preserve">Held by Director or Nominee for </w:t>
              <w:br/>
              <w:t xml:space="preserve">Director During </w:t>
              <w:br/>
              <w:t>Past 5 Years</w:t>
            </w:r>
          </w:p>
        </w:tc>
      </w:tr>
      <w:tr>
        <w:trPr/>
        <w:tc>
          <w:tcPr>
            <w:tcW w:w="2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Messrs. Salute and Mulia are Independent Directors as defined by Nasdaq listing rules.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 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III Director since 2015; Term expires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Near Intelligence, Inc., September 2023 though March 27, 2024.</w:t>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Mulia, 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since 2004 and Class III </w:t>
              <w:br/>
              <w:t xml:space="preserve">Director since 2014; </w:t>
              <w:br/>
              <w:t>Term expires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i/>
          <w:color w:val="000000"/>
          <w:sz w:val="20"/>
        </w:rPr>
        <w:t>Mr. Salute</w:t>
      </w:r>
      <w:r>
        <w:rPr>
          <w:color w:val="000000"/>
        </w:rPr>
        <w:t xml:space="preserve"> </w:t>
      </w:r>
      <w:r>
        <w:rPr>
          <w:rFonts w:ascii="Times New Roman;sans-serif" w:hAnsi="Times New Roman;sans-serif"/>
          <w:b w:val="false"/>
          <w:color w:val="000000"/>
          <w:sz w:val="20"/>
        </w:rPr>
        <w:t xml:space="preserve">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also serves as a director of Newtek Bank. Mr. Salute served as a director and a member of the audit committee of Near Intelligence, Inc., a global data intelligence platform, from September 2023 through March 27, 2024. Mr. Salute also served as a director of Walker Innovation Inc. from 2015 through 2018. Mr. Salute is a graduate of Adelphi University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American Institute of Certified Public Accountants and the New York State Society of Certified Public Accountants. Mr. Salute has more than 39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pStyle w:val="TextBody"/>
        <w:bidi w:val="0"/>
        <w:spacing w:lineRule="auto" w:line="288" w:before="160" w:after="120"/>
        <w:jc w:val="left"/>
        <w:rPr/>
      </w:pPr>
      <w:r>
        <w:rPr>
          <w:rFonts w:ascii="Times New Roman;sans-serif" w:hAnsi="Times New Roman;sans-serif"/>
          <w:b/>
          <w:i/>
          <w:color w:val="000000"/>
          <w:sz w:val="20"/>
        </w:rPr>
        <w:t>Mr. Mulia</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prior to his retirement in 2017, was a financial advisor and principal at RTM Financial Services, Westport, CT, a firm he founded with his wife. 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From 1980 to 1993, Mr. Mulia held senior management positions within General Electric’s Financial Services Division, GE Capital Corporation (“GECC”), and was responsible for developing new products and business initiatives in financial services. In addition, during his tenure at GECC, Mr. Mulia was a principal in GEVEST, GECC’s investment banking unit, where he headed syndication and led acquisition teams which acquired leasing companies including TransAmerica Leasing, Chase Manhattan’s leasing subsidiary and LeaseAmerica. Mr. Mulia also serves as a director of Newtek Bank. 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Incumbent Class II Directors — Terms Expiring 2025</w:t>
      </w:r>
    </w:p>
    <w:tbl>
      <w:tblPr>
        <w:tblW w:w="10205" w:type="dxa"/>
        <w:jc w:val="left"/>
        <w:tblInd w:w="0" w:type="dxa"/>
        <w:tblLayout w:type="fixed"/>
        <w:tblCellMar>
          <w:top w:w="28" w:type="dxa"/>
          <w:left w:w="28" w:type="dxa"/>
          <w:bottom w:w="28" w:type="dxa"/>
          <w:right w:w="28" w:type="dxa"/>
        </w:tblCellMar>
      </w:tblPr>
      <w:tblGrid>
        <w:gridCol w:w="1073"/>
        <w:gridCol w:w="629"/>
        <w:gridCol w:w="433"/>
        <w:gridCol w:w="109"/>
        <w:gridCol w:w="109"/>
        <w:gridCol w:w="109"/>
        <w:gridCol w:w="624"/>
        <w:gridCol w:w="624"/>
        <w:gridCol w:w="630"/>
        <w:gridCol w:w="109"/>
        <w:gridCol w:w="109"/>
        <w:gridCol w:w="109"/>
        <w:gridCol w:w="430"/>
        <w:gridCol w:w="335"/>
        <w:gridCol w:w="337"/>
        <w:gridCol w:w="109"/>
        <w:gridCol w:w="109"/>
        <w:gridCol w:w="109"/>
        <w:gridCol w:w="1037"/>
        <w:gridCol w:w="700"/>
        <w:gridCol w:w="702"/>
        <w:gridCol w:w="109"/>
        <w:gridCol w:w="109"/>
        <w:gridCol w:w="109"/>
        <w:gridCol w:w="390"/>
        <w:gridCol w:w="390"/>
        <w:gridCol w:w="563"/>
      </w:tblGrid>
      <w:tr>
        <w:trPr/>
        <w:tc>
          <w:tcPr>
            <w:tcW w:w="107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Name, Address, and 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Position(s) </w:t>
              <w:br/>
              <w:t xml:space="preserve">Held with the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Term of Office </w:t>
              <w:br/>
              <w:t xml:space="preserve">and Length of </w:t>
              <w:br/>
              <w:t>Time Served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Principal </w:t>
              <w:br/>
              <w:t xml:space="preserve">Occupation(s) During </w:t>
              <w:br/>
              <w:t>Past 5 Years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w:t>
              <w:br/>
              <w:t xml:space="preserve">Directorships </w:t>
              <w:br/>
              <w:t xml:space="preserve">Held by Director or Nominee for </w:t>
              <w:br/>
              <w:t xml:space="preserve">Director During </w:t>
              <w:br/>
              <w:t>Past 5 Years</w:t>
            </w:r>
          </w:p>
        </w:tc>
      </w:tr>
      <w:tr>
        <w:trPr/>
        <w:tc>
          <w:tcPr>
            <w:tcW w:w="2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Messrs. Zink and Perez-Hickman are Independent Directors as defined by Nasdaq listing rules.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 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since 2017; term expires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at Newport LLC since 2021; Managing partner, Lowell Group, LLC, 1988-2021.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Fernando Perez-Hickman, 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since 2021; term expires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Azora Exan; Vice Chairman, Director of Corporate Strategy and member of IBERIABANK’s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Planning Group Committee from 2017-2020.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Mrs. Razon-Feingold is not an Independent Director as defined by Nasdaq listing rules.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Halli Razon-Feingold, 35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Administrative Officer and Senior Vice President, Human Resources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since 2021; term expires in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Administrative Officer of the Company since July 2016, and Senior Vice President, Human Resources of the Company since July 2019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60" w:after="283"/>
        <w:jc w:val="left"/>
        <w:rPr/>
      </w:pPr>
      <w:r>
        <w:rPr>
          <w:rFonts w:ascii="Times New Roman;sans-serif" w:hAnsi="Times New Roman;sans-serif"/>
          <w:b/>
          <w:i/>
          <w:color w:val="000000"/>
          <w:sz w:val="20"/>
        </w:rPr>
        <w:t xml:space="preserve">Mr. Zink </w:t>
      </w:r>
      <w:r>
        <w:rPr>
          <w:rFonts w:ascii="Times New Roman;sans-serif" w:hAnsi="Times New Roman;sans-serif"/>
          <w:b w:val="false"/>
          <w:color w:val="000000"/>
          <w:sz w:val="20"/>
        </w:rPr>
        <w:t>has served as an independent director of the Company since 2017. Mr. Zink is a Partner at Newport LLC, a national strategic advisory firm that specializes in helping owners and CEOs of privately held, growth stage companies accelerate growth and significantly improve the value of their businesses. From 1998 to 2021, Mr. Zink was the principal of the Lowell Group, LLC, a management consulting firm which provided strategic, operational, marketing and financial consulting assistance to start-up, small and medium size businesses. From 1988 through 2019, Mr. Zink served as the Chief Executive Officer, Chief Financial Officer and Director of NGJ Brand Solutions, a distributor of commercial fitness equipment and health and wellness solutions provider in Japan. Mr. Zink was also previously employed by Newtek as an Executive Vice President from 2000-2005, Touche Ross/Deloitte Consulting, AT&amp;T, and is a graduate of the General Electric Financial Management Program. Mr. Zink has an MBA from the Wharton School of the University of Pennsylvania. Mr. Zink also serves as a director of Newtek Bank. Mr. Zink’s professional experience provides a significant addition to the Board of Directors. Mr. Zink’s many years of experience providing consulting and financial advice to small and medium sized businesses, provides a significant addition to the Board of Directors.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Mr. Perez-Hickman</w:t>
      </w:r>
      <w:r>
        <w:rPr>
          <w:color w:val="000000"/>
        </w:rPr>
        <w:t xml:space="preserve"> </w:t>
      </w:r>
      <w:r>
        <w:rPr>
          <w:rFonts w:ascii="Times New Roman;sans-serif" w:hAnsi="Times New Roman;sans-serif"/>
          <w:b w:val="false"/>
          <w:color w:val="000000"/>
          <w:sz w:val="20"/>
        </w:rPr>
        <w:t xml:space="preserve">has served as an independent director of the Company since 2021. Mr. Perez-Hickman is a Managing Partner at Azora Capital, a Madrid-based European based private equity firm, and its U.S. affiliate Azora Exan, based in Miami, Florida. Mr. Perez-Hickman served as Vice Chairman, Director of Corporate Strategy and member of IBERIABANK’s Planning Group Committee from 2007 until its merger with First Horizon Bank in July 2020. At IBERIABANK, he was responsible for corporate strategy and mergers and acquisitions, supervising the Consumer and Retail Banking Division, reporting to the CEO. From 2007 to 2017, Mr. Perez-Hickman served as Executive Chairman of the Board of Sabadell United Bank and Managing Director of Santander Private Banking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Mr. Perez-Hickman also serves as a director of Newtek Bank. Mr. Perez-Hickman’s broad experience as a highly successful and experienced executive with a proven track record in management, mergers and acquisitions and value creation at financial services businesses in the United States, Spain and international markets, provides a significant addition to the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Mrs. Razon-Feingold</w:t>
      </w:r>
      <w:r>
        <w:rPr>
          <w:color w:val="000000"/>
        </w:rPr>
        <w:t xml:space="preserve"> </w:t>
      </w:r>
      <w:r>
        <w:rPr>
          <w:rFonts w:ascii="Times New Roman;sans-serif" w:hAnsi="Times New Roman;sans-serif"/>
          <w:b w:val="false"/>
          <w:color w:val="000000"/>
          <w:sz w:val="20"/>
        </w:rPr>
        <w:t>has served as a non-independent director of the Company since 2021. Mrs. Razon-Feinghold has served as the Company’s Chief Administrative Officer since July 2016 and as Senior Vice President of Human Resources for the Company since July 2019. Mrs. Razon-Feingold’s tenure at the Company spans over eleven years, with her current principal responsibilities centered on managing the Executive department and all areas of Human Resources for the Company and all of its subsidiaries. Mrs. Razon-Feingold holds a master’s degree in Industrial/Organizational Psychology from CUNY Baruch College and a bachelor’s degree in Psychology from Hofstra University. Mrs. Razon-Feingold’s long experience with the Company provides a significant addition to the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 Qualifications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the nominees and incumbent directors collectively exhibit the diversity and depth and breadth of experience necessary to contribute to an engaged board that is capable of effectively and thoughtfully overseeing the Company’s management. The two nominees are incumbent directors and executive officers of the Company. Each incumbent director was elected as a director at either our 2022 or 2023 Annual Meeting of Stockholders. No nominee has a family relationship to any other director or executive officer. The skills and experience categories highlighted in the table below have been identified by our Board as relevant to advancing the Board’s role and responsibilities, and are generally considered in the Board of Director Compensation, Corporate Governance and Nominating Committee’s (the “Nominating Committee”) process of identifying and reviewing director candidates.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7"/>
        <w:gridCol w:w="1333"/>
        <w:gridCol w:w="1342"/>
        <w:gridCol w:w="220"/>
        <w:gridCol w:w="220"/>
        <w:gridCol w:w="221"/>
        <w:gridCol w:w="220"/>
        <w:gridCol w:w="220"/>
        <w:gridCol w:w="221"/>
        <w:gridCol w:w="205"/>
        <w:gridCol w:w="205"/>
        <w:gridCol w:w="206"/>
        <w:gridCol w:w="200"/>
        <w:gridCol w:w="200"/>
        <w:gridCol w:w="201"/>
        <w:gridCol w:w="445"/>
        <w:gridCol w:w="445"/>
        <w:gridCol w:w="446"/>
        <w:gridCol w:w="165"/>
        <w:gridCol w:w="165"/>
        <w:gridCol w:w="166"/>
        <w:gridCol w:w="431"/>
        <w:gridCol w:w="431"/>
        <w:gridCol w:w="610"/>
      </w:tblGrid>
      <w:tr>
        <w:trPr/>
        <w:tc>
          <w:tcPr>
            <w:tcW w:w="168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Sloane</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Downs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Salute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Mulia</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Perez-Hickman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Zink</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Razon-Feingold</w:t>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Skills and Experience</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Finance</w:t>
            </w:r>
            <w:r>
              <w:rPr>
                <w:color w:val="000000"/>
              </w:rPr>
              <w:t xml:space="preserve"> </w:t>
            </w:r>
            <w:r>
              <w:rPr>
                <w:rFonts w:ascii="Times New Roman;sans-serif" w:hAnsi="Times New Roman;sans-serif"/>
                <w:b w:val="false"/>
                <w:color w:val="000000"/>
                <w:sz w:val="20"/>
              </w:rPr>
              <w:t>- experience in understanding and overseeing financial reporting and internal controls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Leadership </w:t>
            </w:r>
            <w:r>
              <w:rPr>
                <w:rFonts w:ascii="Times New Roman;sans-serif" w:hAnsi="Times New Roman;sans-serif"/>
                <w:b w:val="false"/>
                <w:color w:val="000000"/>
                <w:sz w:val="20"/>
              </w:rPr>
              <w:t>- overseeing a company or a significant business unit giving him/her leadership qualities and the ability to identify and develop those qualities in others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Technology </w:t>
            </w:r>
            <w:r>
              <w:rPr>
                <w:rFonts w:ascii="Times New Roman;sans-serif" w:hAnsi="Times New Roman;sans-serif"/>
                <w:b w:val="false"/>
                <w:color w:val="000000"/>
                <w:sz w:val="20"/>
              </w:rPr>
              <w:t>- experience with companies that used or developed technology to improve quality and innovate products and services to increase client satisfaction; experience in mitigating and managing cybersecurity risks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Governance </w:t>
            </w:r>
            <w:r>
              <w:rPr>
                <w:rFonts w:ascii="Times New Roman;sans-serif" w:hAnsi="Times New Roman;sans-serif"/>
                <w:b w:val="false"/>
                <w:color w:val="000000"/>
                <w:sz w:val="20"/>
              </w:rPr>
              <w:t>- knowledge or expertise in current corporate governance trends and practices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Risk</w:t>
            </w:r>
            <w:r>
              <w:rPr>
                <w:color w:val="000000"/>
              </w:rPr>
              <w:t xml:space="preserve"> </w:t>
            </w:r>
            <w:r>
              <w:rPr>
                <w:rFonts w:ascii="Times New Roman;sans-serif" w:hAnsi="Times New Roman;sans-serif"/>
                <w:b w:val="false"/>
                <w:color w:val="000000"/>
                <w:sz w:val="20"/>
              </w:rPr>
              <w:t>- knowledge or expertise with respect to risk management processes across a large organization in a regulated industry</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Financial Services</w:t>
            </w:r>
            <w:r>
              <w:rPr>
                <w:color w:val="000000"/>
              </w:rPr>
              <w:t xml:space="preserve"> </w:t>
            </w:r>
            <w:r>
              <w:rPr>
                <w:rFonts w:ascii="Times New Roman;sans-serif" w:hAnsi="Times New Roman;sans-serif"/>
                <w:b w:val="false"/>
                <w:color w:val="000000"/>
                <w:sz w:val="20"/>
              </w:rPr>
              <w:t>Experience - experience within or leading a financial services company</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240" w:after="283"/>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2021, the SEC approved Nasdaq Listing Rule 5606, which requires each Nasdaq-listed company to annually disclose information on the voluntary self-identified gender, racial characteristics, and LGBTQ+ status of the company’s board of directors. The requirement is intended to make consistent and comparable statistics widely available to investors regarding the number of diverse directors serving on a Nasdaq-listed company’s board. In compliance with Nasdaq Rule 5606, the Company is including the following Board Diversity Matrix for the Company as of April 26,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BOARD DIVERSITY MATRIX</w:t>
      </w:r>
    </w:p>
    <w:tbl>
      <w:tblPr>
        <w:tblW w:w="7291" w:type="dxa"/>
        <w:jc w:val="left"/>
        <w:tblInd w:w="0" w:type="dxa"/>
        <w:tblLayout w:type="fixed"/>
        <w:tblCellMar>
          <w:top w:w="28" w:type="dxa"/>
          <w:left w:w="28" w:type="dxa"/>
          <w:bottom w:w="28" w:type="dxa"/>
          <w:right w:w="28" w:type="dxa"/>
        </w:tblCellMar>
      </w:tblPr>
      <w:tblGrid>
        <w:gridCol w:w="1190"/>
        <w:gridCol w:w="1043"/>
        <w:gridCol w:w="1051"/>
        <w:gridCol w:w="205"/>
        <w:gridCol w:w="205"/>
        <w:gridCol w:w="206"/>
        <w:gridCol w:w="155"/>
        <w:gridCol w:w="155"/>
        <w:gridCol w:w="156"/>
        <w:gridCol w:w="320"/>
        <w:gridCol w:w="320"/>
        <w:gridCol w:w="321"/>
        <w:gridCol w:w="574"/>
        <w:gridCol w:w="574"/>
        <w:gridCol w:w="816"/>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Number of Directors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Non-Binary</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Did Not Disclose Gender</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Alaskan Native or American Indian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Hispanic or Latinx</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Native Hawaiian or Pacific Islander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or More Races or Ethnicities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Did Not Disclose Demographic Background</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Board of Directors and Board of Directors Meetings</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The Company’s Board of Directors and management are committed to responsible corporate governance to ensure that the Company is managed for the long-term benefit of its shareholders. To that end, the Board of Directors and executive committee, comprised of the Company’s named executive officers (the “Executive Committee”), periodically review and update, as appropriate, the Company’s corporate governance policies and practices. In doing so, the Board of Directors and Executive Committee review published guidelines and recommendations of institutional shareholder organizations and current best practices of similarly situated public companies. The Board of Directors and Executive Committee also regularly evaluate and, when appropriate, revise the Company’s corporate governance policies and practices in accordance with the requirements of the Sarbanes-Oxley Act of 2002 and the rules issued by the SEC and rules and listing standards issued by The Nasdaq</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20"/>
        </w:rPr>
        <w:t>Stock Market, Inc. (“Nasdaq”) where the Company’s Common Shares are listed and traded.</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December 31, 2023, the Board of Directors held a total of 17 meetings, the Audit Committee held 11 meetings, the Nominating Committee held 6 meetings and the Risk Committee held 3 meetings. Each of the incumbent directors attended at least 75% of the aggregate of the Board of Directors meetings and meetings of the committee(s) on which he or she served held during the last fiscal year. All members of the Board of Directors make a diligent effort to attend all Board and committee meetings, as well as the Annual Meeting of Shareholders. In 2023, all members of the Board of Directors attended the Annual Meeting of Shareholders.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Governance Policies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adopted corporate governance policies which are available at the Company’s Investor Relations page of www.newtekone.com (http://investor.newtekbusinessservices.com/corporate-governance.cfm).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 xml:space="preserve">The Board of Directors currently has three standing committees: the Audit Committee, the Nominating Committee and the Risk Committee. Each member of the Audit Committee and the Nominating Committee is independent as defined by applicable Nasdaq and SEC rules. The Risk Committee is comprised of both independent directors and directors who are members of Company management. A brief description of each committee is included in this Proxy Statement and each of the committees has a written charter approved by the Board of Directors, which is available on the Investor Relations page of our website at </w:t>
      </w:r>
      <w:r>
        <w:rPr>
          <w:rFonts w:ascii="Times New Roman;sans-serif" w:hAnsi="Times New Roman;sans-serif"/>
          <w:b w:val="false"/>
          <w:i/>
          <w:color w:val="000000"/>
          <w:sz w:val="20"/>
        </w:rPr>
        <w:t>www.newtekone.com</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http://investor.newtekbusinessservices.com/corporate-governance.cfm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480"/>
        <w:jc w:val="left"/>
        <w:rPr/>
      </w:pPr>
      <w:r>
        <w:rPr>
          <w:rFonts w:ascii="Times New Roman;sans-serif" w:hAnsi="Times New Roman;sans-serif"/>
          <w:b/>
          <w:i/>
          <w:color w:val="000000"/>
          <w:sz w:val="20"/>
        </w:rPr>
        <w:t>Audit Committee.</w:t>
      </w:r>
      <w:r>
        <w:rPr>
          <w:color w:val="000000"/>
        </w:rPr>
        <w:t>    </w:t>
      </w:r>
      <w:r>
        <w:rPr>
          <w:rFonts w:ascii="Times New Roman;sans-serif" w:hAnsi="Times New Roman;sans-serif"/>
          <w:b w:val="false"/>
          <w:color w:val="000000"/>
          <w:sz w:val="20"/>
        </w:rPr>
        <w:t>The Board of Directors has established an Audit Committee in accordance with the Securities Exchange Act of 1934, as amended (the “Exchange Act”). The Audit Committee consists of Messrs. Salute, Mulia and Zink, each of whom is an “independent director” as defined in the Nasdaq listing standards,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audit policies. In addition, the Audit Committee has oversight of Newtek Bank’s internal audit function. The Board of Directors has determined that all members of the Audit Committee are “financially literate” as that term is defined by applicable Nasdaq and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480"/>
        <w:jc w:val="left"/>
        <w:rPr/>
      </w:pPr>
      <w:r>
        <w:rPr>
          <w:rFonts w:ascii="Times New Roman;sans-serif" w:hAnsi="Times New Roman;sans-serif"/>
          <w:b/>
          <w:i/>
          <w:color w:val="000000"/>
          <w:sz w:val="20"/>
        </w:rPr>
        <w:t>Compensation, Corporate Governance and Nominating Committee (the “Nominating Committee”).</w:t>
      </w:r>
      <w:r>
        <w:rPr>
          <w:color w:val="000000"/>
        </w:rPr>
        <w:t>    </w:t>
      </w:r>
      <w:r>
        <w:rPr>
          <w:rFonts w:ascii="Times New Roman;sans-serif" w:hAnsi="Times New Roman;sans-serif"/>
          <w:b w:val="false"/>
          <w:color w:val="000000"/>
          <w:sz w:val="20"/>
        </w:rPr>
        <w:t>The Board of Directors has established a Nominating Committee. The Nominating Committee consists of Messrs. Mulia, Salute and Zink, each of whom is an “independent director” as defined in the Nasdaq listing standards, and operates pursuant to its written charter. Mr. Mulia and Mr. Zink currently serve as Co-Chairs of the Nominating Committee. The Nominating Committee evaluates the compensation and benefits of the directors, officers and employees, recommends changes, and monitors and evaluates employee performance. The Nominating Committee is generally responsible for identifying corporate governance issues, creating corporate governance policies, identifying and recommending potential candidates for election to the Board of Directors, reviewing and approving conflicts of interest or related party transactions and reviewing executive and director compensation and performance.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seeks candidates who possess the background, skills, and expertise to make a significant contribution to the Board of Directors, the Company, and its shareholders. In considering possible candidates for election as a director, the Nominating Committee will take into account, in addition to such other factors as it deems relevant, the desirability of selecting candidates who:</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Are of the highest character and integrity;</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Are free of any conflict of interest;</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Are willing and able to devote sufficient time to the affairs of the Company;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Have the capacity and desire to represent the best interests of the shareholders.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has not adopted a formal policy with regard to the consideration of diversity in identifying director nominees. However, in determining whether to recommend a director nominee, the Nominating Committee considers and discusses diversity, among other factors, with a view toward the needs of the Board of Directors as a whole. The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Nominating Committee believes that the inclusion of diversity as one of many factors considered in selecting director nominees is consistent with the Nominating Committee’s goal of creating a Board of Directors that best serves the needs of the Company and the interest of its shareholders.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these factors and goals in mind, in September 2021, following the nominations by the Nominating Committee, the Board of Directors increased the number of directors constituting the entire Board of Directors from five to seven, and elected Mr. Perez-Hickman and Mrs. Razon-Feingold to the Board of Directors, further diversifying the Company’s Board of Directors and serving the needs of the Company and the interest of its shareholders.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Risk Committee. </w:t>
      </w:r>
      <w:r>
        <w:rPr>
          <w:rFonts w:ascii="Times New Roman;sans-serif" w:hAnsi="Times New Roman;sans-serif"/>
          <w:b w:val="false"/>
          <w:color w:val="000000"/>
          <w:sz w:val="20"/>
        </w:rPr>
        <w:t>The Board of Directors established a Risk Committee during 2023. The Company’s Risk Committee consists of Messrs. Salute and Perez-Hickman each of whom is an “independent director” as defined in the Nasdaq listing standards, and Messrs. Sloane and Downs, who are employee directors. The Risk Committee, with Mr. Perez-Hickman as its chair, operates pursuant to its written charter and assists the Board of Directors in its oversight of the Company’s long-term strategy development and implementation, exercise of fiduciary duties, and enterprise-wide risk-management framework, including the policies, procedures, strategies, and systems established to measure, mitigate, monitor and report major risks to the Company.</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Director Independence and Executive Sessions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Nasdaq listing standards and the Exchange Act require that a majority of the Board of Directors and every member of our Audit Committee and Nominating Committee are “independent.” Our Board of Directors reviews the independence of its members annually.</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determined that Messrs. Mulia, Zink, Salute and Perez-Hickman qualify as “independent” as defined by applicable Nasdaq and SEC rules. In making this determination, the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concluded that none of these members has a relationship which, in the opinion of the Board of Directors, would interfere with the exercise of independent judgment in carrying out the responsibilities of a director.</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Leadership Structure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The Board of Directors continues to believe that our leadership structure is appropriate since Mr. Sloane has over 30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our Board of Directors believes that its governance practices provide adequate safeguards against any potential risks that might be associated with having a combined Chairman and Chief Executive Officer. Specifically:</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four of our seven current directors are independent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all of the members of our Audit Committee and Nominating Committee are independent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Board of Directors and its committees regularly conduct scheduled, and as needed, meetings in executive session, out of the presence of Messrs. Sloane and Downs and Mrs. Razon-Feingold and other members of management;</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Board of Directors and its committees regularly conduct meetings which specifically include Messrs. Sloane and Downs and Mrs. Razon-Feingold;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Board of Directors and its committees remain in close contact with, and receive reports on various aspects of the Company’s management and enterprise risk directly from our senior management and independent auditors;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Board of Directors, including the independent directors, and its committees, interact with employees of the Company outside the ranks of senior management.</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appointed a lead independent director.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Board of Directors Risk Oversight</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all enterprise-wide risk categories relevant to the Company, including credit risk, market risk, liquidity risk, operational risk, compliance/regulatory risk, legal risk, strategic/reputational risk and any other material risk faced by the Company.</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each year, management and the Board of Directors jointly review major risks that the Company prioritizes in the following year. In 2023, the Board of Directors focused on the following areas of risk:</w:t>
      </w:r>
    </w:p>
    <w:p>
      <w:pPr>
        <w:pStyle w:val="TextBody"/>
        <w:bidi w:val="0"/>
        <w:spacing w:before="0" w:after="0"/>
        <w:jc w:val="left"/>
        <w:rPr/>
      </w:pPr>
      <w:r>
        <w:rPr/>
      </w:r>
    </w:p>
    <w:p>
      <w:pPr>
        <w:pStyle w:val="TextBody"/>
        <w:bidi w:val="0"/>
        <w:spacing w:lineRule="auto" w:line="268" w:before="0" w:after="0"/>
        <w:ind w:left="0" w:right="0" w:hanging="480"/>
        <w:jc w:val="left"/>
        <w:rPr>
          <w:color w:val="000000"/>
        </w:rPr>
      </w:pPr>
      <w:r>
        <w:rPr>
          <w:color w:val="000000"/>
        </w:rPr>
        <w:t>•        </w:t>
      </w:r>
      <w:r>
        <w:rPr>
          <w:rFonts w:ascii="Times New Roman;sans-serif" w:hAnsi="Times New Roman;sans-serif"/>
          <w:b w:val="false"/>
          <w:color w:val="000000"/>
          <w:sz w:val="20"/>
        </w:rPr>
        <w:t>determining NewtekOne’s long-term growth and strategic alternatives;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480"/>
        <w:jc w:val="left"/>
        <w:rPr>
          <w:color w:val="000000"/>
        </w:rPr>
      </w:pPr>
      <w:r>
        <w:rPr>
          <w:color w:val="000000"/>
        </w:rPr>
        <w:t>•        </w:t>
      </w:r>
      <w:r>
        <w:rPr>
          <w:rFonts w:ascii="Times New Roman;sans-serif" w:hAnsi="Times New Roman;sans-serif"/>
          <w:b w:val="false"/>
          <w:color w:val="000000"/>
          <w:sz w:val="20"/>
        </w:rPr>
        <w:t>the transition from being a business development company regulated under the Investment Company Act of 1940 (the “1940 Act”) to becoming and operating as a bank holding company electing financial holding company status;</w:t>
      </w:r>
    </w:p>
    <w:p>
      <w:pPr>
        <w:pStyle w:val="TextBody"/>
        <w:bidi w:val="0"/>
        <w:spacing w:before="0" w:after="0"/>
        <w:jc w:val="left"/>
        <w:rPr/>
      </w:pPr>
      <w:r>
        <w:rPr/>
      </w:r>
    </w:p>
    <w:p>
      <w:pPr>
        <w:pStyle w:val="TextBody"/>
        <w:bidi w:val="0"/>
        <w:spacing w:lineRule="auto" w:line="268" w:before="0" w:after="0"/>
        <w:ind w:left="0" w:right="0" w:hanging="480"/>
        <w:jc w:val="left"/>
        <w:rPr>
          <w:color w:val="000000"/>
        </w:rPr>
      </w:pPr>
      <w:r>
        <w:rPr>
          <w:color w:val="000000"/>
        </w:rPr>
        <w:t>•        </w:t>
      </w:r>
      <w:r>
        <w:rPr>
          <w:rFonts w:ascii="Times New Roman;sans-serif" w:hAnsi="Times New Roman;sans-serif"/>
          <w:b w:val="false"/>
          <w:color w:val="000000"/>
          <w:sz w:val="20"/>
        </w:rPr>
        <w:t>closing the acquisition of the National Bank of New York City (“NBNYC”) (renamed “Newtek Bank, N.A.”) in January 2023 and integrating Newtek Bank into the Company’s structure and operations;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strategic and operational planning, including the evaluation of the Company’s capital structure and long-term debt financing;</w:t>
      </w:r>
    </w:p>
    <w:p>
      <w:pPr>
        <w:pStyle w:val="TextBody"/>
        <w:bidi w:val="0"/>
        <w:spacing w:before="0" w:after="0"/>
        <w:jc w:val="left"/>
        <w:rPr/>
      </w:pPr>
      <w:r>
        <w:rPr/>
      </w:r>
    </w:p>
    <w:p>
      <w:pPr>
        <w:pStyle w:val="TextBody"/>
        <w:bidi w:val="0"/>
        <w:spacing w:lineRule="auto" w:line="276" w:before="0" w:after="0"/>
        <w:ind w:left="0" w:right="0" w:hanging="480"/>
        <w:jc w:val="left"/>
        <w:rPr>
          <w:color w:val="000000"/>
        </w:rPr>
      </w:pPr>
      <w:r>
        <w:rPr>
          <w:color w:val="000000"/>
        </w:rPr>
        <w:t>•       </w:t>
      </w:r>
      <w:r>
        <w:rPr>
          <w:rFonts w:ascii="Times New Roman;sans-serif" w:hAnsi="Times New Roman;sans-serif"/>
          <w:b w:val="false"/>
          <w:color w:val="000000"/>
          <w:sz w:val="20"/>
        </w:rPr>
        <w:t>overseeing the Executive Committee’s navigation of the Company through the volatility, uncertainty and unpredictability caused by the macroeconomic and other challenges and uncertainties related to the U.S. and global economies, including the impacts to financial markets and macroeconomic environments by higher inflation and higher interest rates; the Newtek Bank acquisition and conversion to a financial holding company;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legal and regulatory compliance.</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delegated responsibility for the oversight of specific risks to Board of Directors committees. The Audit Committee oversees risks associated with:</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the Company’s financial statements and financial reporting;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internal controls over financial reporting.</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considers the risks associated with:</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compensation policies and practices;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management resources, structure, succession planning and management development;</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overall governance practices and the structure and leadership of the Board of Directors;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related person transactions and the code of conduct for all employees, officers and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Risk Committee, which was formed during 2023, considers the risks associated with the Company’s enterprise-wide risk-management framework, including the policies, procedures, strategies, and systems established to measure, mitigate, monitor and report major risks to the Company, including:</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credit risk;</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market risk;</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 xml:space="preserve">liquidity risk; </w:t>
      </w:r>
    </w:p>
    <w:p>
      <w:pPr>
        <w:pStyle w:val="TextBody"/>
        <w:bidi w:val="0"/>
        <w:spacing w:lineRule="auto" w:line="288" w:before="160" w:after="283"/>
        <w:ind w:left="0" w:right="0" w:hanging="480"/>
        <w:jc w:val="left"/>
        <w:rPr>
          <w:color w:val="000000"/>
        </w:rPr>
      </w:pPr>
      <w:r>
        <w:rPr>
          <w:color w:val="000000"/>
        </w:rPr>
        <w:t xml:space="preserve">•  </w:t>
      </w:r>
      <w:r>
        <w:rPr>
          <w:rFonts w:ascii="Times New Roman;sans-serif" w:hAnsi="Times New Roman;sans-serif"/>
          <w:b w:val="false"/>
          <w:color w:val="000000"/>
          <w:sz w:val="20"/>
        </w:rPr>
        <w:t xml:space="preserve">operational risk, including cybersecurity and technology risk, </w:t>
      </w:r>
    </w:p>
    <w:p>
      <w:pPr>
        <w:pStyle w:val="TextBody"/>
        <w:bidi w:val="0"/>
        <w:spacing w:lineRule="auto" w:line="288" w:before="160" w:after="283"/>
        <w:ind w:left="0" w:right="0" w:hanging="480"/>
        <w:jc w:val="left"/>
        <w:rPr>
          <w:color w:val="000000"/>
        </w:rPr>
      </w:pPr>
      <w:r>
        <w:rPr>
          <w:color w:val="000000"/>
        </w:rPr>
        <w:t xml:space="preserve">•  </w:t>
      </w:r>
      <w:r>
        <w:rPr>
          <w:rFonts w:ascii="Times New Roman;sans-serif" w:hAnsi="Times New Roman;sans-serif"/>
          <w:b w:val="false"/>
          <w:color w:val="000000"/>
          <w:sz w:val="20"/>
        </w:rPr>
        <w:t>compliance/regulatory/legal risk;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strategic/reputational risk and any other material risk faced by the Company.</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Executive Committee is responsible for assessing and managing risk exposure and the Board of Directors, and committees of the Board of Directors provide the oversight consistent with those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Director Nominations</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considering whether to recommend any particular candidate for inclusion in the Board of Directors’ slate of recommended director nominees, the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Nominating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have a specific diversity policy, but considers diversity of race, gender, national origin, differences of viewpoint, professional experience, education, skill and other qualities in evaluating candidates for board membership. We believe diversity is important because a variety of viewpoints can help to contribute to an effective decision-making process.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may recommend individuals to the Nominating Committee for consideration as potential director candidates by submitting their names, together with appropriate biographical information and background materials. The recommendation should be sent to the Nominating Committee, c/o Michael A. Schwartz, Corporate Secretary, NewtekOne, Inc., 1981 Marcus Avenue, Suite 130, Lake Success, New York 11042. Assuming that appropriate biographical and background material has been provided on a timely basis, the Nominating Committee will evaluate shareholder-recommended candidates by following substantially the same process, and applying substantially the same criteria, as it follows for candidates recommended by our Board of Directors. If the Board of Directors determines to nominate a shareholder-recommended candidate and recommends his or her election, then his or her name will be included in the proposal for election for the next annual meeting.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also have the right under our Bylaws to nominate director candidates, without any action or recommendation on the part of the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Code of Business Conduct and Ethics and Insider Trading Policy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are committed to strong corporate governance. Our Board of Directors has adopted a Code of Business Conduct and Ethics (the “Code of Ethics”) and Insider Trading Policy that are applicable to all members of our Board, officers and employees and contractors. The Code of Ethics guides us in how we conduct our business and work with each other, and reflects our values, standards and expectations. Our Insider Trading Policy establishes procedures for personal investments and restricts certain personal securities transactions. Our current Code of Ethics and Insider Trading Policy are posted on the Investor Relations section of our website at </w:t>
      </w:r>
      <w:r>
        <w:rPr>
          <w:rFonts w:ascii="Times New Roman;sans-serif" w:hAnsi="Times New Roman;sans-serif"/>
          <w:b w:val="false"/>
          <w:i/>
          <w:color w:val="000000"/>
          <w:sz w:val="20"/>
        </w:rPr>
        <w:t>http://investor.newtekbusinessservices.com</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Hedging and Speculative Trading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adopted, as part of the Company’s Insider Trading Policy, a policy prohibiting covered persons, including our directors and executive officers, from hedging or pledging our securities, making short sales or trading in derivative securities related to our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written procedures in place for the review, approval and monitoring of transactions involving the Company and certain persons related to the Company. The Board of Directors, in consultation with the Nominating Committee, reviews all potential related party transactions on an ongoing basis, and all such transactions must be approved by the Board of Directors. The Board of Directors reviews such transactions on a case-by-case basis.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 the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Mr. Sloane’s nephew, Kyle Sloane, is employed by one of the Company’s subsidiaries, and earned in excess of $125,000 for the year ended December 31, 2023. Mrs. Razon-Feingold’s sister, Samantha Razon, is employed by one of the Company’s subsidiaries, and earned in excess of $125,000 for the year ended December 31, 2023. The foregoing compensation was reviewed by our Nominating Committee.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before="0" w:after="0"/>
        <w:jc w:val="left"/>
        <w:rPr/>
      </w:pPr>
      <w:r>
        <w:rPr/>
      </w:r>
    </w:p>
    <w:p>
      <w:pPr>
        <w:pStyle w:val="TextBody"/>
        <w:bidi w:val="0"/>
        <w:spacing w:lineRule="auto" w:line="26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adopted a plan for compensation of non-employee directors which gives effect to the time and effort required of each of them in the performance of their duties. For 2023, the Board of Directors provided for the payment of annual cash compensation in the amount of $125,000 for each non-employee director, with no additional fees for committee membership or chairmanship. In addition, pursuant to the terms of the Company’s 2023 Stock Incentive Plan (the “2023 Stock Plan”), which was approved by the Board of Directors in April 2023 and the Company’s shareholders on June 14, 2023, the maximum dollar value of shares of Common Stock for which a non-employee director may be awarded in any calendar year is fifty thousand dollars ($50,000). In July 2023, non-employee directors Salute, Mulia, Zink and Perez-Hickman were awarded $25,000 of shares of Restricted Stock at the beginning of their 2023 terms of service, which forfeiture restrictions will lapse after twelve months.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Directors do not receive any perquisites or other personal benefits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2023 Director Summary Compensation Table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cash, equity awards and other compensation earned, paid or awarded, as the case may be, to each of our current directors during the fiscal years ended December 31, 2023.</w:t>
      </w:r>
    </w:p>
    <w:tbl>
      <w:tblPr>
        <w:tblW w:w="10205" w:type="dxa"/>
        <w:jc w:val="left"/>
        <w:tblInd w:w="0" w:type="dxa"/>
        <w:tblLayout w:type="fixed"/>
        <w:tblCellMar>
          <w:top w:w="28" w:type="dxa"/>
          <w:left w:w="28" w:type="dxa"/>
          <w:bottom w:w="28" w:type="dxa"/>
          <w:right w:w="28" w:type="dxa"/>
        </w:tblCellMar>
      </w:tblPr>
      <w:tblGrid>
        <w:gridCol w:w="933"/>
        <w:gridCol w:w="772"/>
        <w:gridCol w:w="745"/>
        <w:gridCol w:w="109"/>
        <w:gridCol w:w="109"/>
        <w:gridCol w:w="109"/>
        <w:gridCol w:w="735"/>
        <w:gridCol w:w="656"/>
        <w:gridCol w:w="658"/>
        <w:gridCol w:w="109"/>
        <w:gridCol w:w="109"/>
        <w:gridCol w:w="109"/>
        <w:gridCol w:w="360"/>
        <w:gridCol w:w="361"/>
        <w:gridCol w:w="253"/>
        <w:gridCol w:w="109"/>
        <w:gridCol w:w="109"/>
        <w:gridCol w:w="109"/>
        <w:gridCol w:w="251"/>
        <w:gridCol w:w="251"/>
        <w:gridCol w:w="253"/>
        <w:gridCol w:w="109"/>
        <w:gridCol w:w="109"/>
        <w:gridCol w:w="109"/>
        <w:gridCol w:w="421"/>
        <w:gridCol w:w="421"/>
        <w:gridCol w:w="423"/>
        <w:gridCol w:w="109"/>
        <w:gridCol w:w="109"/>
        <w:gridCol w:w="109"/>
        <w:gridCol w:w="413"/>
        <w:gridCol w:w="413"/>
        <w:gridCol w:w="251"/>
      </w:tblGrid>
      <w:tr>
        <w:trPr/>
        <w:tc>
          <w:tcPr>
            <w:tcW w:w="9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Fees earned or Paid in Cash </w:t>
              <w:b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Stock </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Awards </w:t>
            </w:r>
          </w:p>
          <w:p>
            <w:pPr>
              <w:pStyle w:val="TableContents"/>
              <w:bidi w:val="0"/>
              <w:spacing w:lineRule="auto" w:line="288" w:before="0" w:after="0"/>
              <w:jc w:val="center"/>
              <w:rPr/>
            </w:pPr>
            <w:r>
              <w:rPr>
                <w:rFonts w:ascii="Times New Roman;sans-serif" w:hAnsi="Times New Roman;sans-serif"/>
                <w:b/>
                <w:color w:val="000000"/>
                <w:sz w:val="18"/>
              </w:rPr>
              <w:t>($)</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Option </w:t>
              <w:br/>
              <w:t xml:space="preserve">Awards </w:t>
              <w:b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All Other </w:t>
              <w:br/>
              <w:t xml:space="preserve">Compensation </w:t>
              <w:b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br/>
              <w:t>($)</w:t>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Independent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F. Mulia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Fernando Perez-Hickman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bidi w:val="0"/>
        <w:spacing w:lineRule="auto" w:line="288" w:before="120" w:after="283"/>
        <w:ind w:left="0" w:right="0" w:hanging="480"/>
        <w:jc w:val="left"/>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The values provided in this column represent the grant date fair value of the Restricted Stock Awards made to the non-employee directors, Messrs. Salute, Mulia, Zink and Perez-Hickman, as determined in accordance with the requirements of Financial Accounting Standards Board Accounting Standards Codification Topic 718 (“FASB ASC Topic 718”).</w:t>
      </w:r>
    </w:p>
    <w:p>
      <w:pPr>
        <w:pStyle w:val="TextBody"/>
        <w:bidi w:val="0"/>
        <w:spacing w:lineRule="auto" w:line="288" w:before="120" w:after="283"/>
        <w:ind w:left="0" w:right="0" w:hanging="480"/>
        <w:jc w:val="left"/>
        <w:rPr/>
      </w:pPr>
      <w:r>
        <w:rPr>
          <w:rFonts w:ascii="Times New Roman;sans-serif" w:hAnsi="Times New Roman;sans-serif"/>
          <w:b w:val="false"/>
          <w:color w:val="000000"/>
          <w:sz w:val="12"/>
        </w:rPr>
        <w:t>(2)  </w:t>
      </w:r>
      <w:r>
        <w:rPr>
          <w:color w:val="000000"/>
        </w:rPr>
        <w:t>   </w:t>
      </w:r>
      <w:r>
        <w:rPr>
          <w:rFonts w:ascii="Times New Roman;sans-serif" w:hAnsi="Times New Roman;sans-serif"/>
          <w:b w:val="false"/>
          <w:color w:val="000000"/>
          <w:sz w:val="18"/>
        </w:rPr>
        <w:t>The aggregate number of outstanding Restricted Stock Awards held as of December 31, 2023 by each of the non-employee directors, Messrs. Salute, Mulia, Zink and Perez-Hickman, was 2,901.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Chief Executive Officer Pay Ratio</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 xml:space="preserve">For fiscal year 2023, the median of the annual total compensation of all of our employees (other than Mr. Sloane, our Chief Executive Officer) was $92,742 and the annual total compensation of our Chief Executive Officer, as reported in the Summary Compensation Table, </w:t>
      </w:r>
      <w:r>
        <w:rPr>
          <w:rFonts w:ascii="Times New Roman;sans-serif" w:hAnsi="Times New Roman;sans-serif"/>
          <w:b w:val="false"/>
          <w:color w:val="000000"/>
          <w:sz w:val="20"/>
          <w:shd w:fill="FFFFFF" w:val="clear"/>
        </w:rPr>
        <w:t>was $700,000. Based on this information, our Chief Executive Officer’s 2023 annual total compensation was approximately 7.5 times that of the median of the 2023 annual total compensation of all of our employees.</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shd w:fill="FFFFFF" w:val="clear"/>
        </w:rPr>
        <w:t>We selected December 31, 2023 as the date used to identify our “median employee” whose annual total compensation was the median of the annual total compensation of all our and our consolidated subsidiaries’ employees (other than our Chief Executive Officer) for 2023. As of December 31, 2023, our employee population consiste</w:t>
      </w:r>
      <w:r>
        <w:rPr>
          <w:rFonts w:ascii="Times New Roman;sans-serif" w:hAnsi="Times New Roman;sans-serif"/>
          <w:b w:val="false"/>
          <w:color w:val="000000"/>
          <w:sz w:val="20"/>
        </w:rPr>
        <w:t>d of 528 individuals who are located in our Lake Success, New York, Orlando, Florida and Boca Raton, Florida offices, as well as individuals who work remotely out of their residences in various states. To identify our median employee, we compared the annual total compensation for each of our employees, as determined in accordance with the requirements of Item 402(c)(2)(x) of Regulation S-K, which included salary and cash bonus. In making this determination, we annualized the compensation of 121 employees who were hired in 2023 but did not work for us the entire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Compensation Discussion and Analysis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2023 Named Executive Officers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(“CD&amp;A”) provides 2023 compensation information for the following named executive officers (“NEOs”). References to “2023 NEOs” in this CD&amp;A are references to Messrs. Sloane, Leger, Downs, Schwartz, Price and Young.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9"/>
        <w:gridCol w:w="486"/>
        <w:gridCol w:w="493"/>
        <w:gridCol w:w="109"/>
        <w:gridCol w:w="109"/>
        <w:gridCol w:w="109"/>
        <w:gridCol w:w="135"/>
        <w:gridCol w:w="135"/>
        <w:gridCol w:w="136"/>
        <w:gridCol w:w="109"/>
        <w:gridCol w:w="109"/>
        <w:gridCol w:w="109"/>
        <w:gridCol w:w="2226"/>
        <w:gridCol w:w="2198"/>
        <w:gridCol w:w="3143"/>
      </w:tblGrid>
      <w:tr>
        <w:trPr/>
        <w:tc>
          <w:tcPr>
            <w:tcW w:w="59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15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 NewtekOne; Chairman and Chief Executive Officer, Newtek Bank</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Executive Vice President</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Lending Officer, NewtekOne and Newtek Bank; President Newtek Small Business Finance, LLC</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Schwartz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Corporate Secretary, NewtekOne and Newtek Bank</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 Scott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NewtekOne and Newtek Bank</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Operating Officer, Newtek Bank</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Information about 2023 NEOs Who Are Not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Michael A. Schwartz, age 63, has served as Chief Legal Officer and Corporate Secretary since January 2015, and has served as Chief Legal Officer and Corporate Secretary of the Company’s bank subsidiary Newtek Bank since January 2023. In addition. Mr. Schwartz serves on the boards of a number of the Company’s non-bank subsidiaries. Beginning in November 2013, Mr. Schwartz was Senior Counsel to the Company.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 Scott Price, age 45, was appointed Chief Financial Officer of the Company and Newtek Bank in May 2023. Prior to joining the Company and Newtek Bank, Mr. Price was executive vice president and senior finance executive with First Horizon Corporation and prior to First Horizon, the chief accounting officer and corporate controller for IBERIABANK Corporation. Mr. Price has over 17 years’ experience in the financial services industry with specific focuses on, and an extensive background in, banking regulation and bank accounting. Mr. Price is a certified public accountant (“CPA”) and holds a Master of Accountancy from Auburn University.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 age 47, was appointed President and Chief Operating Officer of Newtek Bank on January 6, 2023. From August 2, 2021 until January 2023, Mr. Young was the Company’s Chief Risk Officer. Mr. Young previously served as Executive Vice President &amp; Chief Credit Officer for IBERIABANK, and was EVP &amp; Chief Risk Officer of Sabadell in Miami, Florida. Mr. Young has over 20 years’ experience in credit and risk management. Mr. Young is a native of Montevideo, Uruguay and holds a Bachelor of Economics from Universidad ORT Uruguay.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Nicholas J. Leger, age 43, served as the Company’s Chief Accounting Officer from February 5, 2021 to March 2024, when he was transitioned to the role of Treasurer, and is no longer an executive officer. Mr. Frank M. DeMaria, age 35, was appointed Executive Vice President, Chief Accounting Officer, effective as of March 29, 2024. Mr. DeMaria joined the Company in May 2023, and had served as the Company’s and Newtek Bank’s Senior Vice President of Finance and Accounting. Prior to joining the Company, Mr. DeMaria served as Senior Vice President and Controller of Flagstar Bank, N.A. In addition, Mr. DeMaria previously served as Senior Vice President, Chief Accounting Officer and Principal Accounting Officer of Amalgamated Financial Corp. from July 2021 to October 2022. Mr. DeMaria began his career with KPMG LLP, Audit Financial Services, in October 2012, holding various roles including Senior Manager from October 2019 to July 2021. Mr. DeMaria holds a Master of Business Administration for Accountants and a Bachelor of Science in Accounting from Marist College. Mr. DeMaria is a Certified Public Accountant in the state of New York.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Compensation Discussion and Analysis</w:t>
      </w: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Introduction</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shd w:fill="FFFFFF" w:val="clear"/>
        </w:rPr>
        <w:t>The follo</w:t>
      </w:r>
      <w:r>
        <w:rPr>
          <w:rFonts w:ascii="Times New Roman;sans-serif" w:hAnsi="Times New Roman;sans-serif"/>
          <w:b w:val="false"/>
          <w:color w:val="000000"/>
          <w:sz w:val="20"/>
        </w:rPr>
        <w:t>wing CD&amp;A includes our compensation philosophy, a description of our compensation program and the program’s objectives, the elements of compensation used to pay our executives and the compensation-related decisions made with respect to our NEOs as set forth below.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Compensation Philosophy and Objectives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compensation of our executives should reflect their success as a management team, rather than just as individuals, in attaining key operating objectives, such as growth of our after tax net income, credit quality of our loan portfolios, growth of revenues in our non-bank subsidiaries, return on average assets (“ROAA”), return on equity (“ROE”), deposit growth at Newtek Bank and long-term competitive advantage, and ultimately, in attaining an increased market price for our Common Shares. We believe that the performance of our executives in managing our Company and our consolidated bank and non-bank subsidiaries,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Restricted Stock Awards.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Role of Executive Officers in Compensation Decisions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Nominating Committee. Decisions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non-equity compensation of NEOs are made by the Chief Executive Officer and the Nominating Committee for consistency with the Company’s compensation policies.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semi-annually reviews the performance of each member of the senior executive team, including NEOs (other than himself whose performance is reviewed by the Nominating Committee). The conclusions reached and recommendations based on these reviews, including with respect to salary adjustments and annual award amounts, are then presented to the Nominating Committee by the Chief Executive Officer. The Nominating Committee will review and approve the recommendations for consistency with the Company’s compensation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Setting Executive Compensation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Nominating Committee for conformity with the Company’s overall compensation policies. The NEOs are not present at the time of these deliberations. The Nominating Committee then performs a similar review of the Chief Executive Officer’s total compensation and makes compensation decisions with respect to such officer, who does not participate in that determination.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may consider the following factors, among others, to determine the amount of salary and other benefits to pay each NEO:</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achievement of income to sustain and grow the Company’s dividend payments;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performance against competitors for the year;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difficulty in achieving desired results in the coming year;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value of their unique skills and capabilities to support long-term performance;</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contribution and growth as a member of the executive management team;</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professional development and growth of individual executives, the management team and other employees;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managerial assistance provided to our subsidiaries, including contributions to growth of revenues, operating efficiencies and operating earnings.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establish individual goals or set specific financial reporting measures, but focus on the overall profitable growth of our business.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foregoing objectives, we have structured the Company’s annual and long-term incentive-based non- cash executive compensation to motivate executives to achieve the business goals set by the Company.</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pre-established policy or target for the allocation between either cash or non-cash compensation. Historically we have granted a majority of total compensation to executive officers in the form of cash compensation.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principal components of compensation for NEOs were:</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 xml:space="preserve">base salary;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annual cash bonus;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equity-based compensation;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retirement and other benefits made available to all employees.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Base Salary</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review of base salaries for senior level executives, including the NEOs, we primarily consider: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an internal review of each executive’s compensation both individually and relative to other executive officers;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individual performance of the executive;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review of the Company’s financial and operational performance relative to the Company’s annual plan.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Nominating Committee and those for the Chief Executive Officer are determined by the Nominating Committee.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Annual Bonus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Discretionary annual cash bonuses may be awarded to executive officers along with the Company’s non-executive employees under the Company’s cash bonus plan. The Company typically creates a cash bonus pool based on an annually determined percentage of the salaries of all employees, which it accrues as an expense. Payments under the plan are discretionary and are based on the Company’s and the employee’s overall performance as determined by the Chief Executive Officer and the Nominating Committee. The Nominating Committee determines any bonus for the Chief Executive Officer based on, among other things, a review of the Company’s financial performance relative to the Company’s annual plans as established by the Board of Directors. The Chief Executive Officer in consultation with the Nominating Committee with respect to the NEOs, or in consultation with the NEOs and other senior level officers with respect to lower level employees, determines annual bonuses for other employees based on such employee’s and the Company’s performance. Factors considered include the achievement of business plans,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Equity-Based Compensation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must compete for leadership with commercial banks, bank holding companies, financial holding companies, investment banks, and other publicly traded companies, which are generally able to award many different types of stock-based compensation to their officers, employees and directors, (including their non-employee directors). On September 12, 2014, the Board of Directors voted to establish the Newtek Business Services Corp. 2014 Stock Incentive Plan (the “2014 Plan”). The 2014 Plan was approved by shareholders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on October 22, 2014. The 2014 Plan provided for the grant of options to purchase Common Shares, the terms of which were determined by the Nominating Committee and set forth in an award agreement between the Company and the executive or employee. The Company did not issue any options historically under the 2014 Plan. </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2015, the Nominating Committee and the Board of Directors approved the Amended and Restated 2014 Stock Incentive Plan (the “2015 Stock Plan”), subject to exemptive relief from the SEC and shareholder approval, in order to have increased flexibility to use Restricted Stock Awards, in addition to stock options, to assist the Company in achieving its objectives with respect to long-term equity incentive compensation. On May 10, 2016, we received (as a business development company regulated under the Investment Company Act of 1940) an exemptive order from the SEC permitting us to award Restricted Stock Awards to our employees, officers, and non-employee directors, and on July 27, 2016, our shareholders approved the 2015 Stock Plan. The 2015 Stock Plan permitted us to issue awards of stock options and Restricted Stock Awards in an aggregate amount of up to 20% of our issued and outstanding Common Shares (the “Plan Maximum Shares”) as of the effective date of the plan. Under the 2015 Stock Plan, all of the Plan Maximum Shares were available for grants of stock options, and half of the Plan Maximum Shares (up to 10% of our issued and outstanding Common Shares as of the effective date of the 2015 Stock Plan) were available for grants of Restricted Stock Awards. In connection with our conversion to a financial holding company and the adoption of the 2023 Stock Plan, the 2015 Stock Plan was terminated by the Board in April 2023.</w:t>
      </w:r>
    </w:p>
    <w:p>
      <w:pPr>
        <w:pStyle w:val="TextBody"/>
        <w:bidi w:val="0"/>
        <w:spacing w:before="0" w:after="0"/>
        <w:jc w:val="left"/>
        <w:rPr/>
      </w:pPr>
      <w:r>
        <w:rPr/>
      </w:r>
    </w:p>
    <w:p>
      <w:pPr>
        <w:pStyle w:val="TextBody"/>
        <w:bidi w:val="0"/>
        <w:spacing w:lineRule="auto" w:line="26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2023 Stock Plan was approved by the Board of Directors in April 2023 and the Company’s shareholders on June 14, 2023. The 2023 Stock Plan permits us to issue Restricted Stock Awards and stock options (collectively, the “Awards”) up to an aggregate amount of three million (3,000,000) shares of Common Stock. The number of Restricted Stock Awards issued and outstanding will not at the time of issuance of any Restricted Stock Awards exceed ten percent (10%) of the outstanding voting securities of the Company, and no more than 500,000 shares of Common Stock may be issued through incentive stock options (“ISOs”). The Nominating Committee believes that Restricted Stock Awards are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Restricted Stock Awards are based on the employee’s and the Company’s performance and the mix and weighting of the factors vary, depending on the business segment and the employee’s responsibilities. The level of achievement and the overall contribution by the employee determines the level of Restricted Stock Award.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and its Nominating Committee, which consists entirely of directors who are not employees of the Company, believe that in light of the Company’s plan for growth, stock-based incentive compensation, particularly the award of Restricted Stock Awards, advances the interests of the Company by providing substantial motivation for superior performance and more fully aligning the interests of officers and directors with the interests of our shareholders.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Clawback Provisions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the Company adopted a clawback policy that was established in accordance with the listing requirement of the Nasdaq to provide for the recovery or “clawback” of certain erroneously awarded incentive-based compensation in the event that the Company is required to prepare an accounting restatement. The clawback policy is effective December 1, 2023 and applies to incentive-based compensation received by current and former executive officers of the Company during the three fiscal years preceding an accounting restatement and after the effective date of the Nasdaq listing requirement, which was October 2, 2023.</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the Company’s annual report on Form 10-K for the period ending December 31, 2023, and filed with the SEC on April 1, 2024 (the “2023 Form 10-K”), in order to correct errors made in the Company’s financial statements previously issued for the first, second, and third quarters of 2023, the Company’s condensed comparative financial statements contained in the 2023 Form 10-K were adjusted to correct these errors. The Nominating Committee, who is authorized to administer the clawback policy, has determined that no recovery of compensation is required under the terms of the clawback policy as the Company did not award incentive-based compensation based on the attainment of any financial reporting measure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Benefits and Perquisites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Our NEOs are generally not entitled to benefits that are not available to all of our employees. In this regard, it should be noted that we do not provide pension arrangements, post-retirement health coverage or similar benefits for our executives or employees. The Nominating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for 2023, which consists of a discretionary match of 50% of the first 2% of employee contributions up to a maximum of 1% of the employee’s compensation (subject to the Internal Revenue Code annual limitation). For 2023, a match of approximately $490,308 in cash was approved and will be paid in May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Compensation of the Chief Executive Officer</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2023 and 2022. Mr. Sloane did not receive a cash bonus for 2023 or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Sloane did not receive a Restricted Stock Award in 2023. Mr. Sloane received a grant of 61,652 Restricted Stock Awards in December 2022, which will be fully vested in January 2026; and a grant of 47,081 Restricted Stock Awards in August 2022, which will be fully vested on August 15, 2025. The Nominating Committee has determined that this salary package is competitive with the labor market median for someone with Mr. Sloane’s skills and talents and is reflective of the Company’s current cash and financial position and the status of the Company’s Common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Compensation of the Other 2023 NEOs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approved the 2023 compensation for Peter Downs, Michael Schwartz, M. Scott Price, Nicholas Leger and Nicolas Young, as recommended to it by the Chief Executive Officer.</w:t>
      </w:r>
    </w:p>
    <w:p>
      <w:pPr>
        <w:pStyle w:val="TextBody"/>
        <w:bidi w:val="0"/>
        <w:spacing w:lineRule="auto" w:line="26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Downs’s base salary was $625,000 in 2023 and $550,000 in 2022. Mr. Downs did not receive a cash bonus for 2023 and received a $250,000 cash bonus for 2022 (paid in 2023). Mr. Downs did not receive a Restricted Stock Award in 2023 and received a grant of 17,655 Restricted Stock Awards in August 2022, which will be fully vested on August 15, 2025.</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Schwartz’s base salary was $450,000 in 2023 and $400,000 in 2022. Mr. Schwartz did not receive a cash bonus for 2023 and received a $250,000 cash bonus for 2022 (paid in 2023). Mr. Schwartz did not receive a Restricted Stock Award in 2023 and received a grant of 14,124 Restricted Stock Awards in August 2022, which will be fully vested on August 15,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Price was hired in May 2023, and his 2023 base salary was $400,000 from May 15, 2023 through June 30, 2023, and $433,000 for the remainder of 2023. Pursuant to Mr. Price’s employment agreement with the Company, he was paid a $133,333.33 cash bonus for 2023 (paid in 2024). In connection with his hire, Mr. Price received a grant of 18,645 Restricted Stock Awards in July 2023, which will be fully vested on July 15, 2026.</w:t>
      </w:r>
    </w:p>
    <w:p>
      <w:pPr>
        <w:pStyle w:val="TextBody"/>
        <w:bidi w:val="0"/>
        <w:spacing w:lineRule="auto" w:line="26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Leger’s base salary was $400,000 in 2023 and $325,000 in 2022. Mr. Leger did not receive a cash bonus for 2023 and received a $200,000 cash bonus for 2022 (paid in 2023). Mr. Leger did not receive a grant of Restricted Stock Awards in 2023 and received a grant of 10,593 Restricted Stock Awards in August 2022, which will be fully vested on August 15,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Mr. Young’s base salary was $650,000 in 2023 and $500,000 in 2022. Mr. Young did not receive a cash bonus for 2023 and received a $100,000 cash bonus for 2022 (paid in 2023). Mr. Young did not receive a grant of Restricted Stock Awards for 2023 and received an award of 9,416 Restricted Stock Awards in August 2022, which will be fully vested on August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Elements of Executive Compensation and 2023 Compensation Determinations</w:t>
      </w:r>
    </w:p>
    <w:p>
      <w:pPr>
        <w:pStyle w:val="TextBody"/>
        <w:bidi w:val="0"/>
        <w:spacing w:lineRule="auto" w:line="288" w:before="160" w:after="283"/>
        <w:jc w:val="left"/>
        <w:rPr/>
      </w:pPr>
      <w:r>
        <w:rPr>
          <w:rFonts w:ascii="Times New Roman;sans-serif" w:hAnsi="Times New Roman;sans-serif"/>
          <w:b/>
          <w:i/>
          <w:color w:val="000000"/>
          <w:sz w:val="20"/>
        </w:rPr>
        <w:t>Base Salary</w:t>
      </w:r>
      <w:r>
        <w:rPr>
          <w:rFonts w:ascii="Times New Roman;sans-serif" w:hAnsi="Times New Roman;sans-serif"/>
          <w:b w:val="false"/>
          <w:color w:val="000000"/>
          <w:sz w:val="20"/>
        </w:rPr>
        <w:t>.    We believe that base salaries are a fundamental element of our compensation program. The Nominating Committee establishes base salaries for 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considers base salary levels at least annually as part of its review of the performance of NEOs and from time to time upon a promotion or other change in job responsibilities. During its review of base salaries for our executives, the Nominating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2023 and 2022 base salaries for our 2023 NEOs.</w:t>
      </w:r>
    </w:p>
    <w:tbl>
      <w:tblPr>
        <w:tblW w:w="5093" w:type="dxa"/>
        <w:jc w:val="left"/>
        <w:tblInd w:w="0" w:type="dxa"/>
        <w:tblLayout w:type="fixed"/>
        <w:tblCellMar>
          <w:top w:w="28" w:type="dxa"/>
          <w:left w:w="28" w:type="dxa"/>
          <w:bottom w:w="28" w:type="dxa"/>
          <w:right w:w="28" w:type="dxa"/>
        </w:tblCellMar>
      </w:tblPr>
      <w:tblGrid>
        <w:gridCol w:w="571"/>
        <w:gridCol w:w="501"/>
        <w:gridCol w:w="503"/>
        <w:gridCol w:w="109"/>
        <w:gridCol w:w="109"/>
        <w:gridCol w:w="109"/>
        <w:gridCol w:w="259"/>
        <w:gridCol w:w="1017"/>
        <w:gridCol w:w="134"/>
        <w:gridCol w:w="109"/>
        <w:gridCol w:w="109"/>
        <w:gridCol w:w="109"/>
        <w:gridCol w:w="257"/>
        <w:gridCol w:w="1009"/>
        <w:gridCol w:w="18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Base Salary</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Schwartz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 Scott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left"/>
        <w:rPr/>
      </w:pPr>
      <w:r>
        <w:rPr>
          <w:rFonts w:ascii="Times New Roman;sans-serif" w:hAnsi="Times New Roman;sans-serif"/>
          <w:b/>
          <w:i/>
          <w:color w:val="000000"/>
          <w:sz w:val="20"/>
        </w:rPr>
        <w:t>Annual Bonus Awards</w:t>
      </w:r>
      <w:r>
        <w:rPr>
          <w:rFonts w:ascii="Times New Roman;sans-serif" w:hAnsi="Times New Roman;sans-serif"/>
          <w:b w:val="false"/>
          <w:color w:val="000000"/>
          <w:sz w:val="20"/>
        </w:rPr>
        <w:t>.    The Nominating Committee designs our annual cash bonuses to motivate our NEOs to achieve objectives consistent with our operating plan. The Nominating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2023 cash bonus awards, the Nominating Committee considered the factors to determine the amount of salary and other benefits, as set forth above. The Nominating Committee also considered the following factors and aspects of the Company’s 2023 operating performance in the determination of specific NEO bonus awards: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Declaration of $0.72 per share in cash dividends;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Closing of the Acquisition of NBNYC;</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The Company’s transition to a financial holding company from a business development company;</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Ability to maintain employee and staff productivity in a remote work environment and hire and retain well qualified employees;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The management of the Company’s assets and capital;</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Managerial assistance provided to Newtek Bank and our non-bank subsidiaries, including contributions to growth of sales, growth of deposits, regulatory compliance, growth of operating earnings and earnings per share;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Each NEO’s specific performance achievements and contributions to the Company’s 2023 financial performance and execution of the Company’s operating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allocating bonus awards, the Nominating Committee also evaluated the total compensation paid to the NEOs and other employees. Based on the foregoing considerations and analysis, and after due deliberation, the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did not award the 2023 NEOs annual cash bonuses with respect to 2023, except for Mr. Price whose employment agreement provided for a minimum cash bonus for 2023 (paid in 2024).</w:t>
      </w:r>
    </w:p>
    <w:tbl>
      <w:tblPr>
        <w:tblW w:w="4882" w:type="dxa"/>
        <w:jc w:val="left"/>
        <w:tblInd w:w="0" w:type="dxa"/>
        <w:tblLayout w:type="fixed"/>
        <w:tblCellMar>
          <w:top w:w="28" w:type="dxa"/>
          <w:left w:w="28" w:type="dxa"/>
          <w:bottom w:w="28" w:type="dxa"/>
          <w:right w:w="28" w:type="dxa"/>
        </w:tblCellMar>
      </w:tblPr>
      <w:tblGrid>
        <w:gridCol w:w="571"/>
        <w:gridCol w:w="501"/>
        <w:gridCol w:w="503"/>
        <w:gridCol w:w="109"/>
        <w:gridCol w:w="109"/>
        <w:gridCol w:w="109"/>
        <w:gridCol w:w="218"/>
        <w:gridCol w:w="854"/>
        <w:gridCol w:w="112"/>
        <w:gridCol w:w="109"/>
        <w:gridCol w:w="109"/>
        <w:gridCol w:w="109"/>
        <w:gridCol w:w="299"/>
        <w:gridCol w:w="299"/>
        <w:gridCol w:w="871"/>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2023 Cash </w:t>
              <w:br/>
              <w:t>Bonus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Percentage of </w:t>
              <w:br/>
              <w:t>2023 Base Salary</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Schwartz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 Scott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adopted by the SEC pursuant to the Dodd-Frank Act, we are providing the following disclosure regarding the relationship between executive compensation and certain financial performance measures of the Company. For a complete description regarding the Company’s compensation program, please see “Compensation Discussion and Analysis.”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Pay Versus Performance Table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past three fiscal years’ total compensation for our named executive officers as set forth in the Summary Compensation Table, the compensation actually paid to our principal executive officer (the “PEO”) and the other named executive officers, our total shareholder return (“TSR”) and our net income.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 rules require certain adjustments be made to the Summary Compensation Table totals to determine the compensation actually paid as reported in the Pay Versus Performance table. Compensation Actually Paid does not necessarily represent compensation actually earned, realized or received by the applicable named executive officer, but rather is a valuation calculated under applicable SEC rules by adjusting the Summary Compensation Table totals for the applicable year as described in the footnotes to the Pay Versus Performance Table.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601"/>
        <w:gridCol w:w="507"/>
        <w:gridCol w:w="508"/>
        <w:gridCol w:w="565"/>
        <w:gridCol w:w="471"/>
        <w:gridCol w:w="473"/>
        <w:gridCol w:w="383"/>
        <w:gridCol w:w="383"/>
        <w:gridCol w:w="384"/>
        <w:gridCol w:w="387"/>
        <w:gridCol w:w="387"/>
        <w:gridCol w:w="388"/>
        <w:gridCol w:w="284"/>
        <w:gridCol w:w="284"/>
        <w:gridCol w:w="598"/>
        <w:gridCol w:w="318"/>
        <w:gridCol w:w="318"/>
        <w:gridCol w:w="673"/>
        <w:gridCol w:w="379"/>
        <w:gridCol w:w="296"/>
        <w:gridCol w:w="301"/>
        <w:gridCol w:w="198"/>
        <w:gridCol w:w="470"/>
        <w:gridCol w:w="16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6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Summary Compensation Table Total for PEO</w:t>
            </w:r>
            <w:r>
              <w:rPr>
                <w:rFonts w:ascii="Times New Roman;sans-serif" w:hAnsi="Times New Roman;sans-serif"/>
                <w:b/>
                <w:color w:val="000000"/>
                <w:sz w:val="10"/>
              </w:rPr>
              <w:t>(1)</w:t>
            </w:r>
          </w:p>
        </w:tc>
        <w:tc>
          <w:tcPr>
            <w:tcW w:w="150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Compensation Actually Paid to PEO</w:t>
            </w:r>
            <w:r>
              <w:rPr>
                <w:rFonts w:ascii="Times New Roman;sans-serif" w:hAnsi="Times New Roman;sans-serif"/>
                <w:b/>
                <w:color w:val="000000"/>
                <w:sz w:val="10"/>
              </w:rPr>
              <w:t>(2)</w:t>
            </w:r>
          </w:p>
        </w:tc>
        <w:tc>
          <w:tcPr>
            <w:tcW w:w="115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Table Total for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non-PEO</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Executive</w:t>
            </w:r>
          </w:p>
          <w:p>
            <w:pPr>
              <w:pStyle w:val="TableContents"/>
              <w:bidi w:val="0"/>
              <w:spacing w:lineRule="auto" w:line="240" w:before="0" w:after="0"/>
              <w:jc w:val="center"/>
              <w:rPr/>
            </w:pPr>
            <w:r>
              <w:rPr>
                <w:rFonts w:ascii="Times New Roman;sans-serif" w:hAnsi="Times New Roman;sans-serif"/>
                <w:b/>
                <w:color w:val="000000"/>
                <w:sz w:val="16"/>
              </w:rPr>
              <w:t>Officers</w:t>
            </w:r>
            <w:r>
              <w:rPr>
                <w:rFonts w:ascii="Times New Roman;sans-serif" w:hAnsi="Times New Roman;sans-serif"/>
                <w:b/>
                <w:color w:val="000000"/>
                <w:sz w:val="10"/>
              </w:rPr>
              <w:t>(1)</w:t>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Actually Paid to</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Non-PEO</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Executive</w:t>
            </w:r>
          </w:p>
          <w:p>
            <w:pPr>
              <w:pStyle w:val="TableContents"/>
              <w:bidi w:val="0"/>
              <w:spacing w:lineRule="auto" w:line="240" w:before="0" w:after="0"/>
              <w:jc w:val="center"/>
              <w:rPr/>
            </w:pPr>
            <w:r>
              <w:rPr>
                <w:rFonts w:ascii="Times New Roman;sans-serif" w:hAnsi="Times New Roman;sans-serif"/>
                <w:b/>
                <w:color w:val="000000"/>
                <w:sz w:val="16"/>
              </w:rPr>
              <w:t>Officers</w:t>
            </w:r>
            <w:r>
              <w:rPr>
                <w:rFonts w:ascii="Times New Roman;sans-serif" w:hAnsi="Times New Roman;sans-serif"/>
                <w:b/>
                <w:color w:val="000000"/>
                <w:sz w:val="10"/>
              </w:rPr>
              <w:t>(3)</w:t>
            </w:r>
          </w:p>
        </w:tc>
        <w:tc>
          <w:tcPr>
            <w:tcW w:w="2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w:t>
              <w:br/>
              <w:t>Investment Based On:</w:t>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Income</w:t>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1509" w:type="dxa"/>
            <w:gridSpan w:val="3"/>
            <w:vMerge w:val="continue"/>
            <w:tcBorders/>
            <w:tcMar>
              <w:top w:w="0" w:type="dxa"/>
              <w:left w:w="0" w:type="dxa"/>
              <w:bottom w:w="0" w:type="dxa"/>
              <w:right w:w="0" w:type="dxa"/>
            </w:tcMar>
            <w:vAlign w:val="center"/>
          </w:tcPr>
          <w:p>
            <w:pPr>
              <w:pStyle w:val="Normal"/>
              <w:bidi w:val="0"/>
              <w:jc w:val="left"/>
              <w:rPr/>
            </w:pPr>
            <w:r>
              <w:rPr/>
            </w:r>
          </w:p>
        </w:tc>
        <w:tc>
          <w:tcPr>
            <w:tcW w:w="1150"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Shareholder Return</w:t>
            </w:r>
            <w:r>
              <w:rPr>
                <w:rFonts w:ascii="Times New Roman;sans-serif" w:hAnsi="Times New Roman;sans-serif"/>
                <w:b/>
                <w:color w:val="000000"/>
                <w:sz w:val="10"/>
              </w:rPr>
              <w:t>(4)</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Peer Group Total Shareholder Return</w:t>
            </w:r>
            <w:r>
              <w:rPr>
                <w:rFonts w:ascii="Times New Roman;sans-serif" w:hAnsi="Times New Roman;sans-serif"/>
                <w:b/>
                <w:color w:val="000000"/>
                <w:sz w:val="10"/>
              </w:rPr>
              <w:t>(5)</w:t>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Basic EPS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599,203 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596,469 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575,468 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2,700,000 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2,096,624 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918,750 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785,908 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4,633,439 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895,000 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960,718 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84,142 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637,939 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486,667 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447,525 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bidi w:val="0"/>
        <w:spacing w:lineRule="auto" w:line="288" w:before="200" w:after="283"/>
        <w:ind w:left="0" w:right="0" w:hanging="480"/>
        <w:jc w:val="left"/>
        <w:rPr/>
      </w:pPr>
      <w:r>
        <w:rPr>
          <w:rFonts w:ascii="Times New Roman;sans-serif" w:hAnsi="Times New Roman;sans-serif"/>
          <w:b w:val="false"/>
          <w:color w:val="000000"/>
          <w:sz w:val="12"/>
        </w:rPr>
        <w:t>(1) </w:t>
      </w:r>
      <w:r>
        <w:rPr>
          <w:color w:val="000000"/>
        </w:rPr>
        <w:t>     </w:t>
      </w:r>
      <w:r>
        <w:rPr>
          <w:rFonts w:ascii="Times New Roman;sans-serif" w:hAnsi="Times New Roman;sans-serif"/>
          <w:b w:val="false"/>
          <w:color w:val="000000"/>
          <w:sz w:val="18"/>
        </w:rPr>
        <w:t>Mr. Sloane was our PEO for each of the fiscal years presented in the above table. For 2023, our non-PEO NEOs were Messrs. Leger, Downs, Schwartz, Price and Young. For 2022, our non-PEO NEOs were Messrs. Leger, Downs, Schwartz and Young. For 2021, our non-PEO NEOs were Messrs. Leger, Downs, Schwartz and Young. For 2020, our non-PEO NEOs were Messrs. Downs, Schwartz and Christopher Towers, a former Chief Accounting Officer.</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(2) </w:t>
      </w:r>
      <w:r>
        <w:rPr>
          <w:color w:val="000000"/>
        </w:rPr>
        <w:t>     </w:t>
      </w:r>
      <w:r>
        <w:rPr>
          <w:rFonts w:ascii="Times New Roman;sans-serif" w:hAnsi="Times New Roman;sans-serif"/>
          <w:b w:val="false"/>
          <w:color w:val="000000"/>
          <w:sz w:val="18"/>
        </w:rPr>
        <w:t>Compensation actually paid to our PEO was calculated in accordance with Item 402(v) of Regulation S-K by deducting and adding from the Summary Compensation Table totals as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2"/>
        <w:gridCol w:w="155"/>
        <w:gridCol w:w="562"/>
        <w:gridCol w:w="335"/>
        <w:gridCol w:w="336"/>
        <w:gridCol w:w="690"/>
        <w:gridCol w:w="213"/>
        <w:gridCol w:w="214"/>
        <w:gridCol w:w="679"/>
        <w:gridCol w:w="246"/>
        <w:gridCol w:w="247"/>
        <w:gridCol w:w="568"/>
        <w:gridCol w:w="253"/>
        <w:gridCol w:w="255"/>
        <w:gridCol w:w="238"/>
        <w:gridCol w:w="232"/>
        <w:gridCol w:w="234"/>
        <w:gridCol w:w="566"/>
        <w:gridCol w:w="236"/>
        <w:gridCol w:w="237"/>
        <w:gridCol w:w="290"/>
        <w:gridCol w:w="290"/>
        <w:gridCol w:w="291"/>
        <w:gridCol w:w="459"/>
        <w:gridCol w:w="365"/>
        <w:gridCol w:w="366"/>
        <w:gridCol w:w="579"/>
        <w:gridCol w:w="301"/>
        <w:gridCol w:w="442"/>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12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Reported Summary Compensation Table Total for PEO($)</w:t>
            </w:r>
          </w:p>
        </w:tc>
        <w:tc>
          <w:tcPr>
            <w:tcW w:w="1117"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4"/>
              </w:rPr>
              <w:t>Less: Reported Value of Equity Awards</w:t>
            </w:r>
            <w:r>
              <w:rPr>
                <w:rFonts w:ascii="Times New Roman;sans-serif" w:hAnsi="Times New Roman;sans-serif"/>
                <w:b/>
                <w:color w:val="000000"/>
                <w:sz w:val="13"/>
              </w:rPr>
              <w:t>(a)</w:t>
            </w:r>
            <w:r>
              <w:rPr>
                <w:rFonts w:ascii="Times New Roman;sans-serif" w:hAnsi="Times New Roman;sans-serif"/>
                <w:b/>
                <w:color w:val="000000"/>
                <w:sz w:val="14"/>
              </w:rPr>
              <w:t>($)</w:t>
            </w:r>
          </w:p>
        </w:tc>
        <w:tc>
          <w:tcPr>
            <w:tcW w:w="6052" w:type="dxa"/>
            <w:gridSpan w:val="18"/>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Equity Award Adjustments</w:t>
            </w:r>
          </w:p>
        </w:tc>
        <w:tc>
          <w:tcPr>
            <w:tcW w:w="132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Compensation Actually Paid to PEO($)</w:t>
            </w:r>
          </w:p>
        </w:tc>
      </w:tr>
      <w:tr>
        <w:trPr/>
        <w:tc>
          <w:tcPr>
            <w:tcW w:w="48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17"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1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End Fair Value of Equity Awards Granted in the Year that are Unvested at Year End($)</w:t>
            </w:r>
          </w:p>
        </w:tc>
        <w:tc>
          <w:tcPr>
            <w:tcW w:w="10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are Unvested at Year End($)</w:t>
            </w:r>
          </w:p>
        </w:tc>
        <w:tc>
          <w:tcPr>
            <w:tcW w:w="7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Fair Value of Equity Awards that were Granted and Vested in the Same Year at Vesting Date($)</w:t>
            </w:r>
          </w:p>
        </w:tc>
        <w:tc>
          <w:tcPr>
            <w:tcW w:w="1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Vested in the Year($)</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Less: Year End Fair Value of Equity Awards Granted in Prior Years that Failed to Meet Vesting Conditions($)</w:t>
            </w:r>
          </w:p>
        </w:tc>
        <w:tc>
          <w:tcPr>
            <w:tcW w:w="11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Value of Dividends or other Earnings Paid on Stock or Option Awards not Otherwise Reflected in Fair Value or Total Compensation($)</w:t>
            </w:r>
          </w:p>
        </w:tc>
        <w:tc>
          <w:tcPr>
            <w:tcW w:w="132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89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(363,605)</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155,621 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107,187 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599,203 </w:t>
            </w:r>
          </w:p>
        </w:tc>
        <w:tc>
          <w:tcPr>
            <w:tcW w:w="44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89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2,700,000 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1,766,911 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(703,325)</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(29,048)</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362,085 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2,096,624 </w:t>
            </w:r>
          </w:p>
        </w:tc>
        <w:tc>
          <w:tcPr>
            <w:tcW w:w="44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89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3,500,000 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2,299,313 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634,125 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4,633,439 </w:t>
            </w:r>
          </w:p>
        </w:tc>
        <w:tc>
          <w:tcPr>
            <w:tcW w:w="44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897"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3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(235,805)</w:t>
            </w:r>
          </w:p>
        </w:tc>
        <w:tc>
          <w:tcPr>
            <w:tcW w:w="2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173,745 </w:t>
            </w:r>
          </w:p>
        </w:tc>
        <w:tc>
          <w:tcPr>
            <w:tcW w:w="3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637,939 </w:t>
            </w:r>
          </w:p>
        </w:tc>
        <w:tc>
          <w:tcPr>
            <w:tcW w:w="442"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480"/>
        <w:jc w:val="left"/>
        <w:rPr>
          <w:rFonts w:ascii="Times New Roman;sans-serif" w:hAnsi="Times New Roman;sans-serif"/>
          <w:b w:val="false"/>
          <w:color w:val="000000"/>
          <w:sz w:val="18"/>
        </w:rPr>
      </w:pPr>
      <w:r>
        <w:rPr>
          <w:rFonts w:ascii="Times New Roman;sans-serif" w:hAnsi="Times New Roman;sans-serif"/>
          <w:b w:val="false"/>
          <w:color w:val="000000"/>
          <w:sz w:val="18"/>
        </w:rPr>
        <w:t>(a)      The grant date fair value of equity awards represents the total of the amounts reported in the “Stock Awards” and “Option Awards” columns in the Summary Compensation Table for the applicable year.</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12"/>
        </w:rPr>
        <w:t>(3)</w:t>
      </w:r>
      <w:r>
        <w:rPr>
          <w:color w:val="000000"/>
        </w:rPr>
        <w:t>     </w:t>
      </w:r>
      <w:r>
        <w:rPr>
          <w:rFonts w:ascii="Times New Roman;sans-serif" w:hAnsi="Times New Roman;sans-serif"/>
          <w:b w:val="false"/>
          <w:color w:val="000000"/>
          <w:sz w:val="18"/>
        </w:rPr>
        <w:t>Compensation actually paid to our non-PEO NEOs was calculated in accordance with Item 402(v) of Regulation S-K by deducting and adding from the Summary Compensation Table totals as shown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2"/>
        <w:gridCol w:w="155"/>
        <w:gridCol w:w="451"/>
        <w:gridCol w:w="358"/>
        <w:gridCol w:w="359"/>
        <w:gridCol w:w="561"/>
        <w:gridCol w:w="221"/>
        <w:gridCol w:w="222"/>
        <w:gridCol w:w="563"/>
        <w:gridCol w:w="266"/>
        <w:gridCol w:w="268"/>
        <w:gridCol w:w="502"/>
        <w:gridCol w:w="278"/>
        <w:gridCol w:w="279"/>
        <w:gridCol w:w="492"/>
        <w:gridCol w:w="253"/>
        <w:gridCol w:w="254"/>
        <w:gridCol w:w="512"/>
        <w:gridCol w:w="259"/>
        <w:gridCol w:w="260"/>
        <w:gridCol w:w="312"/>
        <w:gridCol w:w="312"/>
        <w:gridCol w:w="313"/>
        <w:gridCol w:w="399"/>
        <w:gridCol w:w="393"/>
        <w:gridCol w:w="394"/>
        <w:gridCol w:w="460"/>
        <w:gridCol w:w="316"/>
        <w:gridCol w:w="467"/>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116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Average of Reported Summary Compensation Table Total for non-PEO NEOs($)</w:t>
            </w:r>
          </w:p>
        </w:tc>
        <w:tc>
          <w:tcPr>
            <w:tcW w:w="1004"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4"/>
              </w:rPr>
              <w:t>Less: Reported Value of Equity Awards</w:t>
            </w:r>
            <w:r>
              <w:rPr>
                <w:rFonts w:ascii="Times New Roman;sans-serif" w:hAnsi="Times New Roman;sans-serif"/>
                <w:b/>
                <w:color w:val="000000"/>
                <w:sz w:val="13"/>
              </w:rPr>
              <w:t>(a)</w:t>
            </w:r>
            <w:r>
              <w:rPr>
                <w:rFonts w:ascii="Times New Roman;sans-serif" w:hAnsi="Times New Roman;sans-serif"/>
                <w:b/>
                <w:color w:val="000000"/>
                <w:sz w:val="14"/>
              </w:rPr>
              <w:t>($)</w:t>
            </w:r>
          </w:p>
        </w:tc>
        <w:tc>
          <w:tcPr>
            <w:tcW w:w="6309" w:type="dxa"/>
            <w:gridSpan w:val="18"/>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Equity Award Adjustments</w:t>
            </w:r>
          </w:p>
        </w:tc>
        <w:tc>
          <w:tcPr>
            <w:tcW w:w="124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Average Compensation Actually Paid to non-PEO NEOs($)</w:t>
            </w:r>
          </w:p>
        </w:tc>
      </w:tr>
      <w:tr>
        <w:trPr/>
        <w:tc>
          <w:tcPr>
            <w:tcW w:w="48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6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4"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End Fair Value of Equity Awards Granted in the Year that are Unvested at Year End($)</w:t>
            </w:r>
          </w:p>
        </w:tc>
        <w:tc>
          <w:tcPr>
            <w:tcW w:w="10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are Unvested at Year End($)</w:t>
            </w:r>
          </w:p>
        </w:tc>
        <w:tc>
          <w:tcPr>
            <w:tcW w:w="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Fair Value of Equity Awards that were Granted and Vested in the Same Year at Vesting Date($)</w:t>
            </w:r>
          </w:p>
        </w:tc>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Vested in the Year($)</w:t>
            </w:r>
          </w:p>
        </w:tc>
        <w:tc>
          <w:tcPr>
            <w:tcW w:w="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Less: Year End Fair Value of Equity Awards Granted in Prior Years that Failed to Meet Vesting Conditions($)</w:t>
            </w:r>
          </w:p>
        </w:tc>
        <w:tc>
          <w:tcPr>
            <w:tcW w:w="1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Value of Dividends or other Earnings Paid on Stock or Option Awards not Otherwise Reflected in Fair Value or Total Compensation($)</w:t>
            </w:r>
          </w:p>
        </w:tc>
        <w:tc>
          <w:tcPr>
            <w:tcW w:w="124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80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596,469 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(59,440)</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51,460 </w:t>
            </w:r>
          </w:p>
        </w:tc>
        <w:tc>
          <w:tcPr>
            <w:tcW w:w="2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(36,507)</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13,333 </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575,468 </w:t>
            </w:r>
          </w:p>
        </w:tc>
        <w:tc>
          <w:tcPr>
            <w:tcW w:w="46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80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918,750 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(275,000)</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210,389 </w:t>
            </w:r>
          </w:p>
        </w:tc>
        <w:tc>
          <w:tcPr>
            <w:tcW w:w="2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(90,316)</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(12,042)</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34,127 </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785,908 </w:t>
            </w:r>
          </w:p>
        </w:tc>
        <w:tc>
          <w:tcPr>
            <w:tcW w:w="46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80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895,000 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(318,750)</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304,275 </w:t>
            </w:r>
          </w:p>
        </w:tc>
        <w:tc>
          <w:tcPr>
            <w:tcW w:w="2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59,449 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9,397 </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960,718 </w:t>
            </w:r>
          </w:p>
        </w:tc>
        <w:tc>
          <w:tcPr>
            <w:tcW w:w="46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80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486,667 </w:t>
            </w:r>
          </w:p>
        </w:tc>
        <w:tc>
          <w:tcPr>
            <w:tcW w:w="3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(16,667)</w:t>
            </w:r>
          </w:p>
        </w:tc>
        <w:tc>
          <w:tcPr>
            <w:tcW w:w="2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(29,476)</w:t>
            </w:r>
          </w:p>
        </w:tc>
        <w:tc>
          <w:tcPr>
            <w:tcW w:w="2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(12,422)</w:t>
            </w:r>
          </w:p>
        </w:tc>
        <w:tc>
          <w:tcPr>
            <w:tcW w:w="2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19,423 </w:t>
            </w:r>
          </w:p>
        </w:tc>
        <w:tc>
          <w:tcPr>
            <w:tcW w:w="3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447,525 </w:t>
            </w:r>
          </w:p>
        </w:tc>
        <w:tc>
          <w:tcPr>
            <w:tcW w:w="467"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480"/>
        <w:jc w:val="left"/>
        <w:rPr>
          <w:rFonts w:ascii="Times New Roman;sans-serif" w:hAnsi="Times New Roman;sans-serif"/>
          <w:b w:val="false"/>
          <w:color w:val="000000"/>
          <w:sz w:val="18"/>
        </w:rPr>
      </w:pPr>
      <w:r>
        <w:rPr>
          <w:rFonts w:ascii="Times New Roman;sans-serif" w:hAnsi="Times New Roman;sans-serif"/>
          <w:b w:val="false"/>
          <w:color w:val="000000"/>
          <w:sz w:val="18"/>
        </w:rPr>
        <w:t>(a)      The grant date fair value of equity awards represents the total of the amounts reported in the “Stock Awards” and “Option Awards” columns in the Summary Compensation Table for the applicable year.</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12"/>
        </w:rPr>
        <w:t>(4)   </w:t>
      </w:r>
      <w:r>
        <w:rPr>
          <w:color w:val="000000"/>
        </w:rPr>
        <w:t>   </w:t>
      </w:r>
      <w:r>
        <w:rPr>
          <w:rFonts w:ascii="Times New Roman;sans-serif" w:hAnsi="Times New Roman;sans-serif"/>
          <w:b w:val="false"/>
          <w:color w:val="000000"/>
          <w:sz w:val="18"/>
        </w:rPr>
        <w:t xml:space="preserve">Cumulative TSR is calculated by dividing (a) the sum of the cumulative amount of dividends for the measure period, assuming dividend reinvestment, and the difference between the Company’s share price at the end and the beginning of the measurement period by (b) the Company’s share price at the beginning of the measurement period. </w:t>
      </w:r>
    </w:p>
    <w:p>
      <w:pPr>
        <w:pStyle w:val="TextBody"/>
        <w:bidi w:val="0"/>
        <w:spacing w:lineRule="auto" w:line="268" w:before="0" w:after="0"/>
        <w:ind w:left="0" w:right="0" w:hanging="480"/>
        <w:jc w:val="left"/>
        <w:rPr/>
      </w:pPr>
      <w:r>
        <w:rPr>
          <w:rFonts w:ascii="Times New Roman;sans-serif" w:hAnsi="Times New Roman;sans-serif"/>
          <w:b w:val="false"/>
          <w:color w:val="000000"/>
          <w:sz w:val="12"/>
        </w:rPr>
        <w:t>(5)   </w:t>
      </w:r>
      <w:r>
        <w:rPr>
          <w:color w:val="000000"/>
        </w:rPr>
        <w:t>   </w:t>
      </w:r>
      <w:r>
        <w:rPr>
          <w:rFonts w:ascii="Times New Roman;sans-serif" w:hAnsi="Times New Roman;sans-serif"/>
          <w:b w:val="false"/>
          <w:color w:val="000000"/>
          <w:sz w:val="18"/>
        </w:rPr>
        <w:t>We include a comparison against the Russell 2000 as disclosed in Part II Item 5 of our Annual Report on Form 10-K as of December 31, 2023. We use the Russell 2000 because it represents small cap market capitalization companies similar to us. We do not believe there is a published industry or line-of-business index, or a readily definable peer group of publicly traded companies, that provides a more meaningful comparison of the cumulative return of our common stock or that there is otherwise a reasonably identifiable peer group for purposes of such performance graphs as we ceased to be a business development company subject to the Investment Company Act of 1940 at the beginning of 2023.</w:t>
      </w:r>
    </w:p>
    <w:p>
      <w:pPr>
        <w:pStyle w:val="TextBody"/>
        <w:bidi w:val="0"/>
        <w:spacing w:before="0" w:after="0"/>
        <w:ind w:left="0" w:right="0" w:hanging="4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Performance and Compensation Relationships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following graph compares the return on our Common Stock with the Russell 2000 and the S&amp;P Small Cap 600 for the period from December 31, 2019 through December 31, 2023. On June 26, 2023, following the Company's January 6, 2023 conversion to a financial holding company, the Company joined the broad-market Russell 3000 Index and the small-cap Russell 2000</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Index following the conclusion of the Russell indexes annual reconstitution for 2023. The graph assumes that, on January 1, 2020, a person invested $100 in each of our Common Stock, Russell 2000 and S&amp;P Small Cap 600. The graph measures total shareholder return, which takes into account both changes in stock price and dividends. It assumes that dividends paid are invested in like securities.</w:t>
      </w:r>
    </w:p>
    <w:p>
      <w:pPr>
        <w:pStyle w:val="TextBody"/>
        <w:bidi w:val="0"/>
        <w:spacing w:before="0" w:after="0"/>
        <w:jc w:val="left"/>
        <w:rPr/>
      </w:pPr>
      <w:r>
        <w:rPr/>
      </w:r>
    </w:p>
    <w:p>
      <w:pPr>
        <w:pStyle w:val="TextBody"/>
        <w:bidi w:val="0"/>
        <w:spacing w:before="0" w:after="0"/>
        <w:jc w:val="left"/>
        <w:rPr/>
      </w:pPr>
      <w:r>
        <w:rPr/>
        <w:drawing>
          <wp:inline distT="0" distB="0" distL="0" distR="0">
            <wp:extent cx="5838825" cy="36195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Unranked Tabular List of the Company’s Most Important Financial Performance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unranked list of the most important financial performance measures used by the Company to evaluate compensation actually paid to the NEOs, for the year ended December 31, 2023, to Company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growth in profitability and earnings per share;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growth in net assets;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cash dividends paid to our shareholders;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growth in loans originated and growth in deposits at Newtek Bank.</w:t>
      </w:r>
    </w:p>
    <w:p>
      <w:pPr>
        <w:pStyle w:val="TextBody"/>
        <w:bidi w:val="0"/>
        <w:spacing w:before="1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Conclusion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believes that attracting and retaining talented and motivated management and employees is essential to creating long-term shareholder value. The Nominating Committee seeks to attract and retain management and employees by offering a competitive, performance-based compensation program which the Nominating Committee believes aligns the interests of the executive officers and other key employees with those of our Shareholders. We believe that the Company’s 2023 compensation program met those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Compensation Risk Assessment</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Our Nominating Committee aims to establish Company-wide compensation policies and practices that reward contributions to long-term shareholder value and do not promote unnecessary or excessive risk-taking. In furtherance of this objective, the Nominating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its review, among other factors, the Nominating Committee considered the following:</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business model and our cash incentive bonus plan encourage our employees to focus on creating a stable, predictable stream of income over multiple years, rather than focusing on current year revenue at the expense of succeeding years.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The distribution of compensation among our core compensation elements has effectively balanced short-term performance and long-term performance.</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cash and equity-based incentive awards in conjunction with management efforts focus on both near-term and long-term goals.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Our cash and equity-based incentive awards discourage executives from taking risky actions to meet a single target with an all or nothing result of compensation or no compensation.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executives are encouraged to hold a meaningful number of Common Shares pursuant to our stock ownership policy. Based upon this assessment, our Nominating Committee believes that our Company-wide compensation policies and practices do not create risks that are reasonably likely to have a material adverse effect on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2023 Advisory Vote on Executive Compensation; Continuing Shareholder Engagement</w:t>
      </w:r>
    </w:p>
    <w:p>
      <w:pPr>
        <w:pStyle w:val="TextBody"/>
        <w:bidi w:val="0"/>
        <w:spacing w:lineRule="auto" w:line="288" w:before="160" w:after="283"/>
        <w:jc w:val="left"/>
        <w:rPr/>
      </w:pPr>
      <w:r>
        <w:rPr>
          <w:rFonts w:ascii="Times New Roman;sans-serif" w:hAnsi="Times New Roman;sans-serif"/>
          <w:b w:val="false"/>
          <w:color w:val="000000"/>
          <w:sz w:val="20"/>
        </w:rPr>
        <w:t>At our 2023 annual meeting of shareholders, our advisory vote on say-on-pay received strong support from our shareholders</w:t>
      </w:r>
      <w:r>
        <w:rPr>
          <w:color w:val="000000"/>
          <w:shd w:fill="FFFFFF" w:val="clear"/>
        </w:rPr>
        <w:t xml:space="preserve"> </w:t>
      </w:r>
      <w:r>
        <w:rPr>
          <w:rFonts w:ascii="Times New Roman;sans-serif" w:hAnsi="Times New Roman;sans-serif"/>
          <w:b w:val="false"/>
          <w:color w:val="000000"/>
          <w:sz w:val="20"/>
          <w:shd w:fill="FFFFFF" w:val="clear"/>
        </w:rPr>
        <w:t>(approximately 94% of votes cast).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views as important the continuing dialogue with our shareholders on compensation and other governance matters. The results of the Company’s 2023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in advance of our future annual meetings.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Compensation, Corporate Governance and Nominating Committee Interlocks and Insider Participation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members of the Nominating Committee during the fiscal year ended December 31, 2023 were Salvatore Mulia, Gregory Zink and Richard Salute. All members of the Nominating Committee are independent directors, and none of them are or at any time have been paid officers of ours or any of our subsidiaries, except for director Zink who was previously employed by us an executive vice president from 2000-2005. No member of the Nominating Committee: (i) has had any relationship with us requiring disclosure under Item 404 of Regulation S-K under the Exchange Act; or (ii) is an executive officer of another entity, at which one of our executive officers serves on our Board of Directors.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Compensation, Corporation Governance and Nominating Committee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Corporate Governance and Nominating Committee of the Company has reviewed and discussed the foregoing Compensation Discussion and Analysis for fiscal 2023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CORPORATE GOVERNANCE AND NOMINATING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26, 2024</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Mulia, Co-Chairman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 Co-Chairman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Summary Compensation Table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aggregate compensation earned by our NEOs during 2023 and the two previous years.</w:t>
      </w:r>
    </w:p>
    <w:tbl>
      <w:tblPr>
        <w:tblW w:w="12599" w:type="dxa"/>
        <w:jc w:val="left"/>
        <w:tblInd w:w="0" w:type="dxa"/>
        <w:tblLayout w:type="fixed"/>
        <w:tblCellMar>
          <w:top w:w="28" w:type="dxa"/>
          <w:left w:w="28" w:type="dxa"/>
          <w:bottom w:w="28" w:type="dxa"/>
          <w:right w:w="28" w:type="dxa"/>
        </w:tblCellMar>
      </w:tblPr>
      <w:tblGrid>
        <w:gridCol w:w="496"/>
        <w:gridCol w:w="343"/>
        <w:gridCol w:w="347"/>
        <w:gridCol w:w="109"/>
        <w:gridCol w:w="109"/>
        <w:gridCol w:w="109"/>
        <w:gridCol w:w="135"/>
        <w:gridCol w:w="135"/>
        <w:gridCol w:w="136"/>
        <w:gridCol w:w="109"/>
        <w:gridCol w:w="109"/>
        <w:gridCol w:w="109"/>
        <w:gridCol w:w="323"/>
        <w:gridCol w:w="323"/>
        <w:gridCol w:w="196"/>
        <w:gridCol w:w="109"/>
        <w:gridCol w:w="109"/>
        <w:gridCol w:w="109"/>
        <w:gridCol w:w="383"/>
        <w:gridCol w:w="383"/>
        <w:gridCol w:w="109"/>
        <w:gridCol w:w="109"/>
        <w:gridCol w:w="109"/>
        <w:gridCol w:w="109"/>
        <w:gridCol w:w="109"/>
        <w:gridCol w:w="109"/>
        <w:gridCol w:w="109"/>
        <w:gridCol w:w="383"/>
        <w:gridCol w:w="383"/>
        <w:gridCol w:w="115"/>
        <w:gridCol w:w="115"/>
        <w:gridCol w:w="115"/>
        <w:gridCol w:w="116"/>
        <w:gridCol w:w="109"/>
        <w:gridCol w:w="109"/>
        <w:gridCol w:w="109"/>
        <w:gridCol w:w="200"/>
        <w:gridCol w:w="200"/>
        <w:gridCol w:w="201"/>
        <w:gridCol w:w="109"/>
        <w:gridCol w:w="109"/>
        <w:gridCol w:w="109"/>
        <w:gridCol w:w="345"/>
        <w:gridCol w:w="345"/>
        <w:gridCol w:w="346"/>
        <w:gridCol w:w="109"/>
        <w:gridCol w:w="109"/>
        <w:gridCol w:w="109"/>
        <w:gridCol w:w="345"/>
        <w:gridCol w:w="345"/>
        <w:gridCol w:w="346"/>
        <w:gridCol w:w="109"/>
        <w:gridCol w:w="109"/>
        <w:gridCol w:w="109"/>
        <w:gridCol w:w="345"/>
        <w:gridCol w:w="345"/>
        <w:gridCol w:w="346"/>
        <w:gridCol w:w="109"/>
        <w:gridCol w:w="109"/>
        <w:gridCol w:w="109"/>
        <w:gridCol w:w="383"/>
        <w:gridCol w:w="383"/>
        <w:gridCol w:w="318"/>
      </w:tblGrid>
      <w:tr>
        <w:trPr/>
        <w:tc>
          <w:tcPr>
            <w:tcW w:w="4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Name and </w:t>
              <w:br/>
              <w:t xml:space="preserve">Principal </w:t>
              <w:b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w:t>
            </w:r>
          </w:p>
          <w:p>
            <w:pPr>
              <w:pStyle w:val="TableContents"/>
              <w:bidi w:val="0"/>
              <w:spacing w:lineRule="auto" w:line="288" w:before="0" w:after="0"/>
              <w:jc w:val="center"/>
              <w:rPr/>
            </w:pPr>
            <w:r>
              <w:rPr>
                <w:rFonts w:ascii="Times New Roman;sans-serif" w:hAnsi="Times New Roman;sans-serif"/>
                <w:b/>
                <w:color w:val="000000"/>
                <w:sz w:val="16"/>
              </w:rPr>
              <w:t>Awards</w:t>
            </w:r>
            <w:r>
              <w:rPr>
                <w:rFonts w:ascii="Times New Roman;sans-serif" w:hAnsi="Times New Roman;sans-serif"/>
                <w:b/>
                <w:color w:val="000000"/>
                <w:sz w:val="10"/>
              </w:rPr>
              <w:t>(13)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Option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Non-Equity </w:t>
              <w:br/>
              <w:t>Incentive Plan 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Change in </w:t>
              <w:br/>
              <w:t xml:space="preserve">Pension Value </w:t>
              <w:br/>
              <w:t xml:space="preserve">and </w:t>
              <w:br/>
              <w:t xml:space="preserve">Nonqualified </w:t>
              <w:br/>
              <w:t xml:space="preserve">Deferred </w:t>
              <w:br/>
              <w:t xml:space="preserve">Compensation </w:t>
              <w:br/>
              <w:t xml:space="preserve">Earnings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All Other </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br/>
              <w: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Barry Sloane,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8"/>
              </w:rPr>
            </w:pPr>
            <w:r>
              <w:rPr>
                <w:rFonts w:ascii="Times New Roman;sans-serif" w:hAnsi="Times New Roman;sans-serif"/>
                <w:b w:val="false"/>
                <w:color w:val="000000"/>
                <w:sz w:val="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2,700,000</w:t>
            </w:r>
          </w:p>
        </w:tc>
      </w:tr>
      <w:tr>
        <w:trPr/>
        <w:tc>
          <w:tcPr>
            <w:tcW w:w="11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3,500,000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5"/>
              </w:rPr>
              <w:t xml:space="preserve">M. Scott Price, </w:t>
            </w:r>
            <w:r>
              <w:rPr>
                <w:rFonts w:ascii="Times New Roman;sans-serif" w:hAnsi="Times New Roman;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426,400 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859,733</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Peter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625,000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Lending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1,175,000</w:t>
            </w:r>
          </w:p>
        </w:tc>
      </w:tr>
      <w:tr>
        <w:trPr/>
        <w:tc>
          <w:tcPr>
            <w:tcW w:w="11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1,050,000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Michael Schwartz,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450,000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Legal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950,000</w:t>
            </w:r>
          </w:p>
        </w:tc>
      </w:tr>
      <w:tr>
        <w:trPr/>
        <w:tc>
          <w:tcPr>
            <w:tcW w:w="11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885,000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Nicolas Young,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President, Newtek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1,125,000 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5"/>
              </w:rPr>
              <w:t xml:space="preserve">Nicholas Leger </w:t>
            </w:r>
            <w:r>
              <w:rPr>
                <w:rFonts w:ascii="Times New Roman;sans-serif" w:hAnsi="Times New Roman;sans-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0"/>
              </w:rPr>
            </w:pPr>
            <w:r>
              <w:rPr>
                <w:rFonts w:ascii="Times New Roman;sans-serif" w:hAnsi="Times New Roman;sans-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bidi w:val="0"/>
        <w:spacing w:lineRule="auto" w:line="288" w:before="200" w:after="283"/>
        <w:ind w:left="0" w:right="0" w:hanging="450"/>
        <w:jc w:val="left"/>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Cash bonus awarded for 2023 (and paid in 2024) pursuant to terms of employment agreement.</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(2) </w:t>
      </w:r>
      <w:r>
        <w:rPr>
          <w:color w:val="000000"/>
        </w:rPr>
        <w:t>     </w:t>
      </w:r>
      <w:r>
        <w:rPr>
          <w:rFonts w:ascii="Times New Roman;sans-serif" w:hAnsi="Times New Roman;sans-serif"/>
          <w:b w:val="false"/>
          <w:color w:val="000000"/>
          <w:sz w:val="18"/>
        </w:rPr>
        <w:t>Discretionary cash bonus awarded for 2022 performance and paid in 2023.</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(3)</w:t>
      </w:r>
      <w:r>
        <w:rPr>
          <w:color w:val="000000"/>
        </w:rPr>
        <w:t>      </w:t>
      </w:r>
      <w:r>
        <w:rPr>
          <w:rFonts w:ascii="Times New Roman;sans-serif" w:hAnsi="Times New Roman;sans-serif"/>
          <w:b w:val="false"/>
          <w:color w:val="000000"/>
          <w:sz w:val="18"/>
        </w:rPr>
        <w:t>Discretionary cash bonus awarded for 2021 performance and paid in 2022.</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(4)</w:t>
      </w:r>
      <w:r>
        <w:rPr>
          <w:color w:val="000000"/>
        </w:rPr>
        <w:t>     </w:t>
      </w:r>
      <w:r>
        <w:rPr>
          <w:rFonts w:ascii="Times New Roman;sans-serif" w:hAnsi="Times New Roman;sans-serif"/>
          <w:b w:val="false"/>
          <w:color w:val="000000"/>
          <w:sz w:val="18"/>
        </w:rPr>
        <w:t>Received 61,652 Restricted Stock Awards in December 2022, vesting on January 15, 2026; and 47,081 Restricted Stock Awards in August 2022, vesting on August 15, 2025.</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(5)</w:t>
      </w:r>
      <w:r>
        <w:rPr>
          <w:color w:val="000000"/>
        </w:rPr>
        <w:t>    </w:t>
      </w:r>
      <w:r>
        <w:rPr>
          <w:rFonts w:ascii="Times New Roman;sans-serif" w:hAnsi="Times New Roman;sans-serif"/>
          <w:b w:val="false"/>
          <w:color w:val="000000"/>
          <w:sz w:val="18"/>
        </w:rPr>
        <w:t>Received 83,209 Restricted Stock Awards in February 2021, with one-third vested on each of February 15, 2022, February 15, 2023, and February 15, 2024.</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(6) </w:t>
      </w:r>
      <w:r>
        <w:rPr>
          <w:color w:val="000000"/>
        </w:rPr>
        <w:t xml:space="preserve">    </w:t>
      </w:r>
      <w:r>
        <w:rPr>
          <w:rFonts w:ascii="Times New Roman;sans-serif" w:hAnsi="Times New Roman;sans-serif"/>
          <w:b w:val="false"/>
          <w:color w:val="000000"/>
          <w:sz w:val="18"/>
        </w:rPr>
        <w:t>Received 17,655 Restricted Stock Awards in August 2022, vesting on August 15, 2025.</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(7) </w:t>
      </w:r>
      <w:r>
        <w:rPr>
          <w:color w:val="000000"/>
        </w:rPr>
        <w:t xml:space="preserve">     </w:t>
      </w:r>
      <w:r>
        <w:rPr>
          <w:rFonts w:ascii="Times New Roman;sans-serif" w:hAnsi="Times New Roman;sans-serif"/>
          <w:b w:val="false"/>
          <w:color w:val="000000"/>
          <w:sz w:val="18"/>
        </w:rPr>
        <w:t>Received 11,557 Restricted Stock Awards in February 2021, with one-third vested on each of February 15, 2022, February 15, 2023, and February 15,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450"/>
        <w:jc w:val="left"/>
        <w:rPr/>
      </w:pPr>
      <w:r>
        <w:rPr>
          <w:rFonts w:ascii="Times New Roman;sans-serif" w:hAnsi="Times New Roman;sans-serif"/>
          <w:b w:val="false"/>
          <w:color w:val="000000"/>
          <w:sz w:val="12"/>
        </w:rPr>
        <w:t xml:space="preserve">(8) </w:t>
      </w:r>
      <w:r>
        <w:rPr>
          <w:color w:val="000000"/>
        </w:rPr>
        <w:t>    </w:t>
      </w:r>
      <w:r>
        <w:rPr>
          <w:rFonts w:ascii="Times New Roman;sans-serif" w:hAnsi="Times New Roman;sans-serif"/>
          <w:b w:val="false"/>
          <w:color w:val="000000"/>
          <w:sz w:val="18"/>
        </w:rPr>
        <w:t>Received 18,645 Restricted Stock Awards in July 2023, vesting on July 15, 2026.</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(9) </w:t>
      </w:r>
      <w:r>
        <w:rPr>
          <w:color w:val="000000"/>
        </w:rPr>
        <w:t xml:space="preserve">    </w:t>
      </w:r>
      <w:r>
        <w:rPr>
          <w:rFonts w:ascii="Times New Roman;sans-serif" w:hAnsi="Times New Roman;sans-serif"/>
          <w:b w:val="false"/>
          <w:color w:val="000000"/>
          <w:sz w:val="18"/>
        </w:rPr>
        <w:t>Received 14,124 Restricted Stock Awards in August 2022, vesting on August 15, 2025.</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 xml:space="preserve">(10) </w:t>
      </w:r>
      <w:r>
        <w:rPr>
          <w:color w:val="000000"/>
        </w:rPr>
        <w:t>    </w:t>
      </w:r>
      <w:r>
        <w:rPr>
          <w:rFonts w:ascii="Times New Roman;sans-serif" w:hAnsi="Times New Roman;sans-serif"/>
          <w:b w:val="false"/>
          <w:color w:val="000000"/>
          <w:sz w:val="18"/>
        </w:rPr>
        <w:t>Received grant of 3,083 Restricted Stock Awards in March 2021, with one-third vested on each of March 15, 2022, March 15, 2023, and March 15, 2024; 6,935 Restricted Stock Awards granted in February 2021, with one-third vested on each of February 15, 2022, February 15, 2023 and February 15, 2024.</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(11)</w:t>
      </w:r>
      <w:r>
        <w:rPr>
          <w:color w:val="000000"/>
        </w:rPr>
        <w:t>    </w:t>
      </w:r>
      <w:r>
        <w:rPr>
          <w:rFonts w:ascii="Times New Roman;sans-serif" w:hAnsi="Times New Roman;sans-serif"/>
          <w:b w:val="false"/>
          <w:color w:val="000000"/>
          <w:sz w:val="18"/>
        </w:rPr>
        <w:t>Received a grant of 9,416 Restricted Stock Awards in August 2022, vesting on August 15, 2025.</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(12)</w:t>
      </w:r>
      <w:r>
        <w:rPr>
          <w:color w:val="000000"/>
        </w:rPr>
        <w:t xml:space="preserve">     </w:t>
      </w:r>
      <w:r>
        <w:rPr>
          <w:rFonts w:ascii="Times New Roman;sans-serif" w:hAnsi="Times New Roman;sans-serif"/>
          <w:b w:val="false"/>
          <w:color w:val="000000"/>
          <w:sz w:val="18"/>
        </w:rPr>
        <w:t xml:space="preserve">Received a grant of 17,196 Restricted Stock Awards in August 2021, vested one-third on August 2, 2022 and August 2, 2023, and one-third vesting August 2, 2024. </w:t>
      </w:r>
    </w:p>
    <w:p>
      <w:pPr>
        <w:pStyle w:val="TextBody"/>
        <w:bidi w:val="0"/>
        <w:spacing w:lineRule="auto" w:line="268" w:before="0" w:after="0"/>
        <w:ind w:left="0" w:right="0" w:hanging="450"/>
        <w:jc w:val="left"/>
        <w:rPr/>
      </w:pPr>
      <w:r>
        <w:rPr>
          <w:rFonts w:ascii="Times New Roman;sans-serif" w:hAnsi="Times New Roman;sans-serif"/>
          <w:b w:val="false"/>
          <w:color w:val="000000"/>
          <w:sz w:val="12"/>
        </w:rPr>
        <w:t>(13)</w:t>
      </w:r>
      <w:r>
        <w:rPr>
          <w:color w:val="000000"/>
        </w:rPr>
        <w:t>   </w:t>
      </w:r>
      <w:r>
        <w:rPr>
          <w:rFonts w:ascii="Times New Roman;sans-serif" w:hAnsi="Times New Roman;sans-serif"/>
          <w:b w:val="false"/>
          <w:color w:val="000000"/>
          <w:sz w:val="18"/>
        </w:rPr>
        <w:t xml:space="preserve">The value reported for in this column is the aggregate grant date fair value of stock awards granted to the NEOs, determined in accordance with FASB ASC Topic 718, using the valuation methodology for equity awards set forth in Note 15 - Stock-Based Compensation included in the Company’s Annual Report on Form 10-K for the fiscal year ended December 31, 2023. </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(14)</w:t>
      </w:r>
      <w:r>
        <w:rPr>
          <w:color w:val="000000"/>
        </w:rPr>
        <w:t xml:space="preserve">   </w:t>
      </w:r>
      <w:r>
        <w:rPr>
          <w:rFonts w:ascii="Times New Roman;sans-serif" w:hAnsi="Times New Roman;sans-serif"/>
          <w:b w:val="false"/>
          <w:color w:val="000000"/>
          <w:sz w:val="18"/>
        </w:rPr>
        <w:t>Mr. Price was appointed our Chief Financial Officer in May 2023.</w:t>
      </w:r>
    </w:p>
    <w:p>
      <w:pPr>
        <w:pStyle w:val="TextBody"/>
        <w:bidi w:val="0"/>
        <w:spacing w:lineRule="auto" w:line="288" w:before="0" w:after="0"/>
        <w:jc w:val="left"/>
        <w:rPr/>
      </w:pPr>
      <w:r>
        <w:rPr>
          <w:rFonts w:ascii="Times New Roman;sans-serif" w:hAnsi="Times New Roman;sans-serif"/>
          <w:b w:val="false"/>
          <w:color w:val="000000"/>
          <w:sz w:val="12"/>
        </w:rPr>
        <w:t>(15)</w:t>
      </w:r>
      <w:r>
        <w:rPr>
          <w:color w:val="000000"/>
        </w:rPr>
        <w:t xml:space="preserve"> </w:t>
      </w:r>
      <w:r>
        <w:rPr>
          <w:rFonts w:ascii="Times New Roman;sans-serif" w:hAnsi="Times New Roman;sans-serif"/>
          <w:b w:val="false"/>
          <w:color w:val="000000"/>
          <w:sz w:val="18"/>
        </w:rPr>
        <w:t>Received an award of 10,593 Restricted Stock Awards in August 2022, vesting on August 15, 2025.</w:t>
      </w:r>
    </w:p>
    <w:p>
      <w:pPr>
        <w:pStyle w:val="TextBody"/>
        <w:bidi w:val="0"/>
        <w:spacing w:lineRule="auto" w:line="288" w:before="0" w:after="0"/>
        <w:jc w:val="left"/>
        <w:rPr/>
      </w:pPr>
      <w:r>
        <w:rPr>
          <w:rFonts w:ascii="Times New Roman;sans-serif" w:hAnsi="Times New Roman;sans-serif"/>
          <w:b w:val="false"/>
          <w:color w:val="000000"/>
          <w:sz w:val="12"/>
        </w:rPr>
        <w:t xml:space="preserve">(16) </w:t>
      </w:r>
      <w:r>
        <w:rPr>
          <w:rFonts w:ascii="Times New Roman;sans-serif" w:hAnsi="Times New Roman;sans-serif"/>
          <w:b w:val="false"/>
          <w:color w:val="000000"/>
          <w:sz w:val="18"/>
        </w:rPr>
        <w:t>Received an award of 4,623 Restricted Stock Awards in February 2021, vested one-third in each of 2021 and 2023, and one-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third vesting in 2024.</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(17)</w:t>
      </w:r>
      <w:r>
        <w:rPr>
          <w:color w:val="000000"/>
        </w:rPr>
        <w:t xml:space="preserve">   </w:t>
      </w:r>
      <w:r>
        <w:rPr>
          <w:rFonts w:ascii="Times New Roman;sans-serif" w:hAnsi="Times New Roman;sans-serif"/>
          <w:b w:val="false"/>
          <w:color w:val="000000"/>
          <w:sz w:val="18"/>
        </w:rPr>
        <w:t>Mr. Leger was transitioned to the role of Treasurer in March 2024, and is no longer an NEO.</w:t>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Grants of Plan-Based Awards</w:t>
      </w:r>
    </w:p>
    <w:tbl>
      <w:tblPr>
        <w:tblW w:w="10205" w:type="dxa"/>
        <w:jc w:val="left"/>
        <w:tblInd w:w="0" w:type="dxa"/>
        <w:tblLayout w:type="fixed"/>
        <w:tblCellMar>
          <w:top w:w="28" w:type="dxa"/>
          <w:left w:w="28" w:type="dxa"/>
          <w:bottom w:w="28" w:type="dxa"/>
          <w:right w:w="28" w:type="dxa"/>
        </w:tblCellMar>
      </w:tblPr>
      <w:tblGrid>
        <w:gridCol w:w="197"/>
        <w:gridCol w:w="172"/>
        <w:gridCol w:w="173"/>
        <w:gridCol w:w="185"/>
        <w:gridCol w:w="185"/>
        <w:gridCol w:w="186"/>
        <w:gridCol w:w="561"/>
        <w:gridCol w:w="217"/>
        <w:gridCol w:w="110"/>
        <w:gridCol w:w="383"/>
        <w:gridCol w:w="110"/>
        <w:gridCol w:w="110"/>
        <w:gridCol w:w="561"/>
        <w:gridCol w:w="232"/>
        <w:gridCol w:w="110"/>
        <w:gridCol w:w="109"/>
        <w:gridCol w:w="109"/>
        <w:gridCol w:w="109"/>
        <w:gridCol w:w="521"/>
        <w:gridCol w:w="257"/>
        <w:gridCol w:w="110"/>
        <w:gridCol w:w="383"/>
        <w:gridCol w:w="110"/>
        <w:gridCol w:w="110"/>
        <w:gridCol w:w="521"/>
        <w:gridCol w:w="272"/>
        <w:gridCol w:w="110"/>
        <w:gridCol w:w="109"/>
        <w:gridCol w:w="109"/>
        <w:gridCol w:w="109"/>
        <w:gridCol w:w="410"/>
        <w:gridCol w:w="245"/>
        <w:gridCol w:w="246"/>
        <w:gridCol w:w="311"/>
        <w:gridCol w:w="311"/>
        <w:gridCol w:w="312"/>
        <w:gridCol w:w="238"/>
        <w:gridCol w:w="238"/>
        <w:gridCol w:w="239"/>
        <w:gridCol w:w="198"/>
        <w:gridCol w:w="744"/>
        <w:gridCol w:w="173"/>
      </w:tblGrid>
      <w:tr>
        <w:trPr/>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Non-Equity 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Equity 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Stock Awards: Number of Shares of Stock or Units</w:t>
            </w:r>
          </w:p>
        </w:tc>
        <w:tc>
          <w:tcPr>
            <w:tcW w:w="9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Option Awards: Number of Securities Underlying options (#)</w:t>
            </w:r>
          </w:p>
        </w:tc>
        <w:tc>
          <w:tcPr>
            <w:tcW w:w="7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or Base price of Option Awards ($/Sh)</w:t>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Grant Date Fair Value of Stock and Option Awards</w:t>
            </w:r>
            <w:r>
              <w:rPr>
                <w:rFonts w:ascii="Times New Roman;sans-serif" w:hAnsi="Times New Roman;sans-serif"/>
                <w:b/>
                <w:color w:val="000000"/>
                <w:sz w:val="10"/>
              </w:rPr>
              <w:t>(6)</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Grant Date</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934" w:type="dxa"/>
            <w:gridSpan w:val="3"/>
            <w:vMerge w:val="continue"/>
            <w:tcBorders/>
            <w:tcMar>
              <w:top w:w="0" w:type="dxa"/>
              <w:left w:w="0" w:type="dxa"/>
              <w:bottom w:w="0" w:type="dxa"/>
              <w:right w:w="0" w:type="dxa"/>
            </w:tcMar>
            <w:vAlign w:val="center"/>
          </w:tcPr>
          <w:p>
            <w:pPr>
              <w:pStyle w:val="Normal"/>
              <w:bidi w:val="0"/>
              <w:jc w:val="left"/>
              <w:rPr/>
            </w:pPr>
            <w:r>
              <w:rPr/>
            </w:r>
          </w:p>
        </w:tc>
        <w:tc>
          <w:tcPr>
            <w:tcW w:w="715" w:type="dxa"/>
            <w:gridSpan w:val="3"/>
            <w:vMerge w:val="continue"/>
            <w:tcBorders/>
            <w:tcMar>
              <w:top w:w="0" w:type="dxa"/>
              <w:left w:w="0" w:type="dxa"/>
              <w:bottom w:w="0" w:type="dxa"/>
              <w:right w:w="0" w:type="dxa"/>
            </w:tcMar>
            <w:vAlign w:val="center"/>
          </w:tcPr>
          <w:p>
            <w:pPr>
              <w:pStyle w:val="Normal"/>
              <w:bidi w:val="0"/>
              <w:jc w:val="left"/>
              <w:rPr/>
            </w:pPr>
            <w:r>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18"/>
              </w:rPr>
              <w:t>M. Scott Price</w:t>
            </w:r>
            <w:r>
              <w:rPr>
                <w:rFonts w:ascii="Times New Roman;sans-serif" w:hAnsi="Times New Roman;sans-serif"/>
                <w:b w:val="false"/>
                <w:color w:val="000000"/>
                <w:sz w:val="12"/>
              </w:rPr>
              <w:t>(1)</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7/5/23</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4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bidi w:val="0"/>
        <w:spacing w:before="120" w:after="283"/>
        <w:ind w:left="0" w:right="0" w:hanging="48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Received a grant of 18,645 Restricted Stock Awards in July 2023 in connection with his start of employment, vesting on July 15, 2026.</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(2)  </w:t>
      </w:r>
      <w:r>
        <w:rPr>
          <w:color w:val="000000"/>
        </w:rPr>
        <w:t>    </w:t>
      </w:r>
      <w:r>
        <w:rPr>
          <w:rFonts w:ascii="Times New Roman;sans-serif" w:hAnsi="Times New Roman;sans-serif"/>
          <w:b w:val="false"/>
          <w:color w:val="000000"/>
          <w:sz w:val="18"/>
        </w:rPr>
        <w:t>The value reported in this column is the aggregate grant date fair value of stock awards granted to the NEOs in 2023, determined in accordance with FASB ASC Topic 718.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Outstanding Equity Awards at 2023 Year End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388,569 outstanding equity awards as of December 31, 2023, including dividends paid on the outstanding equity awards in the form of additional Restricted Stock Awards, of which 239,758 were held by our NEOs.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outstanding option awards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outstanding awards of Restricted Stock Awards held by our NEOs as of December 31, 2023:</w:t>
      </w:r>
    </w:p>
    <w:tbl>
      <w:tblPr>
        <w:tblW w:w="10205" w:type="dxa"/>
        <w:jc w:val="left"/>
        <w:tblInd w:w="0" w:type="dxa"/>
        <w:tblLayout w:type="fixed"/>
        <w:tblCellMar>
          <w:top w:w="28" w:type="dxa"/>
          <w:left w:w="28" w:type="dxa"/>
          <w:bottom w:w="28" w:type="dxa"/>
          <w:right w:w="28" w:type="dxa"/>
        </w:tblCellMar>
      </w:tblPr>
      <w:tblGrid>
        <w:gridCol w:w="422"/>
        <w:gridCol w:w="282"/>
        <w:gridCol w:w="286"/>
        <w:gridCol w:w="109"/>
        <w:gridCol w:w="109"/>
        <w:gridCol w:w="109"/>
        <w:gridCol w:w="450"/>
        <w:gridCol w:w="427"/>
        <w:gridCol w:w="428"/>
        <w:gridCol w:w="109"/>
        <w:gridCol w:w="109"/>
        <w:gridCol w:w="109"/>
        <w:gridCol w:w="302"/>
        <w:gridCol w:w="1400"/>
        <w:gridCol w:w="156"/>
        <w:gridCol w:w="109"/>
        <w:gridCol w:w="109"/>
        <w:gridCol w:w="109"/>
        <w:gridCol w:w="609"/>
        <w:gridCol w:w="609"/>
        <w:gridCol w:w="611"/>
        <w:gridCol w:w="109"/>
        <w:gridCol w:w="109"/>
        <w:gridCol w:w="109"/>
        <w:gridCol w:w="457"/>
        <w:gridCol w:w="2117"/>
        <w:gridCol w:w="341"/>
      </w:tblGrid>
      <w:tr>
        <w:trPr/>
        <w:tc>
          <w:tcPr>
            <w:tcW w:w="4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 xml:space="preserve">Shares or Units that have not Vested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Market Value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Shares or Units of Stock that have not Vested </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Equity Incentive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Plan Awards: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Unearned Shares, Units or Other Rights that have not Vested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Equity Incentive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Plan Awards: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Market or Payout Value of Number of Unearned Shares, Units or Other Rights that have not Vested </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0"/>
              </w:rPr>
              <w:t>(7)</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2,155,256 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M. Scott Price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Peter Downs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350,078 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Michael A Schwartz</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284,860 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Nicolas Young</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5"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ans-serif" w:hAnsi="Times New Roman;sans-serif"/>
                <w:b w:val="false"/>
                <w:color w:val="000000"/>
                <w:sz w:val="20"/>
              </w:rPr>
              <w:t>Nicholas Leger</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195,643 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bidi w:val="0"/>
        <w:spacing w:lineRule="auto" w:line="288" w:before="200" w:after="283"/>
        <w:ind w:left="0" w:right="0" w:hanging="480"/>
        <w:jc w:val="left"/>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Mr. Sloane received an award of 61,652 Restricted Stock Awards in December 2022, plus accrued dividends, vesting on January 15, 2026; 47,081 Restricted Stock Awards in August 2022, plus accrued dividends, vesting on August 15, 2025; and 83,209 Restricted Stock Awards in February 2021 with one-third of the award vested in each of 2022, 2023 and 2024.</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Mr. Price received an award of 18,645 Restricted Stock Awards in July 2023, plus accrued dividends, vesting on July 15, 2026.</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(3) </w:t>
      </w:r>
      <w:r>
        <w:rPr>
          <w:color w:val="000000"/>
        </w:rPr>
        <w:t>     </w:t>
      </w:r>
      <w:r>
        <w:rPr>
          <w:rFonts w:ascii="Times New Roman;sans-serif" w:hAnsi="Times New Roman;sans-serif"/>
          <w:b w:val="false"/>
          <w:color w:val="000000"/>
          <w:sz w:val="18"/>
        </w:rPr>
        <w:t>Mr. Downs received an award of 17,655 Restricted Stock Awards in August 2022, plus accrued dividends, vesting on August 15, 2025; and 11,557 Restricted Stock Awards in February 2021, plus accrued dividends, with one-third of the award vested in each of 2022, 2023 and 2024.</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(4) </w:t>
      </w:r>
      <w:r>
        <w:rPr>
          <w:color w:val="000000"/>
        </w:rPr>
        <w:t>     </w:t>
      </w:r>
      <w:r>
        <w:rPr>
          <w:rFonts w:ascii="Times New Roman;sans-serif" w:hAnsi="Times New Roman;sans-serif"/>
          <w:b w:val="false"/>
          <w:color w:val="000000"/>
          <w:sz w:val="18"/>
        </w:rPr>
        <w:t>Mr. Schwartz received an award of 14,124 Restricted Stock Awards in August 2022, plus accrued dividends, vesting on August 15, 2025; 6,934 Restricted Stock Awards in February 2021, plus accrued dividends, with one-third of the award vested in each of 2022, 2023 and 2024 and an award of 3,213 Restricted Stock Awards in March 2021, plus accrued dividends, with one-third of the award vested in each of 2022, 2023 and 2024.</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(5)   </w:t>
      </w:r>
      <w:r>
        <w:rPr>
          <w:color w:val="000000"/>
        </w:rPr>
        <w:t>   </w:t>
      </w:r>
      <w:r>
        <w:rPr>
          <w:rFonts w:ascii="Times New Roman;sans-serif" w:hAnsi="Times New Roman;sans-serif"/>
          <w:b w:val="false"/>
          <w:color w:val="000000"/>
          <w:sz w:val="18"/>
        </w:rPr>
        <w:t>Mr. Young received an award of 9,416 Restricted Stock Awards in August 2022, plus accrued dividends, vesting on August 15, 2025; and 17,197 Restricted Stock Awards in August 2021, plus accrued dividends, with one-third of the award vested in each of 2022 and 2023 and one-third vesting on August 2, 2024.</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 xml:space="preserve">(6) </w:t>
      </w:r>
      <w:r>
        <w:rPr>
          <w:rFonts w:ascii="Times New Roman;sans-serif" w:hAnsi="Times New Roman;sans-serif"/>
          <w:b w:val="false"/>
          <w:color w:val="000000"/>
          <w:sz w:val="18"/>
        </w:rPr>
        <w:t>Mr. Leger received an award of 10,593 Restricted Stock Awards in August 2022, vesting on August 15, 2025; and 4,623 Restricted Stock Awards in February 2021 with one-third of the award vested in each of 2021 and 2023, and one-third vesting in 2024. Mr. Leger was transitioned to the role of Treasurer in March 2024, and is no longer an NEO.</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 xml:space="preserve">(7) </w:t>
      </w:r>
      <w:r>
        <w:rPr>
          <w:rFonts w:ascii="Times New Roman;sans-serif" w:hAnsi="Times New Roman;sans-serif"/>
          <w:b w:val="false"/>
          <w:color w:val="000000"/>
          <w:sz w:val="18"/>
        </w:rPr>
        <w:t>Based on the closing price of our Common Shares of $13.80 on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Options Exercised and Stock Vested</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in 2023. The number of Restricted Stock Awards held by the NEOs that vested in the fiscal year ended December 31, 2023 are set forth in the table below.</w:t>
      </w:r>
    </w:p>
    <w:tbl>
      <w:tblPr>
        <w:tblW w:w="10205" w:type="dxa"/>
        <w:jc w:val="left"/>
        <w:tblInd w:w="0" w:type="dxa"/>
        <w:tblLayout w:type="fixed"/>
        <w:tblCellMar>
          <w:top w:w="28" w:type="dxa"/>
          <w:left w:w="28" w:type="dxa"/>
          <w:bottom w:w="28" w:type="dxa"/>
          <w:right w:w="28" w:type="dxa"/>
        </w:tblCellMar>
      </w:tblPr>
      <w:tblGrid>
        <w:gridCol w:w="561"/>
        <w:gridCol w:w="433"/>
        <w:gridCol w:w="440"/>
        <w:gridCol w:w="109"/>
        <w:gridCol w:w="109"/>
        <w:gridCol w:w="109"/>
        <w:gridCol w:w="756"/>
        <w:gridCol w:w="756"/>
        <w:gridCol w:w="758"/>
        <w:gridCol w:w="131"/>
        <w:gridCol w:w="131"/>
        <w:gridCol w:w="131"/>
        <w:gridCol w:w="344"/>
        <w:gridCol w:w="344"/>
        <w:gridCol w:w="345"/>
        <w:gridCol w:w="109"/>
        <w:gridCol w:w="109"/>
        <w:gridCol w:w="109"/>
        <w:gridCol w:w="819"/>
        <w:gridCol w:w="747"/>
        <w:gridCol w:w="749"/>
        <w:gridCol w:w="109"/>
        <w:gridCol w:w="109"/>
        <w:gridCol w:w="109"/>
        <w:gridCol w:w="313"/>
        <w:gridCol w:w="1228"/>
        <w:gridCol w:w="238"/>
      </w:tblGrid>
      <w:tr>
        <w:trPr/>
        <w:tc>
          <w:tcPr>
            <w:tcW w:w="56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shares acquired on exercise </w:t>
              <w:br/>
              <w: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Value realized </w:t>
              <w:br/>
              <w:t xml:space="preserve">on exercise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shares acquired on vesting </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Value realized on vesting </w:t>
            </w:r>
          </w:p>
          <w:p>
            <w:pPr>
              <w:pStyle w:val="TableContents"/>
              <w:bidi w:val="0"/>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(6)</w:t>
            </w:r>
          </w:p>
        </w:tc>
      </w:tr>
      <w:tr>
        <w:trPr/>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35,693 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727,780 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 Scott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Peter Downs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Michael Schwartz</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Nicolas Young</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Former NEO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Nicholas Leger</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480"/>
        <w:jc w:val="left"/>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18"/>
        </w:rPr>
        <w:t>Mr. Sloane received an award of 83,218 Restricted Stock Awards in February 2021, with one-third of the award vested on each of February 15, 2022, February 15, 2023 and February 15, 2024; includes dividends paid on the Restricted Stock Awards in the form of additional Restricted Stock Awards,</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 xml:space="preserve">(2) </w:t>
      </w:r>
      <w:r>
        <w:rPr>
          <w:color w:val="000000"/>
        </w:rPr>
        <w:t>    </w:t>
      </w:r>
      <w:r>
        <w:rPr>
          <w:rFonts w:ascii="Times New Roman;sans-serif" w:hAnsi="Times New Roman;sans-serif"/>
          <w:b w:val="false"/>
          <w:color w:val="000000"/>
          <w:sz w:val="18"/>
        </w:rPr>
        <w:t>Mr. Downs received an award of 11,557 Restricted Stock Awards in February 2021, with one-third of the award vested on each of February 15, 2022, February 15, 2023 and February 15, 2024; includes dividends paid on the Restricted Stock Awards in the form of additional Restricted Stock Awards.</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(3)</w:t>
      </w:r>
      <w:r>
        <w:rPr>
          <w:color w:val="000000"/>
        </w:rPr>
        <w:t>    </w:t>
      </w:r>
      <w:r>
        <w:rPr>
          <w:rFonts w:ascii="Times New Roman;sans-serif" w:hAnsi="Times New Roman;sans-serif"/>
          <w:b w:val="false"/>
          <w:color w:val="000000"/>
          <w:sz w:val="18"/>
        </w:rPr>
        <w:t>Mr. Schwartz received an award of 6,935 Restricted Stock Awards in February 2021, with one-third of the award vested on each of February 15, 2022, February 15, 2023 and February 15, 2024, and 3,083 Restricted Stock Awards in March 2021, with one-third of the award vested on each of March 15, 2022, March 15, 2023 and March 15, 2024; includes dividends paid on the Restricted Stock Awards in the form of additional Restricted Stock Awards.</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(4)</w:t>
      </w:r>
      <w:r>
        <w:rPr>
          <w:color w:val="000000"/>
        </w:rPr>
        <w:t>    </w:t>
      </w:r>
      <w:r>
        <w:rPr>
          <w:rFonts w:ascii="Times New Roman;sans-serif" w:hAnsi="Times New Roman;sans-serif"/>
          <w:b w:val="false"/>
          <w:color w:val="000000"/>
          <w:sz w:val="18"/>
        </w:rPr>
        <w:t>Mr. Young received an award of 17,197 Restricted Stock Awards in August 2021, with one-third of the award vested on each of August 2, 2022 and August 2, 2023 and one-third vesting on August 2, 2024; includes dividends paid on the Restricted Stock Awards in the form of additional Restricted Stock Awards.</w:t>
      </w:r>
    </w:p>
    <w:p>
      <w:pPr>
        <w:pStyle w:val="TextBody"/>
        <w:bidi w:val="0"/>
        <w:spacing w:lineRule="auto" w:line="288" w:before="0" w:after="0"/>
        <w:ind w:left="0" w:right="0" w:hanging="450"/>
        <w:jc w:val="left"/>
        <w:rPr/>
      </w:pPr>
      <w:r>
        <w:rPr>
          <w:rFonts w:ascii="Times New Roman;sans-serif" w:hAnsi="Times New Roman;sans-serif"/>
          <w:b w:val="false"/>
          <w:color w:val="000000"/>
          <w:sz w:val="12"/>
        </w:rPr>
        <w:t>(5)    </w:t>
      </w:r>
      <w:r>
        <w:rPr>
          <w:rFonts w:ascii="Times New Roman;sans-serif" w:hAnsi="Times New Roman;sans-serif"/>
          <w:b w:val="false"/>
          <w:color w:val="000000"/>
          <w:sz w:val="18"/>
        </w:rPr>
        <w:t>Mr. Leger received an award of 4,623 Restricted Stock Awards in February 2021, with one-third of the award vested on each of February 15, 2022, February 15, 2023 and February 15, 2024; includes dividends paid on the Restricted Stock Awards in the form of additional Restricted Stock Awards,</w:t>
      </w:r>
    </w:p>
    <w:p>
      <w:pPr>
        <w:pStyle w:val="TextBody"/>
        <w:bidi w:val="0"/>
        <w:spacing w:lineRule="auto" w:line="288" w:before="0" w:after="0"/>
        <w:ind w:left="0" w:right="0" w:hanging="480"/>
        <w:jc w:val="left"/>
        <w:rPr/>
      </w:pPr>
      <w:r>
        <w:rPr>
          <w:rFonts w:ascii="Times New Roman;sans-serif" w:hAnsi="Times New Roman;sans-serif"/>
          <w:b w:val="false"/>
          <w:color w:val="000000"/>
          <w:sz w:val="12"/>
        </w:rPr>
        <w:t xml:space="preserve">(6) </w:t>
      </w:r>
      <w:r>
        <w:rPr>
          <w:color w:val="000000"/>
        </w:rPr>
        <w:t>    </w:t>
      </w:r>
      <w:r>
        <w:rPr>
          <w:rFonts w:ascii="Times New Roman;sans-serif" w:hAnsi="Times New Roman;sans-serif"/>
          <w:b w:val="false"/>
          <w:color w:val="000000"/>
          <w:sz w:val="18"/>
        </w:rPr>
        <w:t>Based on the closing price of our Common Shares of $20.39, $12.20 and $17.98 on February 15, 2023, March 15, 2023 and August 2,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Employment Agreements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separate employment agreements with the following NEOs during 2023 (each, a “2023 Employment Agreement” and collectively, the “2023 Employment Agreements”):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Barry Sloane, as Chairman, Chief Executive Officer and President;</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Nicholas Leger, as Chief Accounting Officer and Executive Vice President;</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 xml:space="preserve">Peter Downs, as Chief Lending Officer and President of Newtek Small Business Finance, LLC; </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 xml:space="preserve">Michael Schwartz, as Chief Legal Officer and Corporate Secretary; </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M. Scott Price, as Chief Financial Officer;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Nicolas Young, as President and Chief Operating Officer, Newtek Bank.</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under the 2023 Employment Agreements, Messrs. Sloane, Leger, Downs, Schwartz, Price, and Young were entitled to a set base compensation, cash bonuses pursuant to the Company’s Annual Cash Bonus Plan or by the action of the Board of Directors, and incentive compensation at the discretion of the Nominating Committee. In addition, Messrs. Sloane, Leger, Downs, Schwartz, Price and Young were entitled to other benefits, such as participation in retirement and medical and other plans, executive benefits, and paid time off and sick leave available to all employees of the Company. The 2023 Employment Agreements also provided for severance payments in the case of termination without just cause, as defined therein, or of resignation with good reason, as defined therein, and, in the cases of Messrs. Sloane, Leger, Downs, Schwartz and Young, payment if their 2023 Employment Agreements were not renewed for other than just cause. Under the 2023 Employment Agreements, during the term of their employment, Messrs. Sloane, Leger, Downs, Schwartz, Price and Young agreed to devote substantially all of their business time to the Company and to not engage in any business or activity contrary to the business or affairs of the Company. The Company agreed to indemnify Messrs. Sloane, Leger, Downs, Schwartz, Price and Young for any and all loss, expenses, or liability that he may incur as a result of their services for the Company to the extent permitted by the Company’s Bylaws.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Mr. Sloane’s 2023 Employment Agreement provided for: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twelve-month term through March 1, 2024 at an annual base salary of $700,000;</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retirement and medical plans, customary fringe benefits, paid time off and sick leave.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Mr. Leger’s 2023 Employment Agreement provided for: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twelve-month term through March 1, 2024 at an annual base salary of $400,000;</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retirement and medical plans, customary fringe benefits, paid time off and sick leave.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Downs’ 2023 Employment Agreement provided for: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twelve-month term through March 1, 2024 at an annual base salary of $625,000;</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retirement and medical plans, customary fringe benefits, paid time off and sick leave.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Mr. Schwartz’s 2023 Employment Agreement provided for: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twelve-month term through March 1, 2024 at an annual base salary of $450,000;</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retirement and medical plans, customary fringe benefits, paid time off and sick leave.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Mr. Young’s 2023 Employment Agreement with Newtek Bank provided for: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term through March 1, 2024 at an annual base salary of $650,000;</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retirement and medical plans, customary fringe benefits, paid time off and sick leave.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Mr. Price was hired in May 2023 and his 2023 Employment Agreement provided for:</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term through May 15, 2024, at an annual base salary of $400,000 from May 15, 2023 through June 30, 2023, and $433,000 for the remained of the term;</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a $133,333.33 cash bonus for 2023 (paid in 2024);</w:t>
      </w:r>
    </w:p>
    <w:p>
      <w:pPr>
        <w:pStyle w:val="TextBody"/>
        <w:bidi w:val="0"/>
        <w:spacing w:lineRule="auto" w:line="288" w:before="160" w:after="283"/>
        <w:ind w:left="0" w:right="0" w:hanging="480"/>
        <w:jc w:val="left"/>
        <w:rPr>
          <w:color w:val="000000"/>
        </w:rPr>
      </w:pPr>
      <w:r>
        <w:rPr>
          <w:color w:val="000000"/>
        </w:rPr>
        <w:t xml:space="preserve">•      </w:t>
      </w:r>
      <w:r>
        <w:rPr>
          <w:rFonts w:ascii="Times New Roman;sans-serif" w:hAnsi="Times New Roman;sans-serif"/>
          <w:b w:val="false"/>
          <w:color w:val="000000"/>
          <w:sz w:val="20"/>
        </w:rPr>
        <w:t>retirement and medical plans, customary fringe benefits, paid time off and sick leave; and</w:t>
      </w:r>
    </w:p>
    <w:p>
      <w:pPr>
        <w:pStyle w:val="TextBody"/>
        <w:bidi w:val="0"/>
        <w:spacing w:lineRule="auto" w:line="288" w:before="160" w:after="283"/>
        <w:ind w:left="0" w:right="0" w:hanging="480"/>
        <w:jc w:val="left"/>
        <w:rPr>
          <w:color w:val="000000"/>
        </w:rPr>
      </w:pPr>
      <w:r>
        <w:rPr>
          <w:color w:val="000000"/>
        </w:rPr>
        <w:t>•       </w:t>
      </w:r>
      <w:r>
        <w:rPr>
          <w:rFonts w:ascii="Times New Roman;sans-serif" w:hAnsi="Times New Roman;sans-serif"/>
          <w:b w:val="false"/>
          <w:color w:val="000000"/>
          <w:sz w:val="20"/>
        </w:rPr>
        <w:t>in addition, in connection with his hire, Mr. Price received a grant of 18,645 Restricted Stock Awards in July 2023, which Award vests on July 15, 2026.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Messrs. Sloane’s, Downs’, Young’s and Schwartz’ 2023 Employment Agreements were renewed as of April 5, 2024 for terms through March 31, 2025, at annual base salaries of $700,000, $700,000, $700,000, and $5000,000, respectively. In addition, Messrs. Downs, Young and Schwartz entered into change in control agreements with the Company which provide for severance payments, in the cases of Messrs. Downs and Schwartz, equal to 1.15 times the sum of their respective annual base compensation in effect at the time of termination plus the amount of their respective cash bonus paid with respect to the immediately preceding fiscal year, and in the case of Mr. Young, equal to 1.15 times his annual base compensation in effect at the time of termination, in the event of a Qualifying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(as defined in the change of control agreements) within the twelve months following a Change of Control (as defined in the change of control agreements). Aside from the foregoing, the other terms and provisions of Messrs. Sloane’s, Down’s, Schwartz’s and Young’s employment agreements remained substantially the same.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Leger transitioned to the role of Treasurer as of March 29, 2024, and is no longer an executive officer.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Payments upon Change of Control, Non-renewal or Termination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Sloane’s 2023 Employment Agreement provided for a payment in the event of non-renewal of his employment in an amount equal to one (1.0) times the sum of his annual base compensation in effect at the time of termination plus any cash bonus paid with respect to the preceding fiscal year, or in the case of a change of control or termination other than for just cause, an amount equal to two (2) times the sum of the his annual base salary in effect at the time of termination, plus the amount of any cash bonus paid with respect to the immediately preceding fiscal year. In addition, in the case of termination other than for just cause, all outstanding and unvested equity awards were to be accelerated in full.</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Messrs. Leger’s, Downs’ and Schwartz’ 2023 Employment Agreements provided for a payment in the case of termination other than for just cause or following a change in control, equal to one (1.0) times the sum of their current annual base compensation plus any cash bonuses paid with respect to the immediately preceding fiscal year. In addition, in the case of termination other than for cause, non-renwal or change in control, all outstanding and unvested equity awards were to be accelerated in full. In addition, in the event of non-renewal of their employment agreements, Messrs. Leger, Downs and Schwartz would be entitled to amounts equal to 50% of the sum of their respective current annual base compensation plus any cash bonus paid with respect to the immediately preceding fiscal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Messrs. Young’s and Price’s 2023 Employment Agreements provided for a payment in the case of termination other than for just cause or a change in control, equal to one (1.0) times their annual base compensation. In addition, in the case of Mr. Young’s termination other than for cause, 50% of all outstanding and unvested equity awards were to be accelerated and in the case of Mr. Price, all outstanding and unvested equity awards were to be accelerated in full. In addition, in the event of non-renewal of his 2023 Employment Agreement, Mr. Young would be entitled to an amount equal to 100% of his annual base compensation plus 50% of all outstanding and unvested equity awards were to be accelerated.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2023 Employment Agreement contained a non-competition provision that required Messrs. Sloane, Leger, Schwartz, Young, Price and Downs to devote substantially their full business time and efforts to the performance of their duties under the Employment Agreements. Messrs. Sloane, Leger, Schwartz, Young, Price and Downs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each of the 2023 Employment Agreements, the Company may terminate Messrs. Sloane’s, Leger’s, Schwartz’, Young’s, Price’s or Downs’ employment for “just cause” as defined in the respective Employment Agreement, and upon the termination, no severance benefits are available. If Messrs. Sloane, Leger, Schwartz, Young, Price or Downs voluntarily terminates his employment for “good reason” as defined in the 2023 Employment Agreements, the executive is entitled to the same payment as in the case of termination other than for cause. If the executive’s employment terminates during the term of the agreement due to death or disability, the executive shall receive his compensation and executive benefits up to the date of executive’s last day of employment, and all outstanding and unvested equity awards were to be accelerated in full. The executive is able to terminate voluntarily his agreement by providing prior written notice to the Board of Directors, in which case the executive is entitled to receive only his compensation, vested rights and benefits up to the date of termination.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2024, the Company entered into change in control agreements with each of Messrs. Downs, Young and Schwartz, which provide for severance payments in the event of a qualifying termination within the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 change of control and superseded each individuals respective Employment Agreement with respect to the severance payments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Post Termination Payments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amount of compensation that would have been payable to the NEOs under the 2023 Employment Agreements if the hypothetical termination of employment events described above had occurred on December 31, 2023, given their compensation and service levels as of such date. All payments are payable by the Company in a lump sum unless otherwise noted.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Nominating Committee deems appropriate. Therefore, the actual amounts that would be paid upon Mr. Sloane’s termination of employment can be determined only at the time of his separation from the Company.</w:t>
      </w:r>
    </w:p>
    <w:p>
      <w:pPr>
        <w:pStyle w:val="TextBody"/>
        <w:bidi w:val="0"/>
        <w:spacing w:before="0" w:after="0"/>
        <w:jc w:val="left"/>
        <w:rPr/>
      </w:pPr>
      <w:r>
        <w:rPr/>
      </w:r>
    </w:p>
    <w:tbl>
      <w:tblPr>
        <w:tblW w:w="7947" w:type="dxa"/>
        <w:jc w:val="left"/>
        <w:tblInd w:w="0" w:type="dxa"/>
        <w:tblLayout w:type="fixed"/>
        <w:tblCellMar>
          <w:top w:w="28" w:type="dxa"/>
          <w:left w:w="28" w:type="dxa"/>
          <w:bottom w:w="28" w:type="dxa"/>
          <w:right w:w="28" w:type="dxa"/>
        </w:tblCellMar>
      </w:tblPr>
      <w:tblGrid>
        <w:gridCol w:w="690"/>
        <w:gridCol w:w="602"/>
        <w:gridCol w:w="613"/>
        <w:gridCol w:w="109"/>
        <w:gridCol w:w="109"/>
        <w:gridCol w:w="109"/>
        <w:gridCol w:w="251"/>
        <w:gridCol w:w="1164"/>
        <w:gridCol w:w="130"/>
        <w:gridCol w:w="109"/>
        <w:gridCol w:w="109"/>
        <w:gridCol w:w="109"/>
        <w:gridCol w:w="211"/>
        <w:gridCol w:w="976"/>
        <w:gridCol w:w="109"/>
        <w:gridCol w:w="109"/>
        <w:gridCol w:w="109"/>
        <w:gridCol w:w="109"/>
        <w:gridCol w:w="349"/>
        <w:gridCol w:w="1616"/>
        <w:gridCol w:w="255"/>
      </w:tblGrid>
      <w:tr>
        <w:trPr/>
        <w:tc>
          <w:tcPr>
            <w:tcW w:w="6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 Termination Payments</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Control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Non-Renewal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without cause</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3,555,256 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3,555,256 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 Scott Price</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693,485 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Nicholas Leger</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795,643 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Peter Downs</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1,225,078 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Michael Schwartz</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984,860 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775,690 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 the event of termination without cause, NEO would receive the termination without cause payment in equal installments over a twelve (12) month period following termination of employment.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 the event of the non-renewal of NEO’s employment agreement, NEO would receive the non-renewal payment in equal installments over the six (6) month period following the non-renewal of the employment agreement.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 the event of the termination without cause or non-renewal, NEO would receive the first $500,000 of the payment in a lump sum within thirty (30) days after termination, with the remaining amount of the payment paid in equal installments over a six (6) month period following non-renewal or termination.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Nonqualified Deferred Compensation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nonqualified deferred compensation in the year ended December 31,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Pension Benefits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obligation under pension benefit plans to the NEOs as of December 31,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Tax and Accounting Implications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Stock-Based Compensation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January 1, 2006, the Company began accounting for stock-based payments under its three incentive stock plans in accordance with the requirements of FASB ASC Topic 718.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equity compensation plan information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94"/>
        <w:gridCol w:w="610"/>
        <w:gridCol w:w="616"/>
        <w:gridCol w:w="109"/>
        <w:gridCol w:w="109"/>
        <w:gridCol w:w="109"/>
        <w:gridCol w:w="563"/>
        <w:gridCol w:w="359"/>
        <w:gridCol w:w="359"/>
        <w:gridCol w:w="359"/>
        <w:gridCol w:w="359"/>
        <w:gridCol w:w="361"/>
        <w:gridCol w:w="109"/>
        <w:gridCol w:w="109"/>
        <w:gridCol w:w="109"/>
        <w:gridCol w:w="609"/>
        <w:gridCol w:w="609"/>
        <w:gridCol w:w="610"/>
        <w:gridCol w:w="109"/>
        <w:gridCol w:w="109"/>
        <w:gridCol w:w="109"/>
        <w:gridCol w:w="722"/>
        <w:gridCol w:w="438"/>
        <w:gridCol w:w="438"/>
        <w:gridCol w:w="438"/>
        <w:gridCol w:w="438"/>
        <w:gridCol w:w="642"/>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Stock Awards,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Under Equity Compensation Plans (excluding securities reflected in column (a))</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388,569 shares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2,917,523 shares</w:t>
            </w:r>
          </w:p>
        </w:tc>
        <w:tc>
          <w:tcPr>
            <w:tcW w:w="15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bidi w:val="0"/>
        <w:spacing w:lineRule="auto" w:line="268" w:before="0" w:after="0"/>
        <w:ind w:left="0" w:right="0" w:hanging="480"/>
        <w:jc w:val="both"/>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20"/>
        </w:rPr>
        <w:t>Represents 84,980 Restricted Stock Awards granted under the 2023 Stock Plan and 303,589 Restricted Stock Awards granted under the 2015 Stock Plan.</w:t>
      </w:r>
    </w:p>
    <w:p>
      <w:pPr>
        <w:pStyle w:val="TextBody"/>
        <w:bidi w:val="0"/>
        <w:spacing w:lineRule="auto" w:line="268" w:before="0" w:after="0"/>
        <w:ind w:left="0" w:right="0" w:hanging="45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20"/>
        </w:rPr>
        <w:t>Represents 2,917,523 Common Shares available for issuance pursuant to the 2023 Stock Plan. No securities remain available for future issuance under the 2015 Stock Plan and 2014 Plan as the Nominating Committee terminated the 2015 Stock Plan and 2014 Plan on April 26, 2023.</w:t>
      </w:r>
    </w:p>
    <w:p>
      <w:pPr>
        <w:pStyle w:val="TextBody"/>
        <w:bidi w:val="0"/>
        <w:spacing w:before="0" w:after="0"/>
        <w:ind w:left="0" w:right="0" w:hanging="450"/>
        <w:jc w:val="both"/>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THE BOARD BELIEVES THAT A VOTE FOR THE PROPOSAL TO ELECT EACH OF THE DIRECTORS OF THE COMPANY AS DESCRIBED ABOVE IS IN THE BEST INTEREST OF OUR SHAREHOLDERS AND RECOMMENDS A VOTE “FOR” EACH OF THE DIRECTORS INCLUDED IN SUCH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II — RATIFICATION OF INDEPENDENT AUDITORS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and our independent directors, have reappointed RSM as our independent accountants to audit our consolidated financial statements for the fiscal year ending December 31, 2024, and the Audit Committee has asked that this selection be ratified by our shareholders.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304(a)(1)(iv) or 304(a)(1)(v), respectively, of Regulation S-K promulgated under the Exchange Act. RSM has advised us that neither the firm nor any present member or associate of it has any material financial interest, direct or indirect, in us or our affiliates.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Representatives of RSM are expected to be present at the Annual Meeting. They will have an opportunity to make a statement if they so desire and will be available to respond to appropriate questions.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ratification of the selection of RSM as our independent accountants for the fiscal year ending December 31, 2024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2024, but the Audit Committee is not bound by the outcome of the vote.</w:t>
      </w:r>
    </w:p>
    <w:p>
      <w:pPr>
        <w:pStyle w:val="TextBody"/>
        <w:bidi w:val="0"/>
        <w:spacing w:lineRule="auto" w:line="288" w:before="160" w:after="283"/>
        <w:ind w:left="0" w:right="0" w:firstLine="480"/>
        <w:jc w:val="left"/>
        <w:rPr/>
      </w:pPr>
      <w:r>
        <w:rPr>
          <w:rFonts w:ascii="Times New Roman;sans-serif" w:hAnsi="Times New Roman;sans-serif"/>
          <w:b/>
          <w:color w:val="000000"/>
          <w:sz w:val="20"/>
        </w:rPr>
        <w:t>THE BOARD BELIEVES THAT A VOTE FOR THE PROPOSAL TO RATIFY THE SELECTION OF THE INDEPENDENT AUDITORS AS DESCRIBED ABOVE IS IN THE BEST INTERESTS OF OUR SHAREHOLDERS AND RECOMMENDS A VOTE “FOR” SUCH PROPOSAL</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PRINCIPAL ACCOUNTING FEES AND SERVICES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Audit Fees and Services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Fees for professional services rendered to the Company by RSM during the fiscal year ended December 31, 2023 were as follows (in thousands):</w:t>
      </w:r>
    </w:p>
    <w:tbl>
      <w:tblPr>
        <w:tblW w:w="2968" w:type="dxa"/>
        <w:jc w:val="left"/>
        <w:tblInd w:w="0" w:type="dxa"/>
        <w:tblLayout w:type="fixed"/>
        <w:tblCellMar>
          <w:top w:w="28" w:type="dxa"/>
          <w:left w:w="28" w:type="dxa"/>
          <w:bottom w:w="28" w:type="dxa"/>
          <w:right w:w="28" w:type="dxa"/>
        </w:tblCellMar>
      </w:tblPr>
      <w:tblGrid>
        <w:gridCol w:w="559"/>
        <w:gridCol w:w="490"/>
        <w:gridCol w:w="495"/>
        <w:gridCol w:w="109"/>
        <w:gridCol w:w="109"/>
        <w:gridCol w:w="109"/>
        <w:gridCol w:w="109"/>
        <w:gridCol w:w="109"/>
        <w:gridCol w:w="109"/>
        <w:gridCol w:w="308"/>
        <w:gridCol w:w="308"/>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related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54" w:type="dxa"/>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Fees for professional services rendered to the Company by RSM during the fiscal year ended December 31, 2022 were as follows (in thousands):</w:t>
      </w:r>
    </w:p>
    <w:tbl>
      <w:tblPr>
        <w:tblW w:w="2968" w:type="dxa"/>
        <w:jc w:val="left"/>
        <w:tblInd w:w="0" w:type="dxa"/>
        <w:tblLayout w:type="fixed"/>
        <w:tblCellMar>
          <w:top w:w="28" w:type="dxa"/>
          <w:left w:w="28" w:type="dxa"/>
          <w:bottom w:w="28" w:type="dxa"/>
          <w:right w:w="28" w:type="dxa"/>
        </w:tblCellMar>
      </w:tblPr>
      <w:tblGrid>
        <w:gridCol w:w="559"/>
        <w:gridCol w:w="490"/>
        <w:gridCol w:w="495"/>
        <w:gridCol w:w="109"/>
        <w:gridCol w:w="109"/>
        <w:gridCol w:w="109"/>
        <w:gridCol w:w="109"/>
        <w:gridCol w:w="109"/>
        <w:gridCol w:w="109"/>
        <w:gridCol w:w="308"/>
        <w:gridCol w:w="308"/>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related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54" w:type="dxa"/>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left"/>
        <w:rPr/>
      </w:pPr>
      <w:r>
        <w:rPr>
          <w:rFonts w:ascii="Times New Roman;sans-serif" w:hAnsi="Times New Roman;sans-serif"/>
          <w:b w:val="false"/>
          <w:i/>
          <w:color w:val="000000"/>
          <w:sz w:val="20"/>
        </w:rPr>
        <w:t>Audit Fees:</w:t>
      </w:r>
      <w:r>
        <w:rPr>
          <w:color w:val="000000"/>
        </w:rPr>
        <w:t>    </w:t>
      </w:r>
      <w:r>
        <w:rPr>
          <w:rFonts w:ascii="Times New Roman;sans-serif" w:hAnsi="Times New Roman;sans-serif"/>
          <w:b w:val="false"/>
          <w:color w:val="000000"/>
          <w:sz w:val="20"/>
        </w:rPr>
        <w:t>The audit fees for the fiscal years ended December 31, 2023 and 2022 were for professional services rendered in connection with the audits of the Company’s annual financial statements, assistance with review of documents filed with the SEC, consents and other services required to be performed by our independent registered public accounting firm.</w:t>
      </w:r>
    </w:p>
    <w:p>
      <w:pPr>
        <w:pStyle w:val="TextBody"/>
        <w:bidi w:val="0"/>
        <w:spacing w:lineRule="auto" w:line="288" w:before="160" w:after="283"/>
        <w:ind w:left="0" w:right="0" w:firstLine="480"/>
        <w:jc w:val="left"/>
        <w:rPr/>
      </w:pPr>
      <w:r>
        <w:rPr>
          <w:rFonts w:ascii="Times New Roman;sans-serif" w:hAnsi="Times New Roman;sans-serif"/>
          <w:b w:val="false"/>
          <w:i/>
          <w:color w:val="000000"/>
          <w:sz w:val="20"/>
        </w:rPr>
        <w:t>Audit-Related Fees:</w:t>
      </w:r>
      <w:r>
        <w:rPr>
          <w:color w:val="000000"/>
        </w:rPr>
        <w:t>    </w:t>
      </w:r>
      <w:r>
        <w:rPr>
          <w:rFonts w:ascii="Times New Roman;sans-serif" w:hAnsi="Times New Roman;sans-serif"/>
          <w:b w:val="false"/>
          <w:color w:val="000000"/>
          <w:sz w:val="20"/>
        </w:rPr>
        <w:t>All other fees billed to the Company by RSM during the fiscal years ended December 31, 2023 and 2022 for non-audit services and assurance and related services for attestations not required by law.</w:t>
      </w:r>
    </w:p>
    <w:p>
      <w:pPr>
        <w:pStyle w:val="TextBody"/>
        <w:bidi w:val="0"/>
        <w:spacing w:lineRule="auto" w:line="288" w:before="160" w:after="283"/>
        <w:ind w:left="0" w:right="0" w:firstLine="480"/>
        <w:jc w:val="left"/>
        <w:rPr/>
      </w:pPr>
      <w:r>
        <w:rPr>
          <w:rFonts w:ascii="Times New Roman;sans-serif" w:hAnsi="Times New Roman;sans-serif"/>
          <w:b w:val="false"/>
          <w:i/>
          <w:color w:val="000000"/>
          <w:sz w:val="20"/>
        </w:rPr>
        <w:t>Tax Fees:</w:t>
      </w:r>
      <w:r>
        <w:rPr>
          <w:color w:val="000000"/>
        </w:rPr>
        <w:t>    </w:t>
      </w:r>
      <w:r>
        <w:rPr>
          <w:rFonts w:ascii="Times New Roman;sans-serif" w:hAnsi="Times New Roman;sans-serif"/>
          <w:b w:val="false"/>
          <w:color w:val="000000"/>
          <w:sz w:val="20"/>
        </w:rPr>
        <w:t>Tax fees were for professional services rendered in connection with tax compliance, tax advice, and tax planning.</w:t>
      </w:r>
    </w:p>
    <w:p>
      <w:pPr>
        <w:pStyle w:val="TextBody"/>
        <w:bidi w:val="0"/>
        <w:spacing w:lineRule="auto" w:line="288" w:before="160" w:after="283"/>
        <w:ind w:left="0" w:right="0" w:firstLine="480"/>
        <w:jc w:val="left"/>
        <w:rPr/>
      </w:pPr>
      <w:r>
        <w:rPr>
          <w:rFonts w:ascii="Times New Roman;sans-serif" w:hAnsi="Times New Roman;sans-serif"/>
          <w:b w:val="false"/>
          <w:i/>
          <w:color w:val="000000"/>
          <w:sz w:val="20"/>
        </w:rPr>
        <w:t>All Other Fees:</w:t>
      </w:r>
      <w:r>
        <w:rPr>
          <w:color w:val="000000"/>
        </w:rPr>
        <w:t>    </w:t>
      </w:r>
      <w:r>
        <w:rPr>
          <w:rFonts w:ascii="Times New Roman;sans-serif" w:hAnsi="Times New Roman;sans-serif"/>
          <w:b w:val="false"/>
          <w:color w:val="000000"/>
          <w:sz w:val="20"/>
        </w:rPr>
        <w:t>Non-audit related services billed by RSM were primarily related to the Company’s Form S-3 and other SEC filings.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Audit Committee Charter, all of the foregoing audit and non-audit fees paid to, and the related services provided by, RSM were pre-approved by the Audit Committee after consulting with the Company’s Chief Accounting Officer.</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2023, the Audit Committee convened 4 times to discuss with management and the independent auditors their respective accounting, auditing and financial reporting responsibilities with respect to the fiscal years 2023 and 2022.</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December 31, 2023 financial statements of the Company, the Audit Committee reviewed and discussed the audited and interim unaudited financial statements with management, and received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pPr>
      <w:r>
        <w:rPr>
          <w:rFonts w:ascii="Times New Roman;sans-serif" w:hAnsi="Times New Roman;sans-serif"/>
          <w:b w:val="false"/>
          <w:color w:val="000000"/>
          <w:sz w:val="20"/>
        </w:rPr>
        <w:t xml:space="preserve">discussed with the auditors the matters required by Auditing Standard No. 1301 of the Public Company Accounting Oversight Board’s (“PCAOB”) Rule 3526, </w:t>
      </w:r>
      <w:r>
        <w:rPr>
          <w:rFonts w:ascii="Times New Roman;sans-serif" w:hAnsi="Times New Roman;sans-serif"/>
          <w:b w:val="false"/>
          <w:i/>
          <w:color w:val="000000"/>
          <w:sz w:val="20"/>
        </w:rPr>
        <w:t>Communication with Audit Committees Concerning Independence</w:t>
      </w:r>
      <w:r>
        <w:rPr>
          <w:rFonts w:ascii="Times New Roman;sans-serif" w:hAnsi="Times New Roman;sans-serif"/>
          <w:b w:val="false"/>
          <w:color w:val="000000"/>
          <w:sz w:val="20"/>
        </w:rPr>
        <w:t>.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2023,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2023, for filing with the Securities and Exchange Commission.</w:t>
      </w:r>
    </w:p>
    <w:p>
      <w:pPr>
        <w:pStyle w:val="TextBody"/>
        <w:bidi w:val="0"/>
        <w:spacing w:before="160" w:after="283"/>
        <w:ind w:left="0" w:right="0" w:firstLine="480"/>
        <w:jc w:val="left"/>
        <w:rPr/>
      </w:pPr>
      <w:r>
        <w:rPr/>
      </w:r>
    </w:p>
    <w:tbl>
      <w:tblPr>
        <w:tblW w:w="4346"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654"/>
        <w:gridCol w:w="654"/>
        <w:gridCol w:w="92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Respectfully submitted,</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 Chairman</w:t>
              <w:br/>
              <w:t>Salvatore Mulia</w:t>
              <w:br/>
              <w:t>Gregory Zink</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III — ADVISORY VOTE ON COMPENSATION OF NAMED EXECUTIVE OFFICERS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SEC rules adopted under the Dodd-Frank Act, we are conducting a shareholder advisory vote on the compensation paid to our named executive officers. Although the vote is advisory and is not binding on the Board of Directors, the Company or the Nominating Committee, the Nominating Committee will take into account the outcome of the vote when considering future executive compensation decisions.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At our 2023 Annual Meeting, we provided our shareholders with the opportunity to cast an advisory vote on say-on-pay with respect to the NEO compensation disclosed in our proxy statement. Approximately ninety-four percent of the votes cast by our shareholders were in favor of our advisory vote on say-on-pay at the 2023 Annual Meeting.</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You are encouraged to read the detailed information under “Executive Compensation” of this Proxy Statement for additional details about our executive compensation programs.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strongly endorses the Company’s executive compensation program and recommends that shareholders vote in favor of the following resolution: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RESOLVED, that the shareholders of NewtekOne, Inc. hereby approve on an advisory basis, the compensation paid to the Company’s NEOs, as disclosed pursuant to Item 402 of Regulation S-K to the Company’s Proxy Statement for the 2024 Annual Meeting of Shareholders, including the Compensation Discussion and Analysis, executive compensation tables and narrative discussion.</w:t>
      </w:r>
    </w:p>
    <w:p>
      <w:pPr>
        <w:pStyle w:val="TextBody"/>
        <w:bidi w:val="0"/>
        <w:spacing w:lineRule="auto" w:line="288" w:before="160" w:after="283"/>
        <w:ind w:left="0" w:right="0" w:firstLine="480"/>
        <w:jc w:val="left"/>
        <w:rPr>
          <w:rFonts w:ascii="Times New Roman;sans-serif" w:hAnsi="Times New Roman;sans-serif"/>
          <w:b/>
          <w:color w:val="000000"/>
          <w:sz w:val="20"/>
        </w:rPr>
      </w:pPr>
      <w:r>
        <w:rPr>
          <w:rFonts w:ascii="Times New Roman;sans-serif" w:hAnsi="Times New Roman;sans-serif"/>
          <w:b/>
          <w:color w:val="000000"/>
          <w:sz w:val="20"/>
        </w:rPr>
        <w:t>THE BOARD OF DIRECTORS RECOMMENDS THAT SHAREHOLDERS VOTE “FOR” THE APPROVAL OF THE RESOLUTION RELATED TO COMPENSATION OF NAMED EXECUTIVE OFFICERS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IV — APPROVE AN AMENDMENT TO THE COMPANY’S CHARTER TO ALLOW THE COMPANY’S SHAREHOLDERS TO AMEND THE BYLAWS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resolution whereby it has declared advisable, and recommends for your approval, an amendment to Article VI, Section 5.6 of the Company’s Articles of Amendment and Restatement (the Charter), to provide that the Company’s Bylaws may be amended by the vote of a majority of our entire Board of Directors or by our shareholders by the affirmative vote of a majority of all the votes entitled to be cast on the matter (the “Charter Amendment”). Currently, Article VI, Section 5.6 of the Company’s Charter provides that our Board of Directors has the exclusive power to make, alter, amend or repeal the Bylaws.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Board is committed to strong and effective corporate governance and monitors regularly our corporate governance policies and practices. After careful consideration, our Board believes that allowing our shareholders to amend our Bylaws by the affirmative vote of a majority of all the votes entitled to be cast on the matter is in the Company’s best interests and in the best interests of our shareholders. A copy of the proposed Charter Amendment is attached as Appendix A to this Proxy Statement and incorporated by reference into this Proposal IV. If this Charter Amendment is approved by the Company’s shareholders, the Board of Directors will similarly amend the Company’s Bylaws. If this Charter Amendment is not approved by shareholders, then the Board of Directors will not amend the Company’s Charter or Bylaws to provide this right to shareholders,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shareholders will not have the power to alter or repeal any provision of the Bylaws providing indemnification or advancement rights to any person.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meetings of shareholders held on July 26, 2018, August 2, 2019, July 10, 2020 and September 30, 2022, the Board of Directors recommended that the shareholders approve the Charter Amendment. The shareholders failed to pass the Charter Amendment at each of these prior meetings. The Board continues to believe that the Charter Amendment is in the Company’s best interests and is therefore, resubmitting the Charter Amendment proposal.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bidi w:val="0"/>
        <w:spacing w:before="0" w:after="0"/>
        <w:ind w:left="0" w:right="0" w:firstLine="13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all the votes entitled to be cast on the matter is required to amend the Company’s Charter to allow shareholders to amend the Bylaws by the affirmative vote of a majority of all the votes entitled to be cast on the matter. For purposes of the vote on this Proposal IV, abstentions and broker non-votes will have the effect of a vote against this proposal.</w:t>
      </w:r>
    </w:p>
    <w:p>
      <w:pPr>
        <w:pStyle w:val="TextBody"/>
        <w:bidi w:val="0"/>
        <w:spacing w:before="0" w:after="0"/>
        <w:ind w:left="0" w:right="0" w:firstLine="1320"/>
        <w:jc w:val="left"/>
        <w:rPr/>
      </w:pPr>
      <w:r>
        <w:rPr/>
      </w:r>
    </w:p>
    <w:p>
      <w:pPr>
        <w:pStyle w:val="TextBody"/>
        <w:bidi w:val="0"/>
        <w:spacing w:lineRule="auto" w:line="247" w:before="0" w:after="0"/>
        <w:jc w:val="left"/>
        <w:rPr>
          <w:rFonts w:ascii="Times New Roman;sans-serif" w:hAnsi="Times New Roman;sans-serif"/>
          <w:b/>
          <w:color w:val="231F20"/>
          <w:sz w:val="20"/>
        </w:rPr>
      </w:pPr>
      <w:r>
        <w:rPr>
          <w:rFonts w:ascii="Times New Roman;sans-serif" w:hAnsi="Times New Roman;sans-serif"/>
          <w:b/>
          <w:color w:val="231F20"/>
          <w:sz w:val="20"/>
        </w:rPr>
        <w:t>THE BOARD OF DIRECTORS BELIEVES THAT A VOTE “FOR” PROPOSAL IV TO AMEND THE COMPANY’S CHARTER TO ALLOW SHAREHOLDERS TO AMEND THE COMPANY’S BYLAWS IS IN THE BEST INTERESTS OF OUR SHAREHOLDERS AND RECOMMENDS A VOTE “FOR” THE APPROVAL OF THIS PROPOSAL IV.</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ANNUAL MEETING TO BE HELD ON JUNE 14, 2023</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 xml:space="preserve">The Proxy Statement and Annual Report for the year ended December 31, 2023 are available on the internet at </w:t>
      </w:r>
      <w:r>
        <w:rPr>
          <w:rFonts w:ascii="Times New Roman;sans-serif" w:hAnsi="Times New Roman;sans-serif"/>
          <w:b w:val="false"/>
          <w:i/>
          <w:color w:val="000000"/>
          <w:sz w:val="20"/>
        </w:rPr>
        <w:t>http://www.proxyvote.com.</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 xml:space="preserve">We file annual, quarterly and current reports, Proxy Statements and other information with the SEC at 100 F Street, N.E., Washington, D.C. 20549. Our SEC filings are also available to the public from commercial document retrieval services and on the web site maintained by the SEC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Such information will also be furnished upon written request to NewtekOne, Inc., 1981 Marcus Avenue, Suite 130, Lake Success, New York 11042, Attention: Corporate Secretary, and can also be accessed through our website at </w:t>
      </w:r>
      <w:r>
        <w:rPr>
          <w:rFonts w:ascii="Times New Roman;sans-serif" w:hAnsi="Times New Roman;sans-serif"/>
          <w:b w:val="false"/>
          <w:i/>
          <w:color w:val="000000"/>
          <w:sz w:val="20"/>
        </w:rPr>
        <w:t>www.newtekone.com</w:t>
      </w:r>
      <w:r>
        <w:rPr>
          <w:rFonts w:ascii="Times New Roman;sans-serif" w:hAnsi="Times New Roman;sans-serif"/>
          <w:b w:val="false"/>
          <w:color w:val="000000"/>
          <w:sz w:val="20"/>
        </w:rPr>
        <w:t>.</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NewtekOne, Inc.,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CONFIDENTIALITY OF PROXIES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COSTS OF PROXY SOLICITATIONS; SHAREHOLDER COMMUNICATIONS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may send written communications to the Board of Directors to the attention of the Board of Directors, c/o NewtekOne, Inc. 1981 Marcus Avenue, Suite 130, Lake Success, New York 11042. Shareholder communications must be signed by the shareholder and identify the number of Common Shares held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Each properly submitted shareholder communication will be provided to the Board of Directors at its next meeting or, if such communication requires more immediate attention, it will be forwarded to the Directors promptly after receipt.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SHAREHOLDER PROPOSALS</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the 2025 annual meeting of shareholders will be held on or about June 13, 2025, but the exact date, time, and location of such meeting may change. A shareholder who intends to present a proposal at the 2025 annual meeting of shareholders pursuant to the SEC’s Rule 14a-8 must submit the proposal in writing to the Corporate Secretary of the Company at 1981 Marcus Avenue, Suite 130, Lake Success, New York 11042. The Company must receive the proposal no later than December 27, 2024, in order for the proposal to be considered for inclusion in the Company’s proxy statement for that meeting. The submission of a proposal does not guarantee its inclusion in the Company’s proxy statement or presentation at the meeting.</w:t>
      </w:r>
    </w:p>
    <w:p>
      <w:pPr>
        <w:pStyle w:val="TextBody"/>
        <w:bidi w:val="0"/>
        <w:spacing w:lineRule="auto" w:line="288" w:before="160" w:after="283"/>
        <w:ind w:left="0" w:right="0" w:firstLine="480"/>
        <w:jc w:val="left"/>
        <w:rPr/>
      </w:pPr>
      <w:r>
        <w:rPr>
          <w:rFonts w:ascii="Times New Roman;sans-serif" w:hAnsi="Times New Roman;sans-serif"/>
          <w:b w:val="false"/>
          <w:color w:val="000000"/>
          <w:sz w:val="20"/>
        </w:rPr>
        <w:t>Shareholder proposals or director nominations to be presented at the 2025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first anniversary of the date of this proxy statement nor later than 5:00 p.m., Eastern Time, on the 120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first anniversary of the date of this proxy statement. As a result, for the Company’s 2025 annual meeting of shareholders, a shareholder’s notice pursuant to these provisions of our bylaws must be received no earlier than November 27, 2024 and no later than 5:00 p.m., Eastern Time, on December 27, 2024; provided, however, that in the event that the date of the 2025 annual meeting of shareholders is advanced or delayed by more than 30 days from the first anniversary of this Annual Meeting, notice by the shareholder to be timely must be so delivered not earlier than the 150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date of the 2025 annual meeting of shareholders and not later than 5:00 p.m., Eastern Time, on the later of the 120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date of the 2025 annual meeting of shareholders, as originally convened, or the tenth day following the day on which public announcement of the date of the 2025 annual meeting of shareholders is first made. The public announcement of a postponement or adjournment of an annual meeting shall not commence a new time period for the giving of a shareholder’s notice.</w:t>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satisfying the foregoing requirements under the Company’s Bylaws, to comply with the universal proxy rules, shareholders who intend to solicit proxies in support of director nominees other than the Company’s nominees for the 2025 annual meeting of shareholders must provide notice that sets forth the information required by Rule 14a-19 under the Exchange Act no later than April 15, 2025.</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w:t>
      </w:r>
    </w:p>
    <w:tbl>
      <w:tblPr>
        <w:tblW w:w="41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30"/>
        <w:gridCol w:w="1030"/>
        <w:gridCol w:w="14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Schwartz</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Schwartz, Corporate Secretary</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APPENDIX A</w:t>
      </w:r>
    </w:p>
    <w:p>
      <w:pPr>
        <w:pStyle w:val="TextBody"/>
        <w:bidi w:val="0"/>
        <w:spacing w:lineRule="auto" w:line="268" w:before="0" w:after="240"/>
        <w:jc w:val="center"/>
        <w:rPr>
          <w:rFonts w:ascii="Times New Roman;sans-serif" w:hAnsi="Times New Roman;sans-serif"/>
          <w:b/>
          <w:color w:val="000000"/>
          <w:sz w:val="20"/>
        </w:rPr>
      </w:pPr>
      <w:r>
        <w:rPr>
          <w:rFonts w:ascii="Times New Roman;sans-serif" w:hAnsi="Times New Roman;sans-serif"/>
          <w:b/>
          <w:color w:val="000000"/>
          <w:sz w:val="20"/>
        </w:rPr>
        <w:t>PROPOSED CHARTER AMENDMENT</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NEWTEKONE, INC.</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ARTICLES OF AMENDMENT</w:t>
      </w:r>
    </w:p>
    <w:p>
      <w:pPr>
        <w:pStyle w:val="TextBody"/>
        <w:bidi w:val="0"/>
        <w:spacing w:before="0" w:after="0"/>
        <w:jc w:val="center"/>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NEWTEKONE, INC., a Maryland corporation (the “</w:t>
      </w:r>
      <w:r>
        <w:rPr>
          <w:rFonts w:ascii="Times New Roman;sans-serif" w:hAnsi="Times New Roman;sans-serif"/>
          <w:b/>
          <w:i/>
          <w:color w:val="000000"/>
          <w:sz w:val="20"/>
        </w:rPr>
        <w:t>Corporation</w:t>
      </w:r>
      <w:r>
        <w:rPr>
          <w:color w:val="000000"/>
        </w:rPr>
        <w:t>”</w:t>
      </w:r>
      <w:r>
        <w:rPr>
          <w:rFonts w:ascii="Times New Roman;sans-serif" w:hAnsi="Times New Roman;sans-serif"/>
          <w:b w:val="false"/>
          <w:color w:val="000000"/>
          <w:sz w:val="20"/>
        </w:rPr>
        <w:t>), hereby certifies to the State Department of Assessments and Taxation of Maryland that: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i/>
          <w:color w:val="000000"/>
          <w:sz w:val="20"/>
        </w:rPr>
        <w:t>FIRST</w:t>
      </w:r>
      <w:r>
        <w:rPr>
          <w:rFonts w:ascii="Times New Roman;sans-serif" w:hAnsi="Times New Roman;sans-serif"/>
          <w:b w:val="false"/>
          <w:color w:val="000000"/>
          <w:sz w:val="20"/>
        </w:rPr>
        <w:t>: Article VI, Section 5.6 of the Articles of Amendment and Restatement of the Corporation filed on October 31, 2014 (the “</w:t>
      </w:r>
      <w:r>
        <w:rPr>
          <w:rFonts w:ascii="Times New Roman;sans-serif" w:hAnsi="Times New Roman;sans-serif"/>
          <w:b/>
          <w:i/>
          <w:color w:val="000000"/>
          <w:sz w:val="20"/>
        </w:rPr>
        <w:t>Charter</w:t>
      </w:r>
      <w:r>
        <w:rPr>
          <w:color w:val="000000"/>
        </w:rPr>
        <w:t>”</w:t>
      </w:r>
      <w:r>
        <w:rPr>
          <w:rFonts w:ascii="Times New Roman;sans-serif" w:hAnsi="Times New Roman;sans-serif"/>
          <w:b w:val="false"/>
          <w:color w:val="000000"/>
          <w:sz w:val="20"/>
        </w:rPr>
        <w:t>) is hereby amended by deleting such Section 5.6 and replacing it in its entirety with the following:</w:t>
      </w:r>
    </w:p>
    <w:p>
      <w:pPr>
        <w:pStyle w:val="TextBody"/>
        <w:bidi w:val="0"/>
        <w:spacing w:before="0" w:after="0"/>
        <w:ind w:left="0" w:right="0" w:firstLine="360"/>
        <w:jc w:val="left"/>
        <w:rPr/>
      </w:pPr>
      <w:r>
        <w:rPr/>
      </w:r>
    </w:p>
    <w:p>
      <w:pPr>
        <w:pStyle w:val="TextBody"/>
        <w:bidi w:val="0"/>
        <w:spacing w:lineRule="auto" w:line="26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ind w:left="0" w:right="0" w:firstLine="360"/>
        <w:jc w:val="center"/>
        <w:rPr/>
      </w:pPr>
      <w:r>
        <w:rPr/>
      </w:r>
    </w:p>
    <w:p>
      <w:pPr>
        <w:pStyle w:val="TextBody"/>
        <w:bidi w:val="0"/>
        <w:spacing w:lineRule="auto" w:line="268" w:before="0" w:after="0"/>
        <w:ind w:left="0" w:right="0" w:firstLine="360"/>
        <w:jc w:val="left"/>
        <w:rPr/>
      </w:pPr>
      <w:r>
        <w:rPr>
          <w:color w:val="000000"/>
        </w:rPr>
        <w:t>“</w:t>
      </w:r>
      <w:r>
        <w:rPr>
          <w:rFonts w:ascii="Times New Roman;sans-serif" w:hAnsi="Times New Roman;sans-serif"/>
          <w:b w:val="false"/>
          <w:color w:val="000000"/>
          <w:sz w:val="20"/>
        </w:rPr>
        <w:t xml:space="preserve">Section 5.6 </w:t>
      </w:r>
      <w:r>
        <w:rPr>
          <w:rFonts w:ascii="Times New Roman;sans-serif" w:hAnsi="Times New Roman;sans-serif"/>
          <w:b w:val="false"/>
          <w:color w:val="000000"/>
          <w:sz w:val="20"/>
          <w:u w:val="single"/>
        </w:rPr>
        <w:t>Charter and Bylaws</w:t>
      </w:r>
      <w:r>
        <w:rPr>
          <w:rFonts w:ascii="Times New Roman;sans-serif" w:hAnsi="Times New Roman;sans-serif"/>
          <w:b w:val="false"/>
          <w:color w:val="000000"/>
          <w:sz w:val="20"/>
        </w:rPr>
        <w:t>. All persons who shall acquire stock in the Corporation shall acquire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 subject to the provisions of the charter and the Bylaws. The Board of Directors is vested with the power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 alter or repeal any provision of the Bylaws and to make new Bylaws. In addition, the stockholders may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 alter or repeal any provision of the Bylaws and make new Bylaws if such action is approved by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all votes entitled to be cast on the matter, except that the stockholders shall not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have the power to alter or repeal any provision of the Bylaws providing indemnification or advancement rights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person.”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i/>
          <w:color w:val="000000"/>
          <w:sz w:val="20"/>
        </w:rPr>
        <w:t>SECOND</w:t>
      </w:r>
      <w:r>
        <w:rPr>
          <w:rFonts w:ascii="Times New Roman;sans-serif" w:hAnsi="Times New Roman;sans-serif"/>
          <w:b w:val="false"/>
          <w:color w:val="000000"/>
          <w:sz w:val="20"/>
        </w:rPr>
        <w:t>: This amendment to the Charter has been approved by the Board of Directors and stockholders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the Corporation.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i/>
          <w:color w:val="000000"/>
          <w:sz w:val="20"/>
        </w:rPr>
        <w:t>THIRD</w:t>
      </w:r>
      <w:r>
        <w:rPr>
          <w:rFonts w:ascii="Times New Roman;sans-serif" w:hAnsi="Times New Roman;sans-serif"/>
          <w:b w:val="false"/>
          <w:color w:val="000000"/>
          <w:sz w:val="20"/>
        </w:rPr>
        <w:t>: The undersigned acknowledges these Articles of Amendment to be the corporate act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Corporation and as to all matters of facts required to be verified under oath, the undersigned acknowledges that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best of his knowledge, information and belief, these matters and facts are true in all material respects and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statement is made under the penalties of perjury.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these Articles of Amendment to be signed in 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and on its behalf by Chief Executive Officer and attested to by its Secretary as of the    day of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7444" w:type="dxa"/>
        <w:jc w:val="center"/>
        <w:tblInd w:w="0" w:type="dxa"/>
        <w:tblLayout w:type="fixed"/>
        <w:tblCellMar>
          <w:top w:w="28" w:type="dxa"/>
          <w:left w:w="28" w:type="dxa"/>
          <w:bottom w:w="28" w:type="dxa"/>
          <w:right w:w="28" w:type="dxa"/>
        </w:tblCellMar>
      </w:tblPr>
      <w:tblGrid>
        <w:gridCol w:w="238"/>
        <w:gridCol w:w="210"/>
        <w:gridCol w:w="212"/>
        <w:gridCol w:w="594"/>
        <w:gridCol w:w="594"/>
        <w:gridCol w:w="596"/>
        <w:gridCol w:w="282"/>
        <w:gridCol w:w="282"/>
        <w:gridCol w:w="282"/>
        <w:gridCol w:w="1209"/>
        <w:gridCol w:w="1209"/>
        <w:gridCol w:w="173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NEWTEKONE,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Attest:</w:t>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Schwartz</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 Secretary</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9"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5943600" cy="768667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23528</Words>
  <Characters>127612</Characters>
  <CharactersWithSpaces>151113</CharactersWithSpaces>
  <Paragraphs>1729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