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 INFORMATION</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NEWTEK BUSINESS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3"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157" w:lineRule="exact"/>
        <w:rPr>
          <w:rFonts w:ascii="MS PGothic" w:cs="MS PGothic" w:eastAsia="MS PGothic" w:hAnsi="MS PGothic"/>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2"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9" w:lineRule="exact"/>
        <w:rPr>
          <w:rFonts w:ascii="MS PGothic" w:cs="MS PGothic" w:eastAsia="MS PGothic" w:hAnsi="MS PGothic"/>
          <w:sz w:val="17"/>
          <w:szCs w:val="17"/>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-3440430</wp:posOffset>
            </wp:positionV>
            <wp:extent cx="6835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-3088640</wp:posOffset>
            </wp:positionV>
            <wp:extent cx="6835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-2600325</wp:posOffset>
            </wp:positionV>
            <wp:extent cx="6835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-2248535</wp:posOffset>
            </wp:positionV>
            <wp:extent cx="6835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-1896745</wp:posOffset>
            </wp:positionV>
            <wp:extent cx="6835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-944880</wp:posOffset>
            </wp:positionV>
            <wp:extent cx="6835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-593090</wp:posOffset>
            </wp:positionV>
            <wp:extent cx="6835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-241935</wp:posOffset>
            </wp:positionV>
            <wp:extent cx="6835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109220</wp:posOffset>
            </wp:positionV>
            <wp:extent cx="6835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July 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invite you to attend the Special Meeting of Shareholders (the “Meeting”) of Newtek Business Services Corp. (the “Company”) to be held at 2711 South Ocean Drive, Hollywood, FL 33019 on August 2, 2019 at 9:00 a.m., local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attached Notice of Special Meeting and Proxy Statement accompanying this letter provide an outline of the business to be conducted at the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you will be asked to consider and vote upon the following proposals:</w:t>
      </w:r>
    </w:p>
    <w:p>
      <w:pPr>
        <w:spacing w:after="0" w:line="211" w:lineRule="exact"/>
        <w:rPr>
          <w:sz w:val="20"/>
          <w:szCs w:val="20"/>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authorize flexibility for the Company, with approval of its Board of Directors, to sell shares of its common stock (during the next 12 months) at a price below its then current net asset value per share subject to certain conditions as set forth in the accompanying Proxy Statement;</w:t>
      </w:r>
    </w:p>
    <w:p>
      <w:pPr>
        <w:spacing w:after="0" w:line="181"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to allow the Company’s shareholders to amend the Company’s bylaws;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21"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we urge you even if you plan to attend the meeting in person,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in person, but will assure that your vote is counted if you are unable to attend the Meeting. Your vote and participation in the governance of the Company is very important to us.</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August 2,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 Business Services Corp. (the “Company”)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2711 South Ocean Drive, Hollywood, FL 33019 on August 2, 2019 at 9:00 a.m., local time.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Meeting is for the following purposes, which are more completely described in the accompanying Proxy Statement:</w:t>
      </w:r>
    </w:p>
    <w:p>
      <w:pPr>
        <w:spacing w:after="0" w:line="225" w:lineRule="exact"/>
        <w:rPr>
          <w:sz w:val="20"/>
          <w:szCs w:val="20"/>
          <w:color w:val="auto"/>
        </w:rPr>
      </w:pPr>
    </w:p>
    <w:p>
      <w:pPr>
        <w:ind w:left="660" w:right="1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(“Proposal 1”);</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(the “Charter”) to allow the Company’s shareholders to amend the Company’s bylaws (the “Bylaws”) (“Proposal 2”);</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(“Proposal 3,” and together with Proposal 1 and Proposal 2, the “Proposals”);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of record at the close of business on June 21, 2019 are entitled to vote at the Meeting and any adjournment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ask that you fill in and sign the enclosed Proxy Card which is solicited by the Board of Directors and to mail it promptly in the enclosed envelope.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You may also cast your vote by telephone or Internet as shown on the Proxy Card. The proxy will not be used if you attend and vote at the Meeting in person.</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Lake Success, New York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68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95"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THE PROMPT RETURN OF PROXIES WILL SAVE YOUR COMPANY THE EXPENSE OF A FURTHER REQUEST FOR</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2,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is furnished in connection with the solicitation of proxies by the Board of Directors of Newtek Business Services Corp.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for the Special Meeting of Shareholders (the “Meeting”) to be held at 2711 South Ocean Drive, Hollywood, FL 33019 on August 2, 2019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 a.m., local time. The accompanying Notice of Special Meeting and this Proxy Statement, together with the enclosed Proxy Card (collectively, the “Proxy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are first being mailed to shareholders on or about July 3, 2019.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We encourage you to vote your shares</w:t>
      </w:r>
      <w:r>
        <w:rPr>
          <w:rFonts w:ascii="Arial" w:cs="Arial" w:eastAsia="Arial" w:hAnsi="Arial"/>
          <w:sz w:val="16"/>
          <w:szCs w:val="16"/>
          <w:color w:val="auto"/>
        </w:rPr>
        <w:t>, either by voting in person at the Meeting or by granting a proxy (i.e., authorizing someone to vote your shares).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ind w:right="120" w:firstLine="324"/>
        <w:spacing w:after="0" w:line="303"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Shareholders of record may submit proxies by completing, signing and dating each Proxy Card received and returning it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151"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 who</w:t>
      </w:r>
      <w:r>
        <w:rPr>
          <w:rFonts w:ascii="Arial" w:cs="Arial" w:eastAsia="Arial" w:hAnsi="Arial"/>
          <w:sz w:val="18"/>
          <w:szCs w:val="18"/>
          <w:b w:val="1"/>
          <w:bCs w:val="1"/>
          <w:color w:val="auto"/>
        </w:rPr>
        <w:t xml:space="preserve"> </w:t>
      </w:r>
      <w:r>
        <w:rPr>
          <w:rFonts w:ascii="Arial" w:cs="Arial" w:eastAsia="Arial" w:hAnsi="Arial"/>
          <w:sz w:val="18"/>
          <w:szCs w:val="18"/>
          <w:color w:val="auto"/>
        </w:rPr>
        <w:t>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84"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 Most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In Person at the Meeting </w:t>
      </w:r>
      <w:r>
        <w:rPr>
          <w:rFonts w:ascii="Arial" w:cs="Arial" w:eastAsia="Arial" w:hAnsi="Arial"/>
          <w:sz w:val="17"/>
          <w:szCs w:val="17"/>
          <w:color w:val="auto"/>
        </w:rPr>
        <w:t>— Shares held in your name as the shareholder of record may be voted at the Meeting. Shares held beneficially in street name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voted in person only if you obtain a legal proxy from the broker, bank or nominee that holds your shares giving you the right to vote the shares. </w:t>
      </w:r>
      <w:r>
        <w:rPr>
          <w:rFonts w:ascii="Arial" w:cs="Arial" w:eastAsia="Arial" w:hAnsi="Arial"/>
          <w:sz w:val="17"/>
          <w:szCs w:val="17"/>
          <w:b w:val="1"/>
          <w:bCs w:val="1"/>
          <w:i w:val="1"/>
          <w:iCs w:val="1"/>
          <w:color w:val="auto"/>
        </w:rPr>
        <w:t>Even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if you plan to attend the Meeting, we recommend that you also submit your proxy or voting instructions or vote by telephone or the internet so that your vote will be counted if you later decide not to attend the meeting</w:t>
      </w:r>
      <w:r>
        <w:rPr>
          <w:rFonts w:ascii="Arial" w:cs="Arial" w:eastAsia="Arial" w:hAnsi="Arial"/>
          <w:sz w:val="17"/>
          <w:szCs w:val="17"/>
          <w:color w:val="auto"/>
        </w:rPr>
        <w:t>.</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Secretary of the Company or by the filing of a properly executed, later-dated proxy. A proxy will not be voted if a shareholder attends the Meeting and votes in person. The presence of a shareholder at the Meeting alone will not revoke such shareholder’s proxy. Shareholders have no dissenters’ or appraisal rights in connection with the Proposals described herein.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PURPOSE OF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225" w:lineRule="exact"/>
        <w:rPr>
          <w:sz w:val="20"/>
          <w:szCs w:val="20"/>
          <w:color w:val="auto"/>
        </w:rPr>
      </w:pPr>
    </w:p>
    <w:p>
      <w:pPr>
        <w:ind w:left="660" w:right="1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w:t>
      </w:r>
    </w:p>
    <w:p>
      <w:pPr>
        <w:spacing w:after="0" w:line="18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to allow the Company's shareholders to amend the Company's bylaws;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REQUIRED</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quorum must be present at the Meeting for any business to be conducted. The presence at the Meeting, in person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865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2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 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 the Company to sell shares of its Common Shares, at a price below the then current net asset value per share of such Common Shares in one or multiple offerings (subject to certain limitations described in this Proxy Statement).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3"/>
          </w:tcPr>
          <w:p>
            <w:pPr>
              <w:ind w:left="1860"/>
              <w:spacing w:after="0"/>
              <w:rPr>
                <w:sz w:val="20"/>
                <w:szCs w:val="20"/>
                <w:color w:val="auto"/>
              </w:rPr>
            </w:pPr>
            <w:r>
              <w:rPr>
                <w:rFonts w:ascii="Arial" w:cs="Arial" w:eastAsia="Arial" w:hAnsi="Arial"/>
                <w:sz w:val="18"/>
                <w:szCs w:val="18"/>
                <w:b w:val="1"/>
                <w:bCs w:val="1"/>
                <w:color w:val="auto"/>
              </w:rPr>
              <w:t>VOTE REQUIRED</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Broker</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Effect of Abstentions</w:t>
            </w: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Discretionary</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and Broker</w:t>
            </w:r>
          </w:p>
        </w:tc>
      </w:tr>
      <w:tr>
        <w:trPr>
          <w:trHeight w:val="241"/>
        </w:trPr>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Vote Required</w:t>
            </w: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Voting Allowed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02"/>
        </w:trPr>
        <w:tc>
          <w:tcPr>
            <w:tcW w:w="3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Pursuant to Investment Company Act of</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5"/>
              </w:rPr>
              <w:t>No</w:t>
            </w:r>
          </w:p>
        </w:tc>
        <w:tc>
          <w:tcPr>
            <w:tcW w:w="100" w:type="dxa"/>
            <w:vAlign w:val="bottom"/>
          </w:tcPr>
          <w:p>
            <w:pPr>
              <w:spacing w:after="0"/>
              <w:rPr>
                <w:sz w:val="17"/>
                <w:szCs w:val="17"/>
                <w:color w:val="auto"/>
              </w:rPr>
            </w:pPr>
          </w:p>
        </w:tc>
        <w:tc>
          <w:tcPr>
            <w:tcW w:w="2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Abstentions and broker non-votes, if</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1940, as amended (the “1940 Act”),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any, will have the effect of a vote against</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approval of this proposal requires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this proposal.</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affirmative vote of: (i) a majority of</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outstanding Common Shares entitled to</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vote at the Meeting; and (ii) a majority of</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the outstanding Common Shares entitled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to vote at the Meeting which are not held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by affiliated persons of the Company.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1940 Act defines “a majority of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outstanding shares” as: (1) 67% or more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of the voting securities present at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Meeting if the holders of more than 50%</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of the outstanding voting securities of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Company are present or represented by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proxy; or (2) more than 50% of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outstanding voting securities of the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Company, whichever is less.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920" w:space="180"/>
            <w:col w:w="8320"/>
          </w:cols>
          <w:pgMar w:left="240" w:top="904" w:right="239" w:bottom="1440" w:gutter="0" w:footer="0" w:header="0"/>
          <w:type w:val="continuous"/>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Proposal 2 </w:t>
      </w:r>
      <w:r>
        <w:rPr>
          <w:rFonts w:ascii="Arial" w:cs="Arial" w:eastAsia="Arial" w:hAnsi="Arial"/>
          <w:sz w:val="18"/>
          <w:szCs w:val="18"/>
          <w:color w:val="auto"/>
        </w:rPr>
        <w:t>— To approve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to the Company’s Charter to allow the Company’s shareholders to amend the Bylaws.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Proposal 3 </w:t>
      </w:r>
      <w:r>
        <w:rPr>
          <w:rFonts w:ascii="Arial" w:cs="Arial" w:eastAsia="Arial" w:hAnsi="Arial"/>
          <w:sz w:val="16"/>
          <w:szCs w:val="16"/>
          <w:color w:val="auto"/>
        </w:rPr>
        <w:t>— 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Affirmative vote of the</w:t>
            </w:r>
          </w:p>
        </w:tc>
        <w:tc>
          <w:tcPr>
            <w:tcW w:w="1320" w:type="dxa"/>
            <w:vAlign w:val="bottom"/>
          </w:tcPr>
          <w:p>
            <w:pPr>
              <w:ind w:left="580"/>
              <w:spacing w:after="0"/>
              <w:rPr>
                <w:sz w:val="20"/>
                <w:szCs w:val="20"/>
                <w:color w:val="auto"/>
              </w:rPr>
            </w:pPr>
            <w:r>
              <w:rPr>
                <w:rFonts w:ascii="Arial" w:cs="Arial" w:eastAsia="Arial" w:hAnsi="Arial"/>
                <w:sz w:val="18"/>
                <w:szCs w:val="18"/>
                <w:color w:val="auto"/>
              </w:rPr>
              <w:t>No</w:t>
            </w:r>
          </w:p>
        </w:tc>
        <w:tc>
          <w:tcPr>
            <w:tcW w:w="3460" w:type="dxa"/>
            <w:vAlign w:val="bottom"/>
          </w:tcPr>
          <w:p>
            <w:pPr>
              <w:ind w:left="500"/>
              <w:spacing w:after="0"/>
              <w:rPr>
                <w:sz w:val="20"/>
                <w:szCs w:val="20"/>
                <w:color w:val="auto"/>
              </w:rPr>
            </w:pPr>
            <w:r>
              <w:rPr>
                <w:rFonts w:ascii="Arial" w:cs="Arial" w:eastAsia="Arial" w:hAnsi="Arial"/>
                <w:sz w:val="18"/>
                <w:szCs w:val="18"/>
                <w:color w:val="auto"/>
              </w:rPr>
              <w:t>Abstentions and broker non-votes, if</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holders of a majority of the</w:t>
            </w:r>
          </w:p>
        </w:tc>
        <w:tc>
          <w:tcPr>
            <w:tcW w:w="132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0"/>
              </w:rPr>
              <w:t>any, will have the effect of a vote against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votes entitled to be cast</w:t>
            </w:r>
          </w:p>
        </w:tc>
        <w:tc>
          <w:tcPr>
            <w:tcW w:w="132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this proposal.</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at the Meeting.</w:t>
            </w:r>
          </w:p>
        </w:tc>
        <w:tc>
          <w:tcPr>
            <w:tcW w:w="13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Affirmative vote of the holders of a</w:t>
            </w:r>
          </w:p>
        </w:tc>
        <w:tc>
          <w:tcPr>
            <w:tcW w:w="1320" w:type="dxa"/>
            <w:vAlign w:val="bottom"/>
          </w:tcPr>
          <w:p>
            <w:pPr>
              <w:ind w:left="580"/>
              <w:spacing w:after="0"/>
              <w:rPr>
                <w:sz w:val="20"/>
                <w:szCs w:val="20"/>
                <w:color w:val="auto"/>
              </w:rPr>
            </w:pPr>
            <w:r>
              <w:rPr>
                <w:rFonts w:ascii="Arial" w:cs="Arial" w:eastAsia="Arial" w:hAnsi="Arial"/>
                <w:sz w:val="18"/>
                <w:szCs w:val="18"/>
                <w:color w:val="auto"/>
              </w:rPr>
              <w:t>No</w:t>
            </w:r>
          </w:p>
        </w:tc>
        <w:tc>
          <w:tcPr>
            <w:tcW w:w="3460" w:type="dxa"/>
            <w:vAlign w:val="bottom"/>
          </w:tcPr>
          <w:p>
            <w:pPr>
              <w:ind w:left="500"/>
              <w:spacing w:after="0"/>
              <w:rPr>
                <w:sz w:val="20"/>
                <w:szCs w:val="20"/>
                <w:color w:val="auto"/>
              </w:rPr>
            </w:pPr>
            <w:r>
              <w:rPr>
                <w:rFonts w:ascii="Arial" w:cs="Arial" w:eastAsia="Arial" w:hAnsi="Arial"/>
                <w:sz w:val="18"/>
                <w:szCs w:val="18"/>
                <w:color w:val="auto"/>
              </w:rPr>
              <w:t>Abstentions and broker non-votes, if</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majority of the votes cast at the Meeting.</w:t>
            </w:r>
          </w:p>
        </w:tc>
        <w:tc>
          <w:tcPr>
            <w:tcW w:w="132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4"/>
              </w:rPr>
              <w:t>any, will have no effect on the outcome</w:t>
            </w:r>
          </w:p>
        </w:tc>
      </w:tr>
      <w:tr>
        <w:trPr>
          <w:trHeight w:val="230"/>
        </w:trPr>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of the vote.</w:t>
            </w:r>
          </w:p>
        </w:tc>
      </w:tr>
    </w:tbl>
    <w:p>
      <w:pPr>
        <w:spacing w:after="0" w:line="254" w:lineRule="exact"/>
        <w:rPr>
          <w:sz w:val="20"/>
          <w:szCs w:val="20"/>
          <w:color w:val="auto"/>
        </w:rPr>
      </w:pPr>
    </w:p>
    <w:p>
      <w:pPr>
        <w:sectPr>
          <w:pgSz w:w="11900" w:h="16838" w:orient="portrait"/>
          <w:cols w:equalWidth="0" w:num="2">
            <w:col w:w="2940" w:space="160"/>
            <w:col w:w="8320"/>
          </w:cols>
          <w:pgMar w:left="240" w:top="904" w:right="2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ind w:right="600" w:firstLine="324"/>
        <w:spacing w:after="0" w:line="277" w:lineRule="auto"/>
        <w:rPr>
          <w:sz w:val="20"/>
          <w:szCs w:val="20"/>
          <w:color w:val="auto"/>
        </w:rPr>
      </w:pPr>
      <w:r>
        <w:rPr>
          <w:rFonts w:ascii="Arial" w:cs="Arial" w:eastAsia="Arial" w:hAnsi="Arial"/>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a shareholder of the Company does not vote in person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Proposal 2, and would have no effect on Proposal 3, we do not expect any broker non-votes at the Meeting because there are no routine proposals to be voted on at the Meeting.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Proxies solicited by the Board of Directors of the Company will be voted in accordance with the direction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PROXIES FOR THE MEETING</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securities which can be voted at the Meeting consist of the Company’s Common Shares. Shareholders of record as of the close of business on June 21, 2019 (the “Record Date”) are entitled to one vote for each Common Share then held on all matters. As of the Record Date, 19,115,359 Common Shares were issued and outstanding</w:t>
      </w:r>
    </w:p>
    <w:p>
      <w:pPr>
        <w:spacing w:after="0" w:line="18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The following table sets forth, as of June 14, 2019, the beneficial ownership of each current director, the Company’s executive officers, each person known to us to beneficially own 5% or more of the outstanding Common Shares, and the executive officers and directors as a group. The percentage of beneficial ownership is based on 19,115,359 Common Shares outstanding as of June 14, 2019.</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our Common Shares is based upon filings by such persons with the SEC and other information obtained from such persons, if available.</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Percent of</w:t>
            </w: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16"/>
        </w:trPr>
        <w:tc>
          <w:tcPr>
            <w:tcW w:w="20" w:type="dxa"/>
            <w:vAlign w:val="bottom"/>
          </w:tcPr>
          <w:p>
            <w:pPr>
              <w:spacing w:after="0"/>
              <w:rPr>
                <w:sz w:val="18"/>
                <w:szCs w:val="18"/>
                <w:color w:val="auto"/>
              </w:rPr>
            </w:pPr>
          </w:p>
        </w:tc>
        <w:tc>
          <w:tcPr>
            <w:tcW w:w="8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1,127,238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Peter Downs(2)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35,250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Gregory Zink(5)</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Mulia(5)</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68,788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Richard Salute(5)</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12,455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Christopher Towers(4)</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2,106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Schwartz(3)</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 current directors and executive officers as a group (7 persons)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1,276,647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225" w:lineRule="exact"/>
        <w:rPr>
          <w:sz w:val="20"/>
          <w:szCs w:val="20"/>
          <w:color w:val="auto"/>
        </w:rPr>
      </w:pPr>
    </w:p>
    <w:p>
      <w:pPr>
        <w:ind w:left="340" w:right="1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96,221 Shares owned by The B Sloane Family Foundation, a 501(c)(3) private foundation, of which Mr. Sloane shares voting and dispositive power, and 58,480 restricted Common Shares awarded to Mr. Sloane in February 2018, plus accrued dividends through June 14, 2019, with a three-year vesting period.</w:t>
      </w:r>
    </w:p>
    <w:p>
      <w:pPr>
        <w:spacing w:after="0" w:line="181"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13,158 restricted Common Shares awarded in February 2018, plus accrued dividends through June 14, 2019, with a three-year vesting period, and 1,446 restricted Common Shares awarded in April 2019, with a one-year vesting period.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8,772 restricted Common Shares awarded in February 2018, plus accrued dividends through June 14, 2019, with a three-year vesting period, and 1,446 restricted Common Shares awarded in April 2019, with a one-year vesting period.</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1,446 restricted Common Shares awarded in April 2019, with a one-year vesting period.</w:t>
      </w:r>
    </w:p>
    <w:p>
      <w:pPr>
        <w:spacing w:after="0" w:line="225" w:lineRule="exact"/>
        <w:rPr>
          <w:rFonts w:ascii="Arial" w:cs="Arial" w:eastAsia="Arial" w:hAnsi="Arial"/>
          <w:sz w:val="18"/>
          <w:szCs w:val="18"/>
          <w:color w:val="auto"/>
        </w:rPr>
      </w:pPr>
    </w:p>
    <w:p>
      <w:pPr>
        <w:ind w:left="380" w:right="620" w:hanging="318"/>
        <w:spacing w:after="0" w:line="277" w:lineRule="auto"/>
        <w:tabs>
          <w:tab w:leader="none" w:pos="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Includes 1,332 restricted Common Shares awarded on June 14, 2019, for which forfeiture restrictions will lapse as to one-third of such restricted Common Shares each year for three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c>
          <w:tcPr>
            <w:tcW w:w="27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Dollar Range of</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Equity Securities in Newtek</w:t>
            </w:r>
          </w:p>
        </w:tc>
      </w:tr>
      <w:tr>
        <w:trPr>
          <w:trHeight w:val="241"/>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Name of Director</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Business Services Corp.(1)(2)</w:t>
            </w:r>
          </w:p>
        </w:tc>
      </w:tr>
      <w:tr>
        <w:trPr>
          <w:trHeight w:val="216"/>
        </w:trPr>
        <w:tc>
          <w:tcPr>
            <w:tcW w:w="20" w:type="dxa"/>
            <w:vAlign w:val="bottom"/>
          </w:tcPr>
          <w:p>
            <w:pPr>
              <w:spacing w:after="0"/>
              <w:rPr>
                <w:sz w:val="18"/>
                <w:szCs w:val="18"/>
                <w:color w:val="auto"/>
              </w:rPr>
            </w:pPr>
          </w:p>
        </w:tc>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Richard Salute</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Mulia</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30"/>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Gregory Zink</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or Over $100,000.</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is based on the closing price for our Common Shares of $22.60 on June 14, 2019 on the Nasdaq Global Market. Beneficial ownership has been determined in accordance with Rule 13d-3 of the Exchange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left="280" w:right="60"/>
        <w:spacing w:after="0" w:line="266" w:lineRule="auto"/>
        <w:rPr>
          <w:sz w:val="20"/>
          <w:szCs w:val="20"/>
          <w:color w:val="auto"/>
        </w:rPr>
      </w:pPr>
      <w:r>
        <w:rPr>
          <w:rFonts w:ascii="Arial" w:cs="Arial" w:eastAsia="Arial" w:hAnsi="Arial"/>
          <w:sz w:val="18"/>
          <w:szCs w:val="18"/>
          <w:b w:val="1"/>
          <w:bCs w:val="1"/>
          <w:color w:val="auto"/>
        </w:rPr>
        <w:t>PROPOSAL 1 — AUTHORIZATION FOR THE COMPANY TO SELL ITS COMMON STOCK, PAR VALUE $0.02 PER SHARE, (“COMMON SHARES”) AT A PRICE BELOW THE COMPANY’S THEN CURRENT NET ASSET VALUE PER SHARE IN ONE OR MULTIPLE OFFERINGS (SUBJECT TO CERTAIN CONDITIONS SET FORTH IN THIS PROPOSAL)</w:t>
      </w:r>
    </w:p>
    <w:p>
      <w:pPr>
        <w:spacing w:after="0" w:line="18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Under the 1940 Act, the Company, as a business development company (“BDC”), may not sell its Common Shares at a price below the then current net asset value (“NAV”), exclusive of sales compensation, unless its shareholders approve such a sale and our Board of Directors makes certain determinations. We are seeking the authorization of our shareholders so that we may, in one or multiple public or private offerings, sell or otherwise issue Common Shares at a price below our then current NAV, subject to certain conditions discussed below. Our Board of Directors believes that having the flexibility to sell our Common Shares below NAV in certain instances is in the best interests of shareholders.</w:t>
      </w:r>
    </w:p>
    <w:p>
      <w:pPr>
        <w:spacing w:after="0" w:line="17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While we have been able to access the capital necessary to finance our investment activities, capital may not be available to us on favorable terms, or at all, in light of the inherent uncertainty and volatility of the financial markets. To capitalize on these investment opportunities as they arise, we need to be able to maintain consistent access to capital. Flexibility to sell our Common Shares below NAV will provide us with better access to the capital markets as attractive investment opportunities arise, and improve our ability to grow over time and pay dividends to shareholders. Accordingly, even when our Common Shares trade at a market price below NAV, this Proposal 1 would permit us to offer and sell our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our 2020 Annual Meeting of Shareholders.</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no immediate plans to sell our Common Shares below NAV. However, we are seeking shareholder approval for multiple such offerings in order to maintain access to the markets if the Board of Directors determines that we should sell Common Shares below NAV. These sales typically must be undertaken quickly. The final terms of any such sale will be determined by the Board of Directors at the time of sale, and it is impracticable to describe the transaction or transactions in which our Common Shares would be sold at a price below NAV. Instead, any transaction where we sell such Common Shares, including the nature and amount of consideration that we would receive at the time of sale and the use of any such consideration, will be reviewed and approved by the Board of Directors at the time of sale.</w:t>
      </w:r>
    </w:p>
    <w:p>
      <w:pPr>
        <w:spacing w:after="0" w:line="18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our Common Shares may be sold in an offering by the Company under this Proposal 1</w:t>
      </w:r>
      <w:r>
        <w:rPr>
          <w:rFonts w:ascii="Arial" w:cs="Arial" w:eastAsia="Arial" w:hAnsi="Arial"/>
          <w:sz w:val="18"/>
          <w:szCs w:val="18"/>
          <w:b w:val="1"/>
          <w:bCs w:val="1"/>
          <w:color w:val="auto"/>
        </w:rPr>
        <w:t xml:space="preserve">. </w:t>
      </w:r>
      <w:r>
        <w:rPr>
          <w:rFonts w:ascii="Arial" w:cs="Arial" w:eastAsia="Arial" w:hAnsi="Arial"/>
          <w:sz w:val="18"/>
          <w:szCs w:val="18"/>
          <w:color w:val="auto"/>
        </w:rPr>
        <w:t>If Proposal 1 is approved, no further authorization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will be solicited prior to any such sale in accordance with the terms of Proposal 1.</w:t>
      </w:r>
    </w:p>
    <w:p>
      <w:pPr>
        <w:spacing w:after="0" w:line="18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HEREIN IS IN THE BEST INTERESTS OF OUR SHAREHOLDERS AND RECOMMENDS A VOTE “FOR” PROPOSAL 1.</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Conditions for Sales below NAV</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BDC’s ability to issue shares of its common stock at a price below NAV is governed by the 1940 Act. If shareholders approve this Proposal 1, we will only sell Company Shares at a price below NAV if the following conditions are met:</w:t>
      </w:r>
    </w:p>
    <w:p>
      <w:pPr>
        <w:spacing w:after="0" w:line="170" w:lineRule="exact"/>
        <w:rPr>
          <w:sz w:val="20"/>
          <w:szCs w:val="20"/>
          <w:color w:val="auto"/>
        </w:rPr>
      </w:pPr>
    </w:p>
    <w:p>
      <w:pPr>
        <w:ind w:left="660" w:right="4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123"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issued and sold does not exceed 20% of the Company’s then outstanding Common Shares immediately prior to each such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Approval</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June 14, 2019, the Company’s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Prior to approving this Proposal 1, the Company’s Board of Directors met to consider and evaluate material that our management provided on the merits of our possibly raising additional capital and the merits of publicly offering Common Shares at a price below NAV. The Company’s Board of Directors considered the objectives of a possible offering, the mechanics of an offering, establishing size parameters for an offering, the possible effects of dilution, Common Shares trading volume, and other matters, including that the Company’s Common Shares have not traded below NAV in recent years.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Our Board of Directors believes that having the flexibility for the Company to sell its Common Shares below NAV in certain instances is in the Company’s best interests and the best interests of its shareholders. Such flexibility will enhance our ability to expand our business finance platform. If we were unable to access the capital markets when attractive investment opportunities arise, our ability to grow over time and to continue to pay dividends to shareholders could be adversely affected. In reaching that conclusion, our Board of Directors considered the following possible benefits to its shareholders: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Market Conditions Have Created Attractive Opportunities</w:t>
      </w:r>
    </w:p>
    <w:p>
      <w:pPr>
        <w:spacing w:after="0" w:line="225"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the Company’s NAV over the longer-term, even if financed with the issuance of Common Shares below NAV. Shareholder approval of this Proposal 1, subject to the conditions detailed below, is expected to provide the Company with the flexibility to expand its business finance platform and invest in the attractive opportunities we believe are presented by current market conditions.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0" w:name="page11"/>
    <w:bookmarkEnd w:id="10"/>
    <w:p>
      <w:pPr>
        <w:ind w:right="20" w:firstLine="324"/>
        <w:spacing w:after="0" w:line="259"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Company could benefit from access to capital in this credit market and that the current environment should provide attractive investment opportunities. Our ability to take advantage of these opportunities will depend upon its continued access to capital.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Board of Directors believes that additional capital raised through an offering of Common Shares may help it generate additional deal flow. Based on discussions with management, the Company’s Board of Directors believes that greater deal flow, which may be achieved with more capital, would enable the Company to be a more significant participant in the private debt and equity markets and to compete more effectively for attractive investment opportunities. Management has represented to the Company’s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the Company issues Common Shares, its market capitalization and the amount of its publicly tradable Common Shares will increase, which may afford all holders of its Common Shares greater liquidity. A larger market capitalization may make the Company’s stock more attractive to a larger number of investors who have limitations of the size of companies in which they invest. Furthermore, a larger number of Common Shares outstanding may increase the Company’s trading volume, which could decrease the volatility in the secondary market price of its Common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larger and more diversified portfolio could provide the Company with more consistent cash flow, which may support the growth of its dividend.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offering that increases the Company’s total assets may reduce its expenses per share due to the spreading of fixed expenses over a larger asset base.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must bear certain fixed expenses, such as certain administrative, governance and compliance costs that do not generally vary based on its size.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 per share basis, these fixed expenses will be reduced when supported by a larger asset base.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BDC, and as a Company that has elected to be treated as a RIC for tax purposes beginning with our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On July 26, 2018, the Company’s shareholders approved a proposal that permits the Company to be subject to a debt to equity ratio of 2:1, effective July 27, 2018. 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our Common Shares as reported on the Nasdaq Global Market, our NAV per share, the premium (discount) of high sales price to NAV and the premium (discount) of low sales price to NAV:</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Premium</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Premium</w:t>
            </w: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(Discount) of</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(Discount) of</w:t>
            </w: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High Sales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Low Sales</w:t>
            </w:r>
          </w:p>
        </w:tc>
      </w:tr>
      <w:tr>
        <w:trPr>
          <w:trHeight w:val="255"/>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Price Range</w:t>
            </w:r>
          </w:p>
        </w:tc>
        <w:tc>
          <w:tcPr>
            <w:tcW w:w="7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 to</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Price to</w:t>
            </w: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Low</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NAV(1)</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NAV(2)</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NAV(2)</w:t>
            </w:r>
          </w:p>
        </w:tc>
      </w:tr>
      <w:tr>
        <w:trPr>
          <w:trHeight w:val="202"/>
        </w:trPr>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2017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Through June 30,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2"/>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2017</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Fourth Quarter: October 1, 2017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2"/>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2018</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Through June 30, 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02"/>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Fourth Quarter: October 1, 2018</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2"/>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April 1, 2019</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Through June 14, 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righ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less NAV or shareholders’ equity per share, as applicable, divided by NAV or shareholders’ equity per share, as applicable and subtracting 1.</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determinable at time of filing.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u w:val="single" w:color="auto"/>
          <w:color w:val="auto"/>
        </w:rPr>
        <w:t>Subject to the condition that the cumulative number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of Common Shares issued and sold pursuant to such authority does not exceed 20% of the Company’s then outstanding Common Shares immediately prior to each such sale, there will be no limit on the percentage below NAV at which Common Shares may be sold in an offering by the Company under this Proposal 1.</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Company will consider the potential dilutive effect of the issuance of Common Shares at a</w:t>
      </w:r>
      <w:r>
        <w:rPr>
          <w:rFonts w:ascii="Arial" w:cs="Arial" w:eastAsia="Arial" w:hAnsi="Arial"/>
          <w:sz w:val="17"/>
          <w:szCs w:val="17"/>
          <w:b w:val="1"/>
          <w:bCs w:val="1"/>
          <w:color w:val="auto"/>
        </w:rPr>
        <w:t xml:space="preserve"> </w:t>
      </w:r>
      <w:r>
        <w:rPr>
          <w:rFonts w:ascii="Arial" w:cs="Arial" w:eastAsia="Arial" w:hAnsi="Arial"/>
          <w:sz w:val="17"/>
          <w:szCs w:val="17"/>
          <w:color w:val="auto"/>
        </w:rPr>
        <w:t>price below the NAV per share and will consider again such dilutive effect when considering whether to authorize any specific issuance of Common Shares below NAV.</w:t>
      </w:r>
    </w:p>
    <w:p>
      <w:pPr>
        <w:spacing w:after="0" w:line="183"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8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of Directors would expect that the net proceeds to us will be equal to the price that investors pay per share less the amount of any underwriting discounts and commissions.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discussed above, it should be noted that the cumulative number of Common Shares issued and sold from an offering of Company’s Common Shares will not exceed 20% of the Company’s then outstanding Common Shares immediately prior to each such sale.</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existing shareholders who do not participate in an offering below net asset value per share or who do not buy additional Common Shares in the secondary market at the same or lower price we obtain in the offering (after expenses and commissions) face the greatest potential risk of an immediate decrease (often called dilution) in the net asset value of the Common Shares they hold and their net asset value per share. These shareholders will also experience a disproportionately greater decrease in their participation in our earnings and assets and their voting power than the increase we will experience in our assets, potential earning power and voting interests due to the offering. These shareholders may also experience a decline in the market price of their Common Shares, which often reflects to some degree announced or potential increases and decreases in net asset value per share. This decrease could be more pronounced as the size of the offering and level of discounts increases.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80" w:firstLine="324"/>
        <w:spacing w:after="0" w:line="264" w:lineRule="auto"/>
        <w:rPr>
          <w:sz w:val="20"/>
          <w:szCs w:val="20"/>
          <w:color w:val="auto"/>
        </w:rPr>
      </w:pPr>
      <w:r>
        <w:rPr>
          <w:rFonts w:ascii="Arial" w:cs="Arial" w:eastAsia="Arial" w:hAnsi="Arial"/>
          <w:sz w:val="18"/>
          <w:szCs w:val="18"/>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18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examples assume that the issuer has 19,118,512 Common Shares outstanding, $681,734,000 in total assets and $382,728,000 in total liabilities. The current net asset value and net asset value per share are thus $292,006,000 and $15.31. The chart illustrates the dilutive effect on Shareholder A of (1) an offering of 955,926 Common Shares (5% of the outstanding Common Shares) at $15.24 per share after offering expenses and commission (a 5% discount from net asset value), (2) an offering of 1,911,851 Common Shares (10% of the outstanding Common Shares) at $15.14 per share after offering expenses and commissions (a 10% discount from net asset value), (3) an offering of 3,823,702 Common Shares (20% of the outstanding Common Shares) at $14.77 per share after offering expenses and commissions (a 20% discount from net asset value) and (4) an offering of 3,823,702 Common Shares (20% of the outstanding Common Shares) at $0.02 per share after offering expenses and commissions (a 100% discount from net asset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5"/>
              </w:rPr>
              <w:t>Example 1 5%</w:t>
            </w:r>
          </w:p>
        </w:tc>
        <w:tc>
          <w:tcPr>
            <w:tcW w:w="100" w:type="dxa"/>
            <w:vAlign w:val="bottom"/>
          </w:tcPr>
          <w:p>
            <w:pPr>
              <w:spacing w:after="0"/>
              <w:rPr>
                <w:sz w:val="17"/>
                <w:szCs w:val="17"/>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5"/>
              </w:rPr>
              <w:t>Example 2 10%</w:t>
            </w:r>
          </w:p>
        </w:tc>
        <w:tc>
          <w:tcPr>
            <w:tcW w:w="100" w:type="dxa"/>
            <w:vAlign w:val="bottom"/>
          </w:tcPr>
          <w:p>
            <w:pPr>
              <w:spacing w:after="0"/>
              <w:rPr>
                <w:sz w:val="17"/>
                <w:szCs w:val="17"/>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5"/>
              </w:rPr>
              <w:t>Example 3 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Example 4 20%</w:t>
            </w:r>
          </w:p>
        </w:tc>
      </w:tr>
      <w:tr>
        <w:trPr>
          <w:trHeight w:val="203"/>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7"/>
              </w:rPr>
              <w:t>Offering at 5%</w:t>
            </w:r>
          </w:p>
        </w:tc>
        <w:tc>
          <w:tcPr>
            <w:tcW w:w="100" w:type="dxa"/>
            <w:vAlign w:val="bottom"/>
          </w:tcPr>
          <w:p>
            <w:pPr>
              <w:spacing w:after="0"/>
              <w:rPr>
                <w:sz w:val="17"/>
                <w:szCs w:val="17"/>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7"/>
              </w:rPr>
              <w:t>Offering at 10%</w:t>
            </w:r>
          </w:p>
        </w:tc>
        <w:tc>
          <w:tcPr>
            <w:tcW w:w="100" w:type="dxa"/>
            <w:vAlign w:val="bottom"/>
          </w:tcPr>
          <w:p>
            <w:pPr>
              <w:spacing w:after="0"/>
              <w:rPr>
                <w:sz w:val="17"/>
                <w:szCs w:val="17"/>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5"/>
              </w:rPr>
              <w:t>Offering at 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Offering at 100%</w:t>
            </w:r>
          </w:p>
        </w:tc>
      </w:tr>
      <w:tr>
        <w:trPr>
          <w:trHeight w:val="223"/>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9"/>
                <w:szCs w:val="19"/>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9"/>
                <w:szCs w:val="19"/>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7"/>
              </w:rPr>
              <w:t>Discount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Discount</w:t>
            </w:r>
          </w:p>
        </w:tc>
      </w:tr>
      <w:tr>
        <w:trPr>
          <w:trHeight w:val="189"/>
        </w:trPr>
        <w:tc>
          <w:tcPr>
            <w:tcW w:w="1260" w:type="dxa"/>
            <w:vAlign w:val="bottom"/>
          </w:tcPr>
          <w:p>
            <w:pPr>
              <w:spacing w:after="0"/>
              <w:rPr>
                <w:sz w:val="20"/>
                <w:szCs w:val="20"/>
                <w:color w:val="auto"/>
              </w:rPr>
            </w:pPr>
            <w:r>
              <w:rPr>
                <w:rFonts w:ascii="Arial" w:cs="Arial" w:eastAsia="Arial" w:hAnsi="Arial"/>
                <w:sz w:val="16"/>
                <w:szCs w:val="16"/>
                <w:b w:val="1"/>
                <w:bCs w:val="1"/>
                <w:color w:val="auto"/>
              </w:rPr>
              <w:t>Prior to Sale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0"/>
              </w:rPr>
              <w:t>Following</w:t>
            </w: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0"/>
              </w:rPr>
              <w:t>Following</w:t>
            </w: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90"/>
              </w:rPr>
              <w:t>Following</w:t>
            </w:r>
          </w:p>
        </w:tc>
        <w:tc>
          <w:tcPr>
            <w:tcW w:w="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Following</w:t>
            </w: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6"/>
                <w:szCs w:val="16"/>
                <w:b w:val="1"/>
                <w:bCs w:val="1"/>
                <w:color w:val="auto"/>
              </w:rPr>
              <w:t>Below NAV</w:t>
            </w:r>
          </w:p>
        </w:tc>
        <w:tc>
          <w:tcPr>
            <w:tcW w:w="6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Prior to Sale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Sale</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Sale</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Sale</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 Change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Sale</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203"/>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Offering Price</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w w:val="96"/>
              </w:rPr>
              <w:t>Price per Share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Public</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15.31</w:t>
            </w:r>
          </w:p>
        </w:tc>
        <w:tc>
          <w:tcPr>
            <w:tcW w:w="2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14.50</w:t>
            </w:r>
          </w:p>
        </w:tc>
        <w:tc>
          <w:tcPr>
            <w:tcW w:w="2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12.89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0.02</w:t>
            </w: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9"/>
              </w:rPr>
              <w:t>Net Proceeds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 to Issuer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Asset 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Total Shares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2"/>
              </w:rPr>
              <w:t>19,118,512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20,074,438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21,030,363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7"/>
              </w:rPr>
              <w:t>22,942,214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22,942,214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Net Asset 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per Share</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15.31</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0.69</w:t>
            </w: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(95.48%)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(91.82%)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2.04</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(86.67%)</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(99.98)%</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b w:val="1"/>
                <w:bCs w:val="1"/>
                <w:i w:val="1"/>
                <w:iCs w:val="1"/>
                <w:color w:val="auto"/>
                <w:w w:val="89"/>
              </w:rPr>
              <w:t>Nonparticipating</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b w:val="1"/>
                <w:bCs w:val="1"/>
                <w:i w:val="1"/>
                <w:iCs w:val="1"/>
                <w:color w:val="auto"/>
              </w:rPr>
              <w:t>Stockholder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Shares Held by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Stockholder 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191,185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191,185</w:t>
            </w:r>
          </w:p>
        </w:tc>
        <w:tc>
          <w:tcPr>
            <w:tcW w:w="2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191,185</w:t>
            </w:r>
          </w:p>
        </w:tc>
        <w:tc>
          <w:tcPr>
            <w:tcW w:w="2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191,185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191,185</w:t>
            </w: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by Stockholder 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Total Net Asset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Value Held by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Stockholder A</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2,927,044</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132,414</w:t>
            </w: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(95.48%)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239,485</w:t>
            </w: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(91.82%)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390,273</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(86.67%)</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637</w:t>
            </w: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(99.98%)</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by Stockholder A</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(Assumed to be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$15.31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2,927,044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2,927,044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2,927,044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2,927,044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2,927,044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Total Dilution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Stockholder 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w w:val="99"/>
              </w:rPr>
              <w:t>(Total Net Asset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w w:val="95"/>
              </w:rPr>
              <w:t>Value Less Total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Investment)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(2,794,630)</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(2,687,559)</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(2,536,772)</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(2,926,407)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 Share Held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4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8"/>
              </w:rPr>
              <w:t>by Stockholder A $</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Investment per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Share Held by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Stockholder 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(Assumed to be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w w:val="92"/>
              </w:rPr>
              <w:t>$15.31 per Share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on Shares Held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Prior to Sale)</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9"/>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6"/>
              </w:rPr>
              <w:t>Dilution per Share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Held by</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Stockholder A</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(Net Asset Value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 Share Less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Investment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Percentage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Dilution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Stockholder 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(Dilution per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w w:val="93"/>
              </w:rPr>
              <w:t>Share Divided by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60" w:type="dxa"/>
            <w:vAlign w:val="bottom"/>
          </w:tcPr>
          <w:p>
            <w:pPr>
              <w:ind w:left="100"/>
              <w:spacing w:after="0"/>
              <w:rPr>
                <w:sz w:val="20"/>
                <w:szCs w:val="20"/>
                <w:color w:val="auto"/>
              </w:rPr>
            </w:pPr>
            <w:r>
              <w:rPr>
                <w:rFonts w:ascii="Arial" w:cs="Arial" w:eastAsia="Arial" w:hAnsi="Arial"/>
                <w:sz w:val="16"/>
                <w:szCs w:val="16"/>
                <w:color w:val="auto"/>
              </w:rPr>
              <w:t>Investment per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1260" w:type="dxa"/>
            <w:vAlign w:val="bottom"/>
          </w:tcPr>
          <w:p>
            <w:pPr>
              <w:ind w:left="100"/>
              <w:spacing w:after="0"/>
              <w:rPr>
                <w:sz w:val="20"/>
                <w:szCs w:val="20"/>
                <w:color w:val="auto"/>
              </w:rPr>
            </w:pPr>
            <w:r>
              <w:rPr>
                <w:rFonts w:ascii="Arial" w:cs="Arial" w:eastAsia="Arial" w:hAnsi="Arial"/>
                <w:sz w:val="16"/>
                <w:szCs w:val="16"/>
                <w:color w:val="auto"/>
              </w:rPr>
              <w:t>Share)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(91.82%)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(86.67%)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(99.98%)</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existing shareholders who participate in an offering below net asset value per share or who buy additional Common Shares in the secondary market at the same or lower price as we obtain in the offering (after expenses and commissions) will experience the same types of net asset value dilution as the nonparticipating shareholders, albeit at a lower level, to the extent they purchase less than the same percentage of the discounted offering as their interest in our Common Shares immediately prior to the offering. The level of net asset value dilution will decrease as the number of Common Shares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Common Shares such shareholders purchases increases. Even a shareholder who over-participates will, however, be subject to the risk that we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Common Shares, which often reflects to some degree announced or potential decreases in net asset value per share. This decrease could be more pronounced as the size of the offering and level of discounts increases.</w:t>
      </w:r>
    </w:p>
    <w:p>
      <w:pPr>
        <w:spacing w:after="0" w:line="17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for a shareholder that acquires Common Shares equal to (1) 50% of its proportionate share of the offering (i.e., 19,119 Common Shares, which is 0.5% of an offering of 3,823,702 Common Shares) rather than its 1.00% proportionate share and (2) 150% of such percentage (i.e. 57,356 Common Shares, which is 1.5% of an offering of 3,823,702 Common Shares rather than its 0.10% proportionate share). It is not possible to predict the level of market price decline that may occur.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50% Participation</w:t>
            </w:r>
          </w:p>
        </w:tc>
        <w:tc>
          <w:tcPr>
            <w:tcW w:w="200" w:type="dxa"/>
            <w:vAlign w:val="bottom"/>
          </w:tcPr>
          <w:p>
            <w:pPr>
              <w:spacing w:after="0"/>
              <w:rPr>
                <w:sz w:val="20"/>
                <w:szCs w:val="20"/>
                <w:color w:val="auto"/>
              </w:rPr>
            </w:pPr>
          </w:p>
        </w:tc>
        <w:tc>
          <w:tcPr>
            <w:tcW w:w="254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150% Participation</w:t>
            </w: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2"/>
              </w:rPr>
              <w:t>Following</w:t>
            </w: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Prior to Sale Below NAV</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Prior to Sale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Sale</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Following Sale</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12.25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12.25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Decrease/Increase to Net Asset Value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19,118,512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22,942,214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22,942,214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(86.67%)</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210,304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248,541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0.92%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 Value Held by Stockholder 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2,927,044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429,300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507,354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94"/>
              </w:rPr>
              <w:t>Total Investment by Stockholder A (Assumed to be $15.31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3,173,532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3,666,508</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Total Dilution/Accretion to Stockholder A (Total Net Asset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Less Total Investment)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(2,744,232)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(3,159,154)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Asset Value per Share held by Stockholder 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(3.64%)</w:t>
            </w: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Investment per Share held by Stockholder A (Assumed to</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 $15.31 per Share on Shares Held Prior to Sale)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99"/>
              </w:rPr>
              <w:t>Dilution/Accretion per Share Held by Stockholder A (Net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Percentage Dilution to Stockholder A (Dilution/Accretion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Share Divided by Investment per Share)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(639.23%)</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(622.67%)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Investors who are not currently shareholders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shares of common stock in the offering as Shareholder A in the prior examples held immediately prior to the offering. It is not possible to predict the level of market price decline that may occur.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Example 1 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3"/>
              </w:rPr>
              <w:t>Example 2 10%</w:t>
            </w:r>
          </w:p>
        </w:tc>
        <w:tc>
          <w:tcPr>
            <w:tcW w:w="100" w:type="dxa"/>
            <w:vAlign w:val="bottom"/>
          </w:tcPr>
          <w:p>
            <w:pPr>
              <w:spacing w:after="0"/>
              <w:rPr>
                <w:sz w:val="18"/>
                <w:szCs w:val="18"/>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Example 3 20%</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6"/>
              </w:rPr>
              <w:t>Offering at 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5"/>
              </w:rPr>
              <w:t>Offering at 10%</w:t>
            </w:r>
          </w:p>
        </w:tc>
        <w:tc>
          <w:tcPr>
            <w:tcW w:w="100" w:type="dxa"/>
            <w:vAlign w:val="bottom"/>
          </w:tcPr>
          <w:p>
            <w:pPr>
              <w:spacing w:after="0"/>
              <w:rPr>
                <w:sz w:val="18"/>
                <w:szCs w:val="18"/>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5"/>
              </w:rPr>
              <w:t>Offering at 20%</w:t>
            </w: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Discount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Discount</w:t>
            </w: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9"/>
              </w:rPr>
              <w:t>Prior to</w:t>
            </w:r>
          </w:p>
        </w:tc>
        <w:tc>
          <w:tcPr>
            <w:tcW w:w="1200" w:type="dxa"/>
            <w:vAlign w:val="bottom"/>
            <w:tcBorders>
              <w:top w:val="single" w:sz="8" w:color="auto"/>
            </w:tcBorders>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97"/>
              </w:rPr>
              <w:t>Following</w:t>
            </w: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gridSpan w:val="3"/>
          </w:tcPr>
          <w:p>
            <w:pPr>
              <w:jc w:val="right"/>
              <w:ind w:right="340"/>
              <w:spacing w:after="0" w:line="198" w:lineRule="exact"/>
              <w:rPr>
                <w:sz w:val="20"/>
                <w:szCs w:val="20"/>
                <w:color w:val="auto"/>
              </w:rPr>
            </w:pPr>
            <w:r>
              <w:rPr>
                <w:rFonts w:ascii="Arial" w:cs="Arial" w:eastAsia="Arial" w:hAnsi="Arial"/>
                <w:sz w:val="18"/>
                <w:szCs w:val="18"/>
                <w:b w:val="1"/>
                <w:bCs w:val="1"/>
                <w:color w:val="auto"/>
                <w:w w:val="97"/>
              </w:rPr>
              <w:t>Following</w:t>
            </w: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3"/>
          </w:tcPr>
          <w:p>
            <w:pPr>
              <w:jc w:val="right"/>
              <w:ind w:right="340"/>
              <w:spacing w:after="0" w:line="198" w:lineRule="exact"/>
              <w:rPr>
                <w:sz w:val="20"/>
                <w:szCs w:val="20"/>
                <w:color w:val="auto"/>
              </w:rPr>
            </w:pPr>
            <w:r>
              <w:rPr>
                <w:rFonts w:ascii="Arial" w:cs="Arial" w:eastAsia="Arial" w:hAnsi="Arial"/>
                <w:sz w:val="18"/>
                <w:szCs w:val="18"/>
                <w:b w:val="1"/>
                <w:bCs w:val="1"/>
                <w:color w:val="auto"/>
                <w:w w:val="97"/>
              </w:rPr>
              <w:t>Following</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Prior to Sale Below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Sale</w:t>
            </w:r>
          </w:p>
        </w:tc>
        <w:tc>
          <w:tcPr>
            <w:tcW w:w="10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Sale</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 Change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Sale</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 Change</w:t>
            </w:r>
          </w:p>
        </w:tc>
        <w:tc>
          <w:tcPr>
            <w:tcW w:w="10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 Change</w:t>
            </w: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 to Public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Proceeds per Share to Issuer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14.54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Decrease to Net Asset Value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19,118,512</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20,074,438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21,030,363</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22,942,214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(86.67%)</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i w:val="1"/>
                <w:iCs w:val="1"/>
                <w:color w:val="auto"/>
                <w:w w:val="98"/>
              </w:rPr>
              <w:t>Dilution/Accretion to a New Investor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Investor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Percentage Held by Investor 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Net Asset Value Held by Investor A</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2,927,044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w w:val="92"/>
              </w:rPr>
              <w:t>Total Investment by Investor A (Assumed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to be $15.31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2,927,044</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146,352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277,299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492,976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 to Investor A (Total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Value Less Total Investment)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(139,732)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(253,350)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(414,921)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Net Asset Value per Share Held by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Investor A</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Investment per Share Held by Investor 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(Assumed to be $15.31 per Share 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Held Prior to Sale)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Dilution per Share Held by Investor 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(Net Asset Value per Share 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Investment 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Dilution to Investor 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(Dilution per Share Divided by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per Share)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1, the Board of Directors considered the effect or the following factors:</w:t>
      </w:r>
    </w:p>
    <w:p>
      <w:pPr>
        <w:spacing w:after="0" w:line="170" w:lineRule="exact"/>
        <w:rPr>
          <w:sz w:val="20"/>
          <w:szCs w:val="20"/>
          <w:color w:val="auto"/>
        </w:rPr>
      </w:pPr>
    </w:p>
    <w:p>
      <w:pPr>
        <w:ind w:left="660" w:right="4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Board of Directors, including a majority of the non-interested directors who have no financial interest in this Proposal 1, concluded that the benefits to the shareholders from increasing our capital base outweighed any detriment, including dilution to existing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our officers, directors, employees and 5% shareholders. Because we are regulated as a BDC under the 1940 Act, the 1940 Act definition of “a majority of the outstanding shares” must be used for purposes of this proposal. Under the 1940 Act, “a majority of the outstanding shares” is defined as the lesser of: (i) 67% or more of the voting securities present at the Meeting if the holders of more than 50% of our outstanding voting securities are present or represented by proxy; or (ii) more than 50% of our outstanding voting securities. Abstentions and Broker Non-Votes will have the effect of a vote against this proposal.</w:t>
      </w:r>
    </w:p>
    <w:p>
      <w:pPr>
        <w:spacing w:after="0" w:line="17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ABOVE IS IN THE BEST INTERESTS OF OUR SHAREHOLDERS AND RECOMMENDS A VOTE “FOR” PROPOSAL 1.</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 w:name="page18"/>
    <w:bookmarkEnd w:id="17"/>
    <w:p>
      <w:pPr>
        <w:jc w:val="center"/>
        <w:ind w:left="280" w:right="240"/>
        <w:spacing w:after="0" w:line="282" w:lineRule="auto"/>
        <w:rPr>
          <w:sz w:val="20"/>
          <w:szCs w:val="20"/>
          <w:color w:val="auto"/>
        </w:rPr>
      </w:pPr>
      <w:r>
        <w:rPr>
          <w:rFonts w:ascii="Arial" w:cs="Arial" w:eastAsia="Arial" w:hAnsi="Arial"/>
          <w:sz w:val="18"/>
          <w:szCs w:val="18"/>
          <w:b w:val="1"/>
          <w:bCs w:val="1"/>
          <w:color w:val="auto"/>
        </w:rPr>
        <w:t>PROPOSAL 2: APPROVE AN AMENDMENT TO THE COMPANY’S CHARTER TO ALLOW THE COMPANY’S SHAREHOLDERS TO AMEND THE BYLAWS</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Board of Directors has adopted a resolution whereby it has declared advisable, and recommends for your approval, an amendment to Article VI, Section 5.6 of the Company’s Charter, to provide that the Company’s Bylaws may be amended by the vote of a majority of our entire Board of Directors or by our shareholders by the affirmative vote of a majority of all the votes entitled to be cast on the matter. Currently, Article VI, Section 5.6 of the Company’s Charter provides that our Board of Directors has the exclusive power to make, alter, amend or repeal the Bylaws.</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Board is committed to strong and effective corporate governance and monitors regularly our corporate governance policies and practices. After careful consideration, our Board believes that allowing our shareholders to amend our Bylaws by the affirmative vote of a majority of all the votes entitled to be cast on the matter is in the Company’s best interests and in the best interests of our shareholders. A copy of the proposed amendment to our Charter is attached as Attachment A to this Proxy Statement and incorporated by reference into this Proposal 2. If this Charter amendment is approved by the Company’s shareholders, the Company’s Board of Directors will similarly amend the Company’s Bylaws. If this Charter amendment is not approved by shareholders, then the Board of Directors will not amend the Company’s Charter or Bylaws to provide this right to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affirmative vote of a majority of all the votes entitled to be cast on the matter is required to amend the Company’s Charter to allow shareholders to amend the Bylaws by the affirmative vote of a majority of all the votes entitled to be cast on the matter. For purposes of the vote on this Proposal 2, abstentions and broker non-votes will have the effect of a vote against this proposal.</w:t>
      </w:r>
    </w:p>
    <w:p>
      <w:pPr>
        <w:spacing w:after="0" w:line="177"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THE BOARD OF DIRECTORS BELIEVES THAT A VOTE “FOR” PROPOSAL 2 TO AMEND THE COMPANY’S CHARTER TO ALLOW SHAREHOLDERS TO AMEND THE COMPANY’S BYLAWS IS IN THE BEST INTERESTS OF OUR SHARHEOLDERS AND RECOMMENDS A VOTE “FOR” THE APPROVAL OF THIS PROPOSAL 2.</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PROPOSAL 3: ADJOURNMENT OF THE MEETING</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15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161"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THE ADJOURNMENT OF THE MEETING, IF NECESSARY OR APPROPRIATE, TO SOLICIT ADDITIONAL PROXIES.</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SPECIAL MEETING TO BE HELD ON AUGUST 2, 2019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http://www.astproxyportal.com/ast/19720.</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file quarterly and current reports, Proxy Statements and other information with the SEC at 100 F Street, N.E., Washington, D.C. 20549. Our SEC filings are available to the public from commercial document retrieval services, on the web site maintained by the SEC at www.sec.gov, and may be obtained, after paying a duplicating fee, by electronic request at the following e-mail address: publicinfo@sec.gov. Such information will also be furnished upon written request to Newtek Business Services Corp., 1981 Marcus Avenue, Suite 130, Lake Success, New York 11042, Attention: Secretary, and can also be accessed through our website at www.newtekone.com.</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w:t>
      </w:r>
    </w:p>
    <w:p>
      <w:pPr>
        <w:spacing w:after="0" w:line="2" w:lineRule="exact"/>
        <w:rPr>
          <w:sz w:val="20"/>
          <w:szCs w:val="20"/>
          <w:color w:val="auto"/>
        </w:rPr>
      </w:pPr>
    </w:p>
    <w:p>
      <w:pPr>
        <w:ind w:right="240" w:firstLine="8"/>
        <w:spacing w:after="0" w:line="255"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fiduciaries for reasonable expenses incurred by them in sending proxy material to the beneficial owners of Common Shares. In addition to solicitations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mail, directors, officers and regular employees of the Company may solicit proxies personally, by telephone or by email without additional compensation.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has engaged the services of Georgeson LLC to assist in the solicitation of proxies. The Company has estimated that it will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$40,000, plus reimbursement of certain expenses and fees for additional services requested. Please note that Georgeson LLC may solicit shareholder proxies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telephone on behalf of the Company. They will not attempt to influence how you vote your shares, but only ask that you take the time to authorize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proxy. You may also be asked if you would like to vote over the telephone and to have your vote transmitted to the proxy tabulation firm. Shareholders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send written communications to the Board of Directors to the attention of the Board of Directors, c/o Newtek Business Services Corp., 1981 Marcus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Suite 130, Lake Success, New York 11042. Shareholder communications must be signed by the shareholder and identify the number of Common Shares held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shareholder. Each properly submitted shareholder communication will be provided to the Board of Directors at its next meeting or, if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communication requires more immediate attention, it will be forwarded to the Directors promptly after receipt.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40"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will furnish, without charge, a copy of our Annual Report on </w:t>
      </w:r>
      <w:hyperlink r:id="rId5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to any shareholder upon request. Requests should be directed to Newtek Business Services Corp., 1981 Marcus Avenue, Suite 130, Lake Success, New York 11042, Attention: Chief Legal Officer or call (212) 356-9500, or by emailing mschwartz@newtekone.com.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to be eligible for inclusion in the Proxy Statement and proxy relating to the 2019 Annual Meeting of Shareholders of the Company, which will be held on or about June 16, 2020, any shareholder proposal to take action at such meeting must be received by the Secretary of the Company at 1981 Marcus Avenue, Suite 130, Lake Success, New York 11042, no later than January 15, 2020. Nothing in this paragraph shall be deemed to require the Company to include in its Proxy Statement and proxy relating to the 2019 Special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80" w:right="20" w:firstLine="204"/>
        <w:spacing w:after="0" w:line="261"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w:t>
      </w:r>
    </w:p>
    <w:p>
      <w:pPr>
        <w:jc w:val="center"/>
        <w:ind w:right="-19"/>
        <w:spacing w:after="0"/>
        <w:rPr>
          <w:sz w:val="20"/>
          <w:szCs w:val="20"/>
          <w:color w:val="auto"/>
        </w:rPr>
      </w:pPr>
      <w:r>
        <w:rPr>
          <w:rFonts w:ascii="Arial" w:cs="Arial" w:eastAsia="Arial" w:hAnsi="Arial"/>
          <w:sz w:val="18"/>
          <w:szCs w:val="18"/>
          <w:b w:val="1"/>
          <w:bCs w:val="1"/>
          <w:color w:val="auto"/>
        </w:rPr>
        <w:t>NECESSARY IF MAILED IN THE UNITED STATES.</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A. Schwartz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CHARTER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NEWTEK BUSINESS SERVICES CORP., a Maryland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to the State Department of Assessments and Taxation of Maryland that: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Article VI, Section 5.6 of the Articles of Amendment and Restatement of the Corporation filed on October 31, 2014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is</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amended by deleting such Section 5.6 and replacing it in its entirety with the following:</w:t>
      </w:r>
    </w:p>
    <w:p>
      <w:pPr>
        <w:spacing w:after="0" w:line="170"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Charter and Bylaws</w:t>
      </w:r>
      <w:r>
        <w:rPr>
          <w:rFonts w:ascii="Arial" w:cs="Arial" w:eastAsia="Arial" w:hAnsi="Arial"/>
          <w:sz w:val="18"/>
          <w:szCs w:val="18"/>
          <w:color w:val="auto"/>
        </w:rPr>
        <w:t>. All persons who shall acquire stock in the Corporation shall acquire the same subject to the provisions of the charter and the Bylaws. The Board of Directors is vested with the power to adopt, alter or repeal any provision of the Bylaws and to make new Bylaws. In addition, the stockholders may adopt, alter or repeal any provision of the Bylaws and make new Bylaws if such action is approved by the affirmative vote of a majority of all votes entitled to be cast on the matter, except that the stockholders shall not have the power to alter or repeal any provision of the Bylaws providing indemnification or advancement rights to any person.”</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This amendment to the Charter has been approved by the Board of Directors and stockholders of the Corporation.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undersigned acknowledges these Articles of Amendment to be the corporate act of the Corporation and as to all matters of facts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Corporation has caused these Articles of Amendment to be signed in its name and on its behalf by Chief Executive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Officer and attested to by its Secretary as of the   day of</w:t>
            </w:r>
          </w:p>
        </w:tc>
        <w:tc>
          <w:tcPr>
            <w:tcW w:w="2280" w:type="dxa"/>
            <w:vAlign w:val="bottom"/>
          </w:tcPr>
          <w:p>
            <w:pPr>
              <w:jc w:val="right"/>
              <w:ind w:right="1130"/>
              <w:spacing w:after="0"/>
              <w:rPr>
                <w:sz w:val="20"/>
                <w:szCs w:val="20"/>
                <w:color w:val="auto"/>
              </w:rPr>
            </w:pPr>
            <w:r>
              <w:rPr>
                <w:rFonts w:ascii="Arial" w:cs="Arial" w:eastAsia="Arial" w:hAnsi="Arial"/>
                <w:sz w:val="18"/>
                <w:szCs w:val="18"/>
                <w:color w:val="auto"/>
              </w:rPr>
              <w:t>, 2019.</w:t>
            </w:r>
          </w:p>
        </w:tc>
        <w:tc>
          <w:tcPr>
            <w:tcW w:w="45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NEWTEK BUSINESS SERVICES CORP.</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22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By:</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Michael A. Schwartz</w:t>
            </w:r>
          </w:p>
        </w:tc>
        <w:tc>
          <w:tcPr>
            <w:tcW w:w="228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Barry Sloane</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Secretary</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64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40" w:type="dxa"/>
            <w:vAlign w:val="bottom"/>
            <w:gridSpan w:val="2"/>
          </w:tcPr>
          <w:p>
            <w:pPr>
              <w:ind w:left="1000"/>
              <w:spacing w:after="0"/>
              <w:rPr>
                <w:sz w:val="20"/>
                <w:szCs w:val="20"/>
                <w:color w:val="auto"/>
              </w:rPr>
            </w:pPr>
            <w:r>
              <w:rPr>
                <w:rFonts w:ascii="Arial" w:cs="Arial" w:eastAsia="Arial" w:hAnsi="Arial"/>
                <w:sz w:val="18"/>
                <w:szCs w:val="18"/>
                <w:color w:val="auto"/>
              </w:rPr>
              <w:t>A-1</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159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915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159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915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159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9159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lvl w:ilvl="1">
      <w:lvlJc w:val="left"/>
      <w:lvlText w:val="(%2)"/>
      <w:numFmt w:val="decimal"/>
      <w:start w:val="4"/>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3" Type="http://schemas.openxmlformats.org/officeDocument/2006/relationships/hyperlink" Target="http://www.sec.gov/Archives/edgar/data/1587987/000158798719000009/newt-123118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2019-12-01T07:50:00Z</dcterms:created>
  <dcterms:modified xsi:type="dcterms:W3CDTF">2019-12-01T07:50:00Z</dcterms:modified>
</cp:coreProperties>
</file>