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WASHINGTON, DC 20549</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2"/>
        </w:trPr>
        <w:tc>
          <w:tcPr>
            <w:tcW w:w="3380" w:type="dxa"/>
            <w:vAlign w:val="bottom"/>
          </w:tcPr>
          <w:p>
            <w:pPr>
              <w:spacing w:after="0"/>
              <w:rPr>
                <w:sz w:val="24"/>
                <w:szCs w:val="24"/>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(RULE 14a-101)</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Proxy Statement</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2"/>
        </w:trPr>
        <w:tc>
          <w:tcPr>
            <w:tcW w:w="3380" w:type="dxa"/>
            <w:vAlign w:val="bottom"/>
          </w:tcPr>
          <w:p>
            <w:pPr>
              <w:spacing w:after="0"/>
              <w:rPr>
                <w:sz w:val="24"/>
                <w:szCs w:val="24"/>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SCHEDULE 14A INFORMATION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S</w:t>
            </w: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Party other than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w:t>
            </w: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58"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S</w:t>
      </w:r>
      <w:r>
        <w:rPr>
          <w:rFonts w:ascii="Times New Roman" w:cs="Times New Roman" w:eastAsia="Times New Roman" w:hAnsi="Times New Roman"/>
          <w:sz w:val="18"/>
          <w:szCs w:val="18"/>
          <w:color w:val="auto"/>
        </w:rPr>
        <w:t>Definitive Proxy Statement</w:t>
      </w:r>
    </w:p>
    <w:p>
      <w:pPr>
        <w:spacing w:after="0" w:line="63"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62"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NEWTEK BUSINESS SERVICES CORP.</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No fee required.</w:t>
      </w:r>
    </w:p>
    <w:p>
      <w:pPr>
        <w:spacing w:after="0" w:line="62"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0" w:lineRule="exact"/>
        <w:rPr>
          <w:rFonts w:ascii="Arial" w:cs="Arial" w:eastAsia="Arial" w:hAnsi="Arial"/>
          <w:sz w:val="18"/>
          <w:szCs w:val="18"/>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below per Exchange Act Rules 14a-6 (i) (1)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39"/>
          </w:cols>
          <w:pgMar w:left="320" w:top="1440" w:right="1440" w:bottom="1440" w:gutter="0" w:footer="0" w:header="0"/>
        </w:sectPr>
      </w:pPr>
    </w:p>
    <w:bookmarkStart w:id="1" w:name="page2"/>
    <w:bookmarkEnd w:id="1"/>
    <w:p>
      <w:pPr>
        <w:spacing w:after="0" w:line="18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NEWTEK BUSINESS SERVICES CORP.</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4800 T-Rex Avenue, Suite 120</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Boca Raton, FL 33431</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(212) 356-9500</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May 16,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Shareholder:</w:t>
      </w:r>
    </w:p>
    <w:p>
      <w:pPr>
        <w:spacing w:after="0" w:line="256" w:lineRule="exact"/>
        <w:rPr>
          <w:sz w:val="20"/>
          <w:szCs w:val="20"/>
          <w:color w:val="auto"/>
        </w:rPr>
      </w:pPr>
    </w:p>
    <w:p>
      <w:pPr>
        <w:ind w:right="840" w:firstLine="432"/>
        <w:spacing w:after="0" w:line="255" w:lineRule="auto"/>
        <w:rPr>
          <w:sz w:val="20"/>
          <w:szCs w:val="20"/>
          <w:color w:val="auto"/>
        </w:rPr>
      </w:pPr>
      <w:r>
        <w:rPr>
          <w:rFonts w:ascii="Times New Roman" w:cs="Times New Roman" w:eastAsia="Times New Roman" w:hAnsi="Times New Roman"/>
          <w:sz w:val="20"/>
          <w:szCs w:val="20"/>
          <w:color w:val="auto"/>
        </w:rPr>
        <w:t>We invite you to attend the Annual Meeting of Shareholders (the “Annual Meeting”) of Newtek Business Services Corp. (the “Company”) to be held at 2711 South Ocean Drive, Hollywood, FL 33019, on June 15, 2022 at 9:00 a.m., local time.</w:t>
      </w:r>
    </w:p>
    <w:p>
      <w:pPr>
        <w:spacing w:after="0" w:line="159" w:lineRule="exact"/>
        <w:rPr>
          <w:sz w:val="20"/>
          <w:szCs w:val="20"/>
          <w:color w:val="auto"/>
        </w:rPr>
      </w:pPr>
    </w:p>
    <w:p>
      <w:pPr>
        <w:ind w:right="20" w:firstLine="432"/>
        <w:spacing w:after="0" w:line="283" w:lineRule="auto"/>
        <w:rPr>
          <w:sz w:val="20"/>
          <w:szCs w:val="20"/>
          <w:color w:val="auto"/>
        </w:rPr>
      </w:pPr>
      <w:r>
        <w:rPr>
          <w:rFonts w:ascii="Times New Roman" w:cs="Times New Roman" w:eastAsia="Times New Roman" w:hAnsi="Times New Roman"/>
          <w:sz w:val="20"/>
          <w:szCs w:val="20"/>
          <w:color w:val="auto"/>
        </w:rPr>
        <w:t>The attached Notice of Annual Meeting and Proxy Statement describe the formal business to be transacted at the Annual Meeting. Also enclosed is a Proxy Card and the Company’s Annual Report on Form 10-K for the year ended December 31, 2021.</w:t>
      </w:r>
    </w:p>
    <w:p>
      <w:pPr>
        <w:spacing w:after="0" w:line="16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20"/>
          <w:szCs w:val="20"/>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 xml:space="preserve">YOUR VOTE IS IMPORTANT, REGARDLESS OF THE NUMBER OF SHARES YOU OWN. </w:t>
      </w:r>
      <w:r>
        <w:rPr>
          <w:rFonts w:ascii="Times New Roman" w:cs="Times New Roman" w:eastAsia="Times New Roman" w:hAnsi="Times New Roman"/>
          <w:sz w:val="20"/>
          <w:szCs w:val="20"/>
          <w:color w:val="auto"/>
        </w:rPr>
        <w:t>On behalf of the Company’s</w:t>
      </w:r>
    </w:p>
    <w:p>
      <w:pPr>
        <w:spacing w:after="0" w:line="2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0"/>
          <w:szCs w:val="20"/>
          <w:color w:val="auto"/>
        </w:rPr>
        <w:t>Board of Directors, we urge you to please sign, date and return the enclosed Proxy Card in the enclosed postage-prepaid envelope or vote by telephone or internet as soon as possible even if you currently plan to attend the Annual Meeting in person. This will not prevent you from voting during the meeting, but will assure that your vote is counted if you are unable to attend the Annual Meeting. Your vote and participation in the governance of the Company is very important to us.</w:t>
      </w:r>
    </w:p>
    <w:p>
      <w:pPr>
        <w:spacing w:after="0" w:line="2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Sincerely yours,</w:t>
      </w:r>
    </w:p>
    <w:p>
      <w:pPr>
        <w:spacing w:after="0" w:line="4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22860</wp:posOffset>
            </wp:positionV>
            <wp:extent cx="3617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Barry Sloane</w:t>
      </w:r>
    </w:p>
    <w:p>
      <w:pPr>
        <w:spacing w:after="0" w:line="4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40" w:right="379" w:bottom="1440" w:gutter="0" w:footer="0" w:header="0"/>
        </w:sectPr>
      </w:pPr>
    </w:p>
    <w:bookmarkStart w:id="2" w:name="page3"/>
    <w:bookmarkEnd w:id="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Shareholders to Be Held on June 15, 2022.</w:t>
      </w:r>
    </w:p>
    <w:p>
      <w:pPr>
        <w:spacing w:after="0" w:line="173" w:lineRule="exact"/>
        <w:rPr>
          <w:sz w:val="20"/>
          <w:szCs w:val="20"/>
          <w:color w:val="auto"/>
        </w:rPr>
      </w:pP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 xml:space="preserve">Our Proxy Statement and Annual Report on Form 10-K for the year ended December 31, 2021 are available on the internet at </w:t>
      </w:r>
      <w:r>
        <w:rPr>
          <w:rFonts w:ascii="Times New Roman" w:cs="Times New Roman" w:eastAsia="Times New Roman" w:hAnsi="Times New Roman"/>
          <w:sz w:val="18"/>
          <w:szCs w:val="18"/>
          <w:i w:val="1"/>
          <w:iCs w:val="1"/>
          <w:color w:val="auto"/>
        </w:rPr>
        <w:t>http://www.astproxyportal.com/ast/19720</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information applicable to the Annual Meeting may be found in the Proxy Statement and accompanying Proxy Card:</w:t>
      </w:r>
    </w:p>
    <w:p>
      <w:pPr>
        <w:spacing w:after="0" w:line="158" w:lineRule="exact"/>
        <w:rPr>
          <w:sz w:val="20"/>
          <w:szCs w:val="20"/>
          <w:color w:val="auto"/>
        </w:rPr>
      </w:pPr>
    </w:p>
    <w:p>
      <w:pPr>
        <w:ind w:left="860" w:hanging="420"/>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Annual Meeting;</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your Proxy Card;</w:t>
      </w:r>
    </w:p>
    <w:p>
      <w:pPr>
        <w:spacing w:after="0" w:line="238"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Annual Meeting; and</w:t>
      </w:r>
    </w:p>
    <w:p>
      <w:pPr>
        <w:spacing w:after="0" w:line="238"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vote using any of the following methods: by mail; by telephone, by internet and in-person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20"/>
          </w:cols>
          <w:pgMar w:left="320" w:top="1440" w:right="1359" w:bottom="1440" w:gutter="0" w:footer="0" w:header="0"/>
        </w:sectPr>
      </w:pPr>
    </w:p>
    <w:bookmarkStart w:id="3" w:name="page4"/>
    <w:bookmarkEnd w:id="3"/>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Be Held on June 15,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of Newtek Business Services Corp.:</w:t>
      </w:r>
    </w:p>
    <w:p>
      <w:pPr>
        <w:spacing w:after="0" w:line="117" w:lineRule="exact"/>
        <w:rPr>
          <w:sz w:val="20"/>
          <w:szCs w:val="20"/>
          <w:color w:val="auto"/>
        </w:rPr>
      </w:pPr>
    </w:p>
    <w:p>
      <w:pPr>
        <w:ind w:right="5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Shareholders (the “Annual Meeting”) of Newtek Business Services Corp.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be held at 2711 South Ocean Drive, Hollywood, FL 33019, on June 15, 2022 at 9:00 a.m., local time.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is for the following purposes, which are more completely described in the accompanying Proxy Statement:</w:t>
      </w:r>
    </w:p>
    <w:p>
      <w:pPr>
        <w:spacing w:after="0" w:line="117" w:lineRule="exact"/>
        <w:rPr>
          <w:sz w:val="20"/>
          <w:szCs w:val="20"/>
          <w:color w:val="auto"/>
        </w:rPr>
      </w:pPr>
    </w:p>
    <w:p>
      <w:pPr>
        <w:ind w:left="880" w:right="60" w:hanging="440"/>
        <w:spacing w:after="0" w:line="282" w:lineRule="auto"/>
        <w:tabs>
          <w:tab w:leader="none" w:pos="8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of the Company to serve on the Board of Directors until the Company’s Annual Meeting of Shareholders in 2025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8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as the Company’s independent registered accounting firm (independent auditors) for the fiscal year ending December 31, 2022;</w:t>
      </w:r>
    </w:p>
    <w:p>
      <w:pPr>
        <w:spacing w:after="0" w:line="53" w:lineRule="exact"/>
        <w:rPr>
          <w:rFonts w:ascii="Times New Roman" w:cs="Times New Roman" w:eastAsia="Times New Roman" w:hAnsi="Times New Roman"/>
          <w:sz w:val="18"/>
          <w:szCs w:val="18"/>
          <w:color w:val="auto"/>
        </w:rPr>
      </w:pPr>
    </w:p>
    <w:p>
      <w:pPr>
        <w:ind w:left="840" w:hanging="400"/>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840" w:hanging="400"/>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is not aware of any other business to come before the Annual Meeting.</w:t>
      </w:r>
    </w:p>
    <w:p>
      <w:pPr>
        <w:spacing w:after="0" w:line="117"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Any action may be taken on any one of the foregoing proposals at the Annual Meeting or any adjournments thereof. Shareholders of record at the close of business on May 2, 2022 (the Record Date) are entitled to vote at the Annual Meeting and any adjournment thereof.</w:t>
      </w:r>
    </w:p>
    <w:p>
      <w:pPr>
        <w:spacing w:after="0" w:line="54"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We ask that you complete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BARRY SLOANE</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IMPORTANT: THE PROMPT RETURN OF PROXIES WILL SAVE THE COMPANY THE EXPENSE OF A FURTHER REQUEST FOR PROXIES IN ORDER TO INSURE A QUORUM. A SELF-ADDRESSED ENVELOPE IS ENCLOSED FOR YOUR CONVENIENCE. NO POSTAGE IS REQUIRED IF MAILED WITHIN THE UNITED STATES. EVEN IF YOU VOTE YOUR SHARES PRIOR TO THE ANNUAL MEETING, YOU STILL MAY ATTEND THE ANNUAL MEETING AND VOTE YOUR SHARES IN PERSON DURING THE ANNUAL MEETING IF YOU WISH TO CHANGE YOUR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1440" w:right="539" w:bottom="1440" w:gutter="0" w:footer="0" w:header="0"/>
        </w:sectPr>
      </w:pPr>
    </w:p>
    <w:bookmarkStart w:id="4" w:name="page5"/>
    <w:bookmarkEnd w:id="4"/>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15, 2022</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Newtek Business Services Corp. (the “Company”) for the Annual Meeting of Shareholders (the “Annual Meeting”) to be held at 2711 South Ocean Drive, Hollywood, FL 33019, on June 15, 2022 at 9:00 a.m., local time.</w:t>
      </w:r>
    </w:p>
    <w:p>
      <w:pPr>
        <w:spacing w:after="0" w:line="90" w:lineRule="exact"/>
        <w:rPr>
          <w:sz w:val="20"/>
          <w:szCs w:val="20"/>
          <w:color w:val="auto"/>
        </w:rPr>
      </w:pPr>
    </w:p>
    <w:p>
      <w:pPr>
        <w:ind w:right="520" w:firstLine="432"/>
        <w:spacing w:after="0" w:line="310" w:lineRule="auto"/>
        <w:rPr>
          <w:sz w:val="20"/>
          <w:szCs w:val="20"/>
          <w:color w:val="auto"/>
        </w:rPr>
      </w:pPr>
      <w:r>
        <w:rPr>
          <w:rFonts w:ascii="Times New Roman" w:cs="Times New Roman" w:eastAsia="Times New Roman" w:hAnsi="Times New Roman"/>
          <w:sz w:val="18"/>
          <w:szCs w:val="18"/>
          <w:color w:val="auto"/>
        </w:rPr>
        <w:t xml:space="preserve">The accompanying Notice of Annual Meeting and this Proxy Statement, together with the enclosed Proxy Card, and </w:t>
      </w:r>
      <w:r>
        <w:rPr>
          <w:rFonts w:ascii="Times New Roman" w:cs="Times New Roman" w:eastAsia="Times New Roman" w:hAnsi="Times New Roman"/>
          <w:sz w:val="19"/>
          <w:szCs w:val="19"/>
          <w:color w:val="auto"/>
        </w:rPr>
        <w:t>the Company’s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Report on Form 10-K for the year ended December 31, 2021, </w:t>
      </w:r>
      <w:r>
        <w:rPr>
          <w:rFonts w:ascii="Times New Roman" w:cs="Times New Roman" w:eastAsia="Times New Roman" w:hAnsi="Times New Roman"/>
          <w:sz w:val="17"/>
          <w:szCs w:val="17"/>
          <w:color w:val="auto"/>
        </w:rPr>
        <w:t>are first being mailed to shareholders on or about May 16, 2022.</w:t>
      </w:r>
    </w:p>
    <w:p>
      <w:pPr>
        <w:spacing w:after="0" w:line="152" w:lineRule="exact"/>
        <w:rPr>
          <w:sz w:val="20"/>
          <w:szCs w:val="20"/>
          <w:color w:val="auto"/>
        </w:rPr>
      </w:pPr>
    </w:p>
    <w:p>
      <w:pPr>
        <w:ind w:right="28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We encourage you to vote your shares</w:t>
      </w:r>
      <w:r>
        <w:rPr>
          <w:rFonts w:ascii="Times New Roman" w:cs="Times New Roman" w:eastAsia="Times New Roman" w:hAnsi="Times New Roman"/>
          <w:sz w:val="18"/>
          <w:szCs w:val="18"/>
          <w:color w:val="auto"/>
        </w:rPr>
        <w:t>, either by voting in person at the Annual Meeting or by granting a proxy (i.e., authorizing someone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How Do You Exercise Your Rights to Vote on the Proposals?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21" w:lineRule="exact"/>
        <w:rPr>
          <w:sz w:val="20"/>
          <w:szCs w:val="20"/>
          <w:color w:val="auto"/>
        </w:rPr>
      </w:pPr>
    </w:p>
    <w:p>
      <w:pPr>
        <w:ind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 Shareholders of record may submit proxies by completing, signing and dating each Proxy Card received and returning it in the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instructions by mail by completing, signing and dating the voting instruction forms provided by their brokers, banks or other nominees.</w:t>
      </w:r>
    </w:p>
    <w:p>
      <w:pPr>
        <w:spacing w:after="0" w:line="188" w:lineRule="exact"/>
        <w:rPr>
          <w:sz w:val="20"/>
          <w:szCs w:val="20"/>
          <w:color w:val="auto"/>
        </w:rPr>
      </w:pPr>
    </w:p>
    <w:p>
      <w:pPr>
        <w:ind w:right="220" w:firstLine="324"/>
        <w:spacing w:after="0" w:line="238" w:lineRule="auto"/>
        <w:rPr>
          <w:sz w:val="20"/>
          <w:szCs w:val="20"/>
          <w:color w:val="auto"/>
        </w:rPr>
      </w:pPr>
      <w:r>
        <w:rPr>
          <w:rFonts w:ascii="Times New Roman" w:cs="Times New Roman" w:eastAsia="Times New Roman" w:hAnsi="Times New Roman"/>
          <w:sz w:val="17"/>
          <w:szCs w:val="17"/>
          <w:b w:val="1"/>
          <w:bCs w:val="1"/>
          <w:color w:val="auto"/>
        </w:rPr>
        <w:t>By Telephone</w:t>
      </w:r>
      <w:r>
        <w:rPr>
          <w:rFonts w:ascii="Times New Roman" w:cs="Times New Roman" w:eastAsia="Times New Roman" w:hAnsi="Times New Roman"/>
          <w:sz w:val="17"/>
          <w:szCs w:val="17"/>
          <w:color w:val="auto"/>
        </w:rPr>
        <w:t> — Shareholders of record may submit proxies by following the telephone voting instructions on each Proxy Card. Most shareholders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hold shares beneficially in street name may provide voting instructions by telephone by calling the number specified on the voting instruction form</w:t>
      </w:r>
    </w:p>
    <w:p>
      <w:pPr>
        <w:spacing w:after="0" w:line="1"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95" w:lineRule="exact"/>
        <w:rPr>
          <w:sz w:val="20"/>
          <w:szCs w:val="20"/>
          <w:color w:val="auto"/>
        </w:rPr>
      </w:pPr>
    </w:p>
    <w:p>
      <w:pPr>
        <w:ind w:right="40" w:firstLine="324"/>
        <w:spacing w:after="0" w:line="227" w:lineRule="auto"/>
        <w:rPr>
          <w:sz w:val="20"/>
          <w:szCs w:val="20"/>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 Shareholders of record with internet access may submit proxies by following the internet voting instructions on their Proxy Cards.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shareholders who hold shares beneficially in street name may provide voting instructions by accessing the website specified on the voting instruction form provided by their brokers, banks or nominees.</w:t>
      </w:r>
    </w:p>
    <w:p>
      <w:pPr>
        <w:spacing w:after="0" w:line="200" w:lineRule="exact"/>
        <w:rPr>
          <w:sz w:val="20"/>
          <w:szCs w:val="20"/>
          <w:color w:val="auto"/>
        </w:rPr>
      </w:pPr>
    </w:p>
    <w:p>
      <w:pPr>
        <w:jc w:val="both"/>
        <w:ind w:right="60" w:firstLine="324"/>
        <w:spacing w:after="0" w:line="226" w:lineRule="auto"/>
        <w:rPr>
          <w:sz w:val="20"/>
          <w:szCs w:val="20"/>
          <w:color w:val="auto"/>
        </w:rPr>
      </w:pPr>
      <w:r>
        <w:rPr>
          <w:rFonts w:ascii="Times New Roman" w:cs="Times New Roman" w:eastAsia="Times New Roman" w:hAnsi="Times New Roman"/>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94" w:lineRule="exact"/>
        <w:rPr>
          <w:sz w:val="20"/>
          <w:szCs w:val="20"/>
          <w:color w:val="auto"/>
        </w:rPr>
      </w:pPr>
    </w:p>
    <w:p>
      <w:pPr>
        <w:jc w:val="both"/>
        <w:ind w:right="16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In Person at the Meeting</w:t>
      </w:r>
      <w:r>
        <w:rPr>
          <w:rFonts w:ascii="Times New Roman" w:cs="Times New Roman" w:eastAsia="Times New Roman" w:hAnsi="Times New Roman"/>
          <w:sz w:val="18"/>
          <w:szCs w:val="18"/>
          <w:color w:val="auto"/>
        </w:rPr>
        <w:t> — Shares held in your name as the shareholder of record may be voted at the Annual Meeting. Shares held beneficially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street name may be voted in person only if you obtain a legal proxy from the broker, bank or other nominee that holds your shares giving you the right to vote the shares. </w:t>
      </w:r>
      <w:r>
        <w:rPr>
          <w:rFonts w:ascii="Times New Roman" w:cs="Times New Roman" w:eastAsia="Times New Roman" w:hAnsi="Times New Roman"/>
          <w:sz w:val="18"/>
          <w:szCs w:val="18"/>
          <w:b w:val="1"/>
          <w:bCs w:val="1"/>
          <w:i w:val="1"/>
          <w:iCs w:val="1"/>
          <w:color w:val="auto"/>
        </w:rPr>
        <w:t>Even if you plan to attend the Meeting, we recommend that you also submit your proxy or voting instructions or vote by telephone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internet so that your vote will be counted if you later decide not to attend the Annual Meeting</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20" w:firstLine="324"/>
        <w:spacing w:after="0" w:line="250" w:lineRule="auto"/>
        <w:rPr>
          <w:sz w:val="20"/>
          <w:szCs w:val="20"/>
          <w:color w:val="auto"/>
        </w:rPr>
      </w:pPr>
      <w:r>
        <w:rPr>
          <w:rFonts w:ascii="Times New Roman" w:cs="Times New Roman" w:eastAsia="Times New Roman" w:hAnsi="Times New Roman"/>
          <w:sz w:val="18"/>
          <w:szCs w:val="18"/>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00"/>
          </w:cols>
          <w:pgMar w:left="320" w:top="1440" w:right="379" w:bottom="1440" w:gutter="0" w:footer="0" w:header="0"/>
          <w:type w:val="continuous"/>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t>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the Proposals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1404" w:right="439" w:bottom="1440" w:gutter="0" w:footer="0" w:header="0"/>
        </w:sectPr>
      </w:pPr>
    </w:p>
    <w:bookmarkStart w:id="6" w:name="page7"/>
    <w:bookmarkEnd w:id="6"/>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Each Proposal?</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Broker</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Discretionary</w:t>
            </w:r>
          </w:p>
        </w:tc>
        <w:tc>
          <w:tcPr>
            <w:tcW w:w="2440" w:type="dxa"/>
            <w:vAlign w:val="bottom"/>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w w:val="99"/>
              </w:rPr>
              <w:t>Effect of Abstentions and</w:t>
            </w:r>
          </w:p>
        </w:tc>
        <w:tc>
          <w:tcPr>
            <w:tcW w:w="0" w:type="dxa"/>
            <w:vAlign w:val="bottom"/>
          </w:tcPr>
          <w:p>
            <w:pPr>
              <w:spacing w:after="0"/>
              <w:rPr>
                <w:sz w:val="1"/>
                <w:szCs w:val="1"/>
                <w:color w:val="auto"/>
              </w:rPr>
            </w:pPr>
          </w:p>
        </w:tc>
      </w:tr>
      <w:tr>
        <w:trPr>
          <w:trHeight w:val="162"/>
        </w:trPr>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326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b w:val="1"/>
                <w:bCs w:val="1"/>
                <w:color w:val="auto"/>
              </w:rPr>
              <w:t>Vote Required</w:t>
            </w:r>
          </w:p>
        </w:tc>
        <w:tc>
          <w:tcPr>
            <w:tcW w:w="21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Voting</w:t>
            </w:r>
          </w:p>
        </w:tc>
        <w:tc>
          <w:tcPr>
            <w:tcW w:w="2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40" w:type="dxa"/>
            <w:vAlign w:val="bottom"/>
            <w:vMerge w:val="continue"/>
          </w:tcPr>
          <w:p>
            <w:pPr>
              <w:spacing w:after="0"/>
              <w:rPr>
                <w:sz w:val="18"/>
                <w:szCs w:val="18"/>
                <w:color w:val="auto"/>
              </w:rPr>
            </w:pPr>
          </w:p>
        </w:tc>
        <w:tc>
          <w:tcPr>
            <w:tcW w:w="3260" w:type="dxa"/>
            <w:vAlign w:val="bottom"/>
            <w:vMerge w:val="continue"/>
          </w:tcPr>
          <w:p>
            <w:pPr>
              <w:spacing w:after="0"/>
              <w:rPr>
                <w:sz w:val="18"/>
                <w:szCs w:val="18"/>
                <w:color w:val="auto"/>
              </w:rPr>
            </w:pPr>
          </w:p>
        </w:tc>
        <w:tc>
          <w:tcPr>
            <w:tcW w:w="2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Allowed?</w:t>
            </w:r>
          </w:p>
        </w:tc>
        <w:tc>
          <w:tcPr>
            <w:tcW w:w="244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205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Proposal I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Proposal II — Ratification of Appointment of Independent Auditors</w:t>
      </w:r>
    </w:p>
    <w:p>
      <w:pPr>
        <w:spacing w:after="0" w:line="182" w:lineRule="exact"/>
        <w:rPr>
          <w:sz w:val="20"/>
          <w:szCs w:val="20"/>
          <w:color w:val="auto"/>
        </w:rPr>
      </w:pPr>
    </w:p>
    <w:p>
      <w:pPr>
        <w:ind w:left="20" w:right="260"/>
        <w:spacing w:after="0" w:line="225" w:lineRule="auto"/>
        <w:rPr>
          <w:sz w:val="20"/>
          <w:szCs w:val="20"/>
          <w:color w:val="auto"/>
        </w:rPr>
      </w:pPr>
      <w:r>
        <w:rPr>
          <w:rFonts w:ascii="Times New Roman" w:cs="Times New Roman" w:eastAsia="Times New Roman" w:hAnsi="Times New Roman"/>
          <w:sz w:val="18"/>
          <w:szCs w:val="18"/>
          <w:b w:val="1"/>
          <w:bCs w:val="1"/>
          <w:color w:val="auto"/>
        </w:rPr>
        <w:t>Proposal III — Advisory Vote on Compensation of Named Executive</w:t>
      </w:r>
    </w:p>
    <w:p>
      <w:pPr>
        <w:ind w:left="2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Affirmative vote of a plurality</w:t>
            </w:r>
          </w:p>
        </w:tc>
        <w:tc>
          <w:tcPr>
            <w:tcW w:w="180" w:type="dxa"/>
            <w:vAlign w:val="bottom"/>
          </w:tcPr>
          <w:p>
            <w:pPr>
              <w:spacing w:after="0"/>
              <w:rPr>
                <w:sz w:val="15"/>
                <w:szCs w:val="15"/>
                <w:color w:val="auto"/>
              </w:rPr>
            </w:pPr>
          </w:p>
        </w:tc>
        <w:tc>
          <w:tcPr>
            <w:tcW w:w="1380" w:type="dxa"/>
            <w:vAlign w:val="bottom"/>
            <w:tcBorders>
              <w:top w:val="single" w:sz="8" w:color="auto"/>
            </w:tcBorders>
          </w:tcPr>
          <w:p>
            <w:pPr>
              <w:ind w:left="580"/>
              <w:spacing w:after="0" w:line="173" w:lineRule="exact"/>
              <w:rPr>
                <w:sz w:val="20"/>
                <w:szCs w:val="20"/>
                <w:color w:val="auto"/>
              </w:rPr>
            </w:pPr>
            <w:r>
              <w:rPr>
                <w:rFonts w:ascii="Times New Roman" w:cs="Times New Roman" w:eastAsia="Times New Roman" w:hAnsi="Times New Roman"/>
                <w:sz w:val="18"/>
                <w:szCs w:val="18"/>
                <w:color w:val="auto"/>
              </w:rPr>
              <w:t>No</w:t>
            </w:r>
          </w:p>
        </w:tc>
        <w:tc>
          <w:tcPr>
            <w:tcW w:w="180" w:type="dxa"/>
            <w:vAlign w:val="bottom"/>
          </w:tcPr>
          <w:p>
            <w:pPr>
              <w:spacing w:after="0"/>
              <w:rPr>
                <w:sz w:val="15"/>
                <w:szCs w:val="15"/>
                <w:color w:val="auto"/>
              </w:rPr>
            </w:pPr>
          </w:p>
        </w:tc>
        <w:tc>
          <w:tcPr>
            <w:tcW w:w="374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Broker non-votes are not counted as votes cast for</w:t>
            </w:r>
          </w:p>
        </w:tc>
      </w:tr>
      <w:tr>
        <w:trPr>
          <w:trHeight w:val="184"/>
        </w:trPr>
        <w:tc>
          <w:tcPr>
            <w:tcW w:w="2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 all votes cast at the Annual</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purposes of the election of a director nominee and,</w:t>
            </w:r>
          </w:p>
        </w:tc>
      </w:tr>
      <w:tr>
        <w:trPr>
          <w:trHeight w:val="180"/>
        </w:trPr>
        <w:tc>
          <w:tcPr>
            <w:tcW w:w="2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therefore, will have no effect on the outcome of</w:t>
            </w:r>
          </w:p>
        </w:tc>
      </w:tr>
      <w:tr>
        <w:trPr>
          <w:trHeight w:val="176"/>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such election. A proxy marked “withhold” with</w:t>
            </w:r>
          </w:p>
        </w:tc>
      </w:tr>
      <w:tr>
        <w:trPr>
          <w:trHeight w:val="184"/>
        </w:trPr>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respect to the director nominee will result in the</w:t>
            </w:r>
          </w:p>
        </w:tc>
      </w:tr>
      <w:tr>
        <w:trPr>
          <w:trHeight w:val="180"/>
        </w:trPr>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nominees receiving one fewer “FOR” vote</w:t>
            </w:r>
          </w:p>
        </w:tc>
      </w:tr>
      <w:tr>
        <w:trPr>
          <w:trHeight w:val="225"/>
        </w:trPr>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would count towards a plurality.</w:t>
            </w:r>
          </w:p>
        </w:tc>
      </w:tr>
      <w:tr>
        <w:trPr>
          <w:trHeight w:val="180"/>
        </w:trPr>
        <w:tc>
          <w:tcPr>
            <w:tcW w:w="2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Affirmative vote of a majority</w:t>
            </w:r>
          </w:p>
        </w:tc>
        <w:tc>
          <w:tcPr>
            <w:tcW w:w="1560" w:type="dxa"/>
            <w:vAlign w:val="bottom"/>
            <w:gridSpan w:val="2"/>
          </w:tcPr>
          <w:p>
            <w:pPr>
              <w:ind w:left="560"/>
              <w:spacing w:after="0" w:line="181" w:lineRule="exact"/>
              <w:rPr>
                <w:sz w:val="20"/>
                <w:szCs w:val="20"/>
                <w:color w:val="auto"/>
              </w:rPr>
            </w:pPr>
            <w:r>
              <w:rPr>
                <w:rFonts w:ascii="Times New Roman" w:cs="Times New Roman" w:eastAsia="Times New Roman" w:hAnsi="Times New Roman"/>
                <w:sz w:val="18"/>
                <w:szCs w:val="18"/>
                <w:color w:val="auto"/>
              </w:rPr>
              <w:t>Yes</w:t>
            </w: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Abstentions and broker non-votes will not be</w:t>
            </w:r>
          </w:p>
        </w:tc>
      </w:tr>
      <w:tr>
        <w:trPr>
          <w:trHeight w:val="184"/>
        </w:trPr>
        <w:tc>
          <w:tcPr>
            <w:tcW w:w="2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votes cast at the Annual</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counted as votes cast and will have no effect on the</w:t>
            </w:r>
          </w:p>
        </w:tc>
      </w:tr>
      <w:tr>
        <w:trPr>
          <w:trHeight w:val="23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result of the vote.</w:t>
            </w:r>
          </w:p>
        </w:tc>
      </w:tr>
      <w:tr>
        <w:trPr>
          <w:trHeight w:val="180"/>
        </w:trPr>
        <w:tc>
          <w:tcPr>
            <w:tcW w:w="2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Affirmative vote of a majority</w:t>
            </w:r>
          </w:p>
        </w:tc>
        <w:tc>
          <w:tcPr>
            <w:tcW w:w="1560" w:type="dxa"/>
            <w:vAlign w:val="bottom"/>
            <w:gridSpan w:val="2"/>
          </w:tcPr>
          <w:p>
            <w:pPr>
              <w:ind w:left="580"/>
              <w:spacing w:after="0" w:line="181" w:lineRule="exact"/>
              <w:rPr>
                <w:sz w:val="20"/>
                <w:szCs w:val="20"/>
                <w:color w:val="auto"/>
              </w:rPr>
            </w:pPr>
            <w:r>
              <w:rPr>
                <w:rFonts w:ascii="Times New Roman" w:cs="Times New Roman" w:eastAsia="Times New Roman" w:hAnsi="Times New Roman"/>
                <w:sz w:val="18"/>
                <w:szCs w:val="18"/>
                <w:color w:val="auto"/>
              </w:rPr>
              <w:t>No</w:t>
            </w: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Abstentions and broker non-votes will not be</w:t>
            </w:r>
          </w:p>
        </w:tc>
      </w:tr>
      <w:tr>
        <w:trPr>
          <w:trHeight w:val="184"/>
        </w:trPr>
        <w:tc>
          <w:tcPr>
            <w:tcW w:w="2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votes cast at the Annual</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counted as votes cast and will have no effect on the</w:t>
            </w:r>
          </w:p>
        </w:tc>
      </w:tr>
      <w:tr>
        <w:trPr>
          <w:trHeight w:val="23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result of the vote.</w:t>
            </w:r>
          </w:p>
        </w:tc>
      </w:tr>
    </w:tbl>
    <w:p>
      <w:pPr>
        <w:spacing w:after="0" w:line="200" w:lineRule="exact"/>
        <w:rPr>
          <w:sz w:val="20"/>
          <w:szCs w:val="20"/>
          <w:color w:val="auto"/>
        </w:rPr>
      </w:pPr>
    </w:p>
    <w:p>
      <w:pPr>
        <w:sectPr>
          <w:pgSz w:w="11900" w:h="16838" w:orient="portrait"/>
          <w:cols w:equalWidth="0" w:num="2">
            <w:col w:w="2980" w:space="440"/>
            <w:col w:w="7820"/>
          </w:cols>
          <w:pgMar w:left="320" w:top="1440" w:right="339" w:bottom="1440" w:gutter="0" w:footer="0" w:header="0"/>
          <w:type w:val="continuous"/>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14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securities which can be voted at the Annual Meeting consist of the Company’s common shares, $0.02 par value per share (“Common Shares”). Shareholders of record as of the close of business on May 2, 2022 (the “Record Date”) are entitled to one vote for each Common Share then held on all matters. As of the Record Date, approximately 24,161,106 Common Shares were issued and outstanding. The presence, in person or by proxy, of at least a majority of the total number of Common Shares outstanding and entitled to vote will be necessary to constitute a quorum at the Annual Meeting.</w:t>
      </w:r>
    </w:p>
    <w:p>
      <w:pPr>
        <w:spacing w:after="0" w:line="11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April 25, 2022, the beneficial ownership of each current director, the nominee for director, the Company’s executive officers, each person known to us to beneficially own 5% or more of the outstanding Common Shares, and the executive officers and directors as a group. Percentage of beneficial ownership is based on 24,161,106 Common Shares outstanding as of the Record Date.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10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 has sole voting and investment power.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Corp.,4800 T-Rex Avenue, Suite 120, Boca Raton, FL 33431.</w:t>
      </w: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vMerge w:val="restart"/>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Beneficially</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3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0" w:type="dxa"/>
            <w:vAlign w:val="bottom"/>
          </w:tcPr>
          <w:p>
            <w:pPr>
              <w:spacing w:after="0"/>
              <w:rPr>
                <w:sz w:val="1"/>
                <w:szCs w:val="1"/>
                <w:color w:val="auto"/>
              </w:rPr>
            </w:pPr>
          </w:p>
        </w:tc>
      </w:tr>
      <w:tr>
        <w:trPr>
          <w:trHeight w:val="265"/>
        </w:trPr>
        <w:tc>
          <w:tcPr>
            <w:tcW w:w="7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9"/>
                <w:szCs w:val="9"/>
                <w:color w:val="auto"/>
              </w:rPr>
              <w:t>(1)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1,149,273</w:t>
            </w:r>
          </w:p>
        </w:tc>
        <w:tc>
          <w:tcPr>
            <w:tcW w:w="120" w:type="dxa"/>
            <w:vAlign w:val="bottom"/>
          </w:tcPr>
          <w:p>
            <w:pPr>
              <w:spacing w:after="0"/>
              <w:rPr>
                <w:sz w:val="23"/>
                <w:szCs w:val="23"/>
                <w:color w:val="auto"/>
              </w:rPr>
            </w:pPr>
          </w:p>
        </w:tc>
        <w:tc>
          <w:tcPr>
            <w:tcW w:w="1360" w:type="dxa"/>
            <w:vAlign w:val="bottom"/>
            <w:gridSpan w:val="2"/>
          </w:tcPr>
          <w:p>
            <w:pPr>
              <w:jc w:val="center"/>
              <w:ind w:left="412"/>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77"/>
        </w:trPr>
        <w:tc>
          <w:tcPr>
            <w:tcW w:w="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Peter Downs</w:t>
            </w:r>
          </w:p>
        </w:tc>
        <w:tc>
          <w:tcPr>
            <w:tcW w:w="6420" w:type="dxa"/>
            <w:vAlign w:val="bottom"/>
            <w:shd w:val="clear" w:color="auto" w:fill="CCEEFF"/>
          </w:tcPr>
          <w:p>
            <w:pPr>
              <w:jc w:val="right"/>
              <w:ind w:right="6273"/>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120" w:type="dxa"/>
            <w:vAlign w:val="bottom"/>
            <w:shd w:val="clear" w:color="auto" w:fill="CCEEFF"/>
          </w:tcPr>
          <w:p>
            <w:pPr>
              <w:spacing w:after="0"/>
              <w:rPr>
                <w:sz w:val="15"/>
                <w:szCs w:val="15"/>
                <w:color w:val="auto"/>
              </w:rPr>
            </w:pPr>
          </w:p>
        </w:tc>
        <w:tc>
          <w:tcPr>
            <w:tcW w:w="2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47,167</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960" w:type="dxa"/>
            <w:vAlign w:val="bottom"/>
            <w:tcBorders>
              <w:bottom w:val="single" w:sz="8" w:color="CCEEFF"/>
            </w:tcBorders>
            <w:vMerge w:val="continue"/>
            <w:shd w:val="clear" w:color="auto" w:fill="CCEEFF"/>
          </w:tcPr>
          <w:p>
            <w:pPr>
              <w:spacing w:after="0"/>
              <w:rPr>
                <w:sz w:val="6"/>
                <w:szCs w:val="6"/>
                <w:color w:val="auto"/>
              </w:rPr>
            </w:pPr>
          </w:p>
        </w:tc>
        <w:tc>
          <w:tcPr>
            <w:tcW w:w="64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2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Halli Razon-Feingold</w:t>
            </w:r>
            <w:r>
              <w:rPr>
                <w:rFonts w:ascii="Times New Roman" w:cs="Times New Roman" w:eastAsia="Times New Roman" w:hAnsi="Times New Roman"/>
                <w:sz w:val="9"/>
                <w:szCs w:val="9"/>
                <w:color w:val="auto"/>
              </w:rPr>
              <w:t>(3)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20" w:type="dxa"/>
            <w:vAlign w:val="bottom"/>
          </w:tcPr>
          <w:p>
            <w:pPr>
              <w:spacing w:after="0"/>
              <w:rPr>
                <w:sz w:val="19"/>
                <w:szCs w:val="19"/>
                <w:color w:val="auto"/>
              </w:rPr>
            </w:pPr>
          </w:p>
        </w:tc>
        <w:tc>
          <w:tcPr>
            <w:tcW w:w="100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Zink</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20" w:type="dxa"/>
            <w:vAlign w:val="bottom"/>
          </w:tcPr>
          <w:p>
            <w:pPr>
              <w:spacing w:after="0"/>
              <w:rPr>
                <w:sz w:val="23"/>
                <w:szCs w:val="23"/>
                <w:color w:val="auto"/>
              </w:rPr>
            </w:pPr>
          </w:p>
        </w:tc>
        <w:tc>
          <w:tcPr>
            <w:tcW w:w="100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Salvatore Mulia</w:t>
            </w:r>
            <w:r>
              <w:rPr>
                <w:rFonts w:ascii="Times New Roman" w:cs="Times New Roman" w:eastAsia="Times New Roman" w:hAnsi="Times New Roman"/>
                <w:sz w:val="9"/>
                <w:szCs w:val="9"/>
                <w:color w:val="auto"/>
              </w:rPr>
              <w:t>(7)</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Richard Salute</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120" w:type="dxa"/>
            <w:vAlign w:val="bottom"/>
          </w:tcPr>
          <w:p>
            <w:pPr>
              <w:spacing w:after="0"/>
              <w:rPr>
                <w:sz w:val="23"/>
                <w:szCs w:val="23"/>
                <w:color w:val="auto"/>
              </w:rPr>
            </w:pPr>
          </w:p>
        </w:tc>
        <w:tc>
          <w:tcPr>
            <w:tcW w:w="100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Fernando Perez-Hickman</w:t>
            </w:r>
          </w:p>
        </w:tc>
        <w:tc>
          <w:tcPr>
            <w:tcW w:w="232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22"/>
                <w:szCs w:val="22"/>
                <w:color w:val="auto"/>
              </w:rPr>
              <w:t>—</w:t>
            </w: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Leger</w:t>
            </w:r>
            <w:r>
              <w:rPr>
                <w:rFonts w:ascii="Times New Roman" w:cs="Times New Roman" w:eastAsia="Times New Roman" w:hAnsi="Times New Roman"/>
                <w:sz w:val="9"/>
                <w:szCs w:val="9"/>
                <w:color w:val="auto"/>
              </w:rPr>
              <w:t>(4)</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9"/>
                <w:szCs w:val="9"/>
                <w:color w:val="auto"/>
              </w:rPr>
              <w:t>(5)</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20" w:type="dxa"/>
            <w:vAlign w:val="bottom"/>
          </w:tcPr>
          <w:p>
            <w:pPr>
              <w:spacing w:after="0"/>
              <w:rPr>
                <w:sz w:val="23"/>
                <w:szCs w:val="23"/>
                <w:color w:val="auto"/>
              </w:rPr>
            </w:pPr>
          </w:p>
        </w:tc>
        <w:tc>
          <w:tcPr>
            <w:tcW w:w="100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9"/>
                <w:szCs w:val="9"/>
                <w:color w:val="auto"/>
              </w:rPr>
              <w:t>(6)</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 group</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1,352,106</w:t>
            </w:r>
          </w:p>
        </w:tc>
        <w:tc>
          <w:tcPr>
            <w:tcW w:w="120" w:type="dxa"/>
            <w:vAlign w:val="bottom"/>
          </w:tcPr>
          <w:p>
            <w:pPr>
              <w:spacing w:after="0"/>
              <w:rPr>
                <w:sz w:val="21"/>
                <w:szCs w:val="21"/>
                <w:color w:val="auto"/>
              </w:rPr>
            </w:pPr>
          </w:p>
        </w:tc>
        <w:tc>
          <w:tcPr>
            <w:tcW w:w="1360" w:type="dxa"/>
            <w:vAlign w:val="bottom"/>
            <w:gridSpan w:val="2"/>
          </w:tcPr>
          <w:p>
            <w:pPr>
              <w:jc w:val="center"/>
              <w:ind w:left="412"/>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____________</w:t>
      </w:r>
    </w:p>
    <w:p>
      <w:pPr>
        <w:spacing w:after="0" w:line="194"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total Common Shares outstanding as of the Record Date.</w:t>
      </w:r>
    </w:p>
    <w:p>
      <w:pPr>
        <w:spacing w:after="0" w:line="23" w:lineRule="exact"/>
        <w:rPr>
          <w:sz w:val="20"/>
          <w:szCs w:val="20"/>
          <w:color w:val="auto"/>
        </w:rPr>
      </w:pPr>
    </w:p>
    <w:p>
      <w:pPr>
        <w:jc w:val="both"/>
        <w:ind w:left="440" w:right="200" w:hanging="432"/>
        <w:spacing w:after="0" w:line="252" w:lineRule="auto"/>
        <w:tabs>
          <w:tab w:leader="none" w:pos="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176,221 Shares owned by The B Sloane Family Foundation, a 501(c)(3) private foundation, of which Mr. Sloane shares voting and dispositive power, and 83,217 restricted Common Shares awarded to Mr. Sloane in February 2021, with one-third vesting on each of the following dates: February 15, 2022; February 15, 2023; and February 15, 2024.</w:t>
      </w:r>
    </w:p>
    <w:p>
      <w:pPr>
        <w:ind w:left="440" w:right="180" w:hanging="432"/>
        <w:spacing w:after="0" w:line="255" w:lineRule="auto"/>
        <w:tabs>
          <w:tab w:leader="none" w:pos="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11,557 restricted Common Shares awarded in February 2021, with one-third vesting on each of the following dates: February 15, 2022, February 15, 2023 and February 15, 2024.</w:t>
      </w:r>
    </w:p>
    <w:p>
      <w:pPr>
        <w:ind w:left="420" w:hanging="412"/>
        <w:spacing w:after="0" w:line="248" w:lineRule="auto"/>
        <w:tabs>
          <w:tab w:leader="none" w:pos="24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3,467 restricted Common Shares awarded in February 2021, with one-third vested on February 15, 2022 and one-third vesting on each of February 15, 2023 and February 15, 2024, plus accrued dividends through March 31, 2022.</w:t>
      </w:r>
    </w:p>
    <w:p>
      <w:pPr>
        <w:spacing w:after="0" w:line="1" w:lineRule="exact"/>
        <w:rPr>
          <w:rFonts w:ascii="Times New Roman" w:cs="Times New Roman" w:eastAsia="Times New Roman" w:hAnsi="Times New Roman"/>
          <w:sz w:val="16"/>
          <w:szCs w:val="16"/>
          <w:color w:val="auto"/>
        </w:rPr>
      </w:pPr>
    </w:p>
    <w:p>
      <w:pPr>
        <w:ind w:left="440" w:right="220" w:hanging="432"/>
        <w:spacing w:after="0" w:line="255" w:lineRule="auto"/>
        <w:tabs>
          <w:tab w:leader="none" w:pos="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4,623 restricted Common Shares awarded in February 2021, with one-third vesting on each of the following dates: April 30, 2021, February 15, 2023 and February 15, 2024.</w:t>
      </w:r>
    </w:p>
    <w:p>
      <w:pPr>
        <w:ind w:left="440" w:hanging="432"/>
        <w:spacing w:after="0"/>
        <w:tabs>
          <w:tab w:leader="none" w:pos="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3,082 restricted Common Shares awarded in March 2021, with one-third vesting on each of the following dates: March 15, 2022, March 15, 2023 and March</w:t>
      </w:r>
    </w:p>
    <w:p>
      <w:pPr>
        <w:spacing w:after="0" w:line="15" w:lineRule="exact"/>
        <w:rPr>
          <w:rFonts w:ascii="Times New Roman" w:cs="Times New Roman" w:eastAsia="Times New Roman" w:hAnsi="Times New Roman"/>
          <w:sz w:val="16"/>
          <w:szCs w:val="16"/>
          <w:color w:val="auto"/>
        </w:rPr>
      </w:pPr>
    </w:p>
    <w:p>
      <w:pPr>
        <w:ind w:left="440" w:right="34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2024 and 6,934 restricted Common Shares awarded in February 2021, with one-third vesting on each of the following dates: February 15, 2022, February 15, 2023 and 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8" w:name="page9"/>
    <w:bookmarkEnd w:id="8"/>
    <w:p>
      <w:pPr>
        <w:ind w:left="440" w:right="40" w:hanging="432"/>
        <w:spacing w:after="0" w:line="260" w:lineRule="auto"/>
        <w:tabs>
          <w:tab w:leader="none" w:pos="4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1,332 restricted Company Shares awarded in June 2019 as equity-based compensation to non-employee directors Mulia, Salute and Zink, at the beginning of their 2019 terms of service, which forfeiture restrictions will lapse as to one-third of such Company Shares each year for three years, plus accrued dividends through</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March 31, 2021.</w:t>
      </w:r>
    </w:p>
    <w:p>
      <w:pPr>
        <w:spacing w:after="0" w:line="2"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17,197 restricted Common Shares awarded in August 2021, with one-third vesting on each of August 2, 2022, August 2, 2023 and August 2, 2024.</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Borders>
              <w:bottom w:val="single" w:sz="8" w:color="auto"/>
            </w:tcBorders>
          </w:tcPr>
          <w:p>
            <w:pPr>
              <w:spacing w:after="0"/>
              <w:rPr>
                <w:sz w:val="20"/>
                <w:szCs w:val="20"/>
                <w:color w:val="auto"/>
              </w:rPr>
            </w:pPr>
          </w:p>
        </w:tc>
        <w:tc>
          <w:tcPr>
            <w:tcW w:w="9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Dollar Range of Equity Securities in the Company Beneficially Owned by Each Director:</w:t>
            </w:r>
          </w:p>
        </w:tc>
      </w:tr>
      <w:tr>
        <w:trPr>
          <w:trHeight w:val="172"/>
        </w:trPr>
        <w:tc>
          <w:tcPr>
            <w:tcW w:w="2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Dollar Range of Equity Securities in</w:t>
            </w:r>
          </w:p>
        </w:tc>
      </w:tr>
      <w:tr>
        <w:trPr>
          <w:trHeight w:val="267"/>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534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Newtek Business Services Corp.</w:t>
            </w:r>
            <w:r>
              <w:rPr>
                <w:rFonts w:ascii="Times New Roman" w:cs="Times New Roman" w:eastAsia="Times New Roman" w:hAnsi="Times New Roman"/>
                <w:sz w:val="23"/>
                <w:szCs w:val="23"/>
                <w:b w:val="1"/>
                <w:bCs w:val="1"/>
                <w:color w:val="auto"/>
                <w:w w:val="97"/>
                <w:vertAlign w:val="superscript"/>
              </w:rPr>
              <w:t>(1)(2)</w:t>
            </w:r>
          </w:p>
        </w:tc>
      </w:tr>
      <w:tr>
        <w:trPr>
          <w:trHeight w:val="263"/>
        </w:trPr>
        <w:tc>
          <w:tcPr>
            <w:tcW w:w="2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5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2"/>
                <w:szCs w:val="22"/>
                <w:color w:val="auto"/>
              </w:rPr>
            </w:pPr>
          </w:p>
        </w:tc>
      </w:tr>
      <w:tr>
        <w:trPr>
          <w:trHeight w:val="27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Barry Sloane</w:t>
            </w:r>
          </w:p>
        </w:tc>
        <w:tc>
          <w:tcPr>
            <w:tcW w:w="5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Peter Downs</w:t>
            </w:r>
          </w:p>
        </w:tc>
        <w:tc>
          <w:tcPr>
            <w:tcW w:w="5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Halli Razon-Feingold</w:t>
            </w:r>
          </w:p>
        </w:tc>
        <w:tc>
          <w:tcPr>
            <w:tcW w:w="5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5340" w:type="dxa"/>
            <w:vAlign w:val="bottom"/>
            <w:shd w:val="clear" w:color="auto" w:fill="BFE4FF"/>
          </w:tcPr>
          <w:p>
            <w:pPr>
              <w:spacing w:after="0"/>
              <w:rPr>
                <w:sz w:val="23"/>
                <w:szCs w:val="23"/>
                <w:color w:val="auto"/>
              </w:rPr>
            </w:pPr>
          </w:p>
        </w:tc>
        <w:tc>
          <w:tcPr>
            <w:tcW w:w="160" w:type="dxa"/>
            <w:vAlign w:val="bottom"/>
            <w:shd w:val="clear" w:color="auto" w:fill="BFE4FF"/>
          </w:tcPr>
          <w:p>
            <w:pPr>
              <w:spacing w:after="0"/>
              <w:rPr>
                <w:sz w:val="23"/>
                <w:szCs w:val="23"/>
                <w:color w:val="auto"/>
              </w:rPr>
            </w:pPr>
          </w:p>
        </w:tc>
        <w:tc>
          <w:tcPr>
            <w:tcW w:w="3600" w:type="dxa"/>
            <w:vAlign w:val="bottom"/>
            <w:shd w:val="clear" w:color="auto" w:fill="BFE4FF"/>
          </w:tcPr>
          <w:p>
            <w:pPr>
              <w:spacing w:after="0"/>
              <w:rPr>
                <w:sz w:val="23"/>
                <w:szCs w:val="23"/>
                <w:color w:val="auto"/>
              </w:rPr>
            </w:pPr>
          </w:p>
        </w:tc>
      </w:tr>
      <w:tr>
        <w:trPr>
          <w:trHeight w:val="27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Richard Salute</w:t>
            </w:r>
          </w:p>
        </w:tc>
        <w:tc>
          <w:tcPr>
            <w:tcW w:w="5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Salvatore Mulia</w:t>
            </w:r>
          </w:p>
        </w:tc>
        <w:tc>
          <w:tcPr>
            <w:tcW w:w="5340" w:type="dxa"/>
            <w:vAlign w:val="bottom"/>
            <w:shd w:val="clear" w:color="auto" w:fill="BFE4FF"/>
          </w:tcPr>
          <w:p>
            <w:pPr>
              <w:spacing w:after="0"/>
              <w:rPr>
                <w:sz w:val="23"/>
                <w:szCs w:val="23"/>
                <w:color w:val="auto"/>
              </w:rPr>
            </w:pPr>
          </w:p>
        </w:tc>
        <w:tc>
          <w:tcPr>
            <w:tcW w:w="160" w:type="dxa"/>
            <w:vAlign w:val="bottom"/>
            <w:shd w:val="clear" w:color="auto" w:fill="BFE4FF"/>
          </w:tcPr>
          <w:p>
            <w:pPr>
              <w:spacing w:after="0"/>
              <w:rPr>
                <w:sz w:val="23"/>
                <w:szCs w:val="23"/>
                <w:color w:val="auto"/>
              </w:rPr>
            </w:pPr>
          </w:p>
        </w:tc>
        <w:tc>
          <w:tcPr>
            <w:tcW w:w="36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Gregory Zink</w:t>
            </w:r>
          </w:p>
        </w:tc>
        <w:tc>
          <w:tcPr>
            <w:tcW w:w="5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21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Fernando Perez-Hickman</w:t>
            </w:r>
          </w:p>
        </w:tc>
        <w:tc>
          <w:tcPr>
            <w:tcW w:w="534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36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386"/>
        </w:trPr>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____________</w:t>
            </w:r>
          </w:p>
        </w:tc>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68"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 ranges are as follows: None, $1 – $10,000, $10,001 – $50,000, $50,001 – $100,000, or Over $100,000.</w:t>
      </w:r>
    </w:p>
    <w:p>
      <w:pPr>
        <w:spacing w:after="0" w:line="23" w:lineRule="exact"/>
        <w:rPr>
          <w:rFonts w:ascii="Times New Roman" w:cs="Times New Roman" w:eastAsia="Times New Roman" w:hAnsi="Times New Roman"/>
          <w:sz w:val="16"/>
          <w:szCs w:val="16"/>
          <w:color w:val="auto"/>
        </w:rPr>
      </w:pPr>
    </w:p>
    <w:p>
      <w:pPr>
        <w:ind w:left="440" w:right="400" w:hanging="432"/>
        <w:spacing w:after="0" w:line="275" w:lineRule="auto"/>
        <w:tabs>
          <w:tab w:leader="none" w:pos="43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range of equity securities beneficially owned is based on the closing price for our Common Shares of $26.40 on April 25, 2022 on the Nasdaq Global Market. Beneficial ownership has been determined in accordance with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PROPOSAL I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On September 28, 2021, the Board of Directors increased the number of directors constituting the entire Board of Directors from five to seven, and elected Fernando Perez-Hickman and Halli Razon-Feingold to serve as Class II directors of the Company, with terms that will expire at the Annual Meeting of Shareholders in 2022. Each director holds office for the term to which he or she is elected and until his or her successor is duly elected and qualified. Barry Sloane and Peter Downs serve in Class I, with terms expiring at the 2024 Annual Meeting; Gregory Zink, Fernando Perez-Hickman and Halli Razon-Feingold serve in Class II, with a term expiring at the 2022 Annual Meeting; and Richard Salute and Salvatore Mulia serve in Class III, with terms expiring at the 2023 Annual Meeting.</w:t>
      </w:r>
    </w:p>
    <w:p>
      <w:pPr>
        <w:spacing w:after="0" w:line="12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Messrs. Zink and Perez-Hickman and Mrs. Razon-Feingold have been nominated for re-election for terms expiring in 2025. Messrs. Zink and Perez-Hickman and Mrs. Razon-Feingold are not being nominated as directors for election pursuant to any agreements or understandings between Messrs. Zink and Perez-Hickman and Mrs. Razon-Feingold and the Company. Messrs. Zink and Perez-Hickman and Mrs. Razon-Feingold have indicated their willingness to continue to serve if elected and have consented to be named as nominees. Messrs. Zink and Perez-Hickman are not “interested persons” of the Company, as such term is defined under the 1940 Act and Mrs. Razon-Feingold is an “interested person” of the Company.</w:t>
      </w:r>
    </w:p>
    <w:p>
      <w:pPr>
        <w:spacing w:after="0" w:line="112" w:lineRule="exact"/>
        <w:rPr>
          <w:sz w:val="20"/>
          <w:szCs w:val="20"/>
          <w:color w:val="auto"/>
        </w:rPr>
      </w:pPr>
    </w:p>
    <w:p>
      <w:pPr>
        <w:ind w:right="200" w:firstLine="432"/>
        <w:spacing w:after="0" w:line="262" w:lineRule="auto"/>
        <w:rPr>
          <w:sz w:val="20"/>
          <w:szCs w:val="20"/>
          <w:color w:val="auto"/>
        </w:rPr>
      </w:pPr>
      <w:r>
        <w:rPr>
          <w:rFonts w:ascii="Times New Roman" w:cs="Times New Roman" w:eastAsia="Times New Roman" w:hAnsi="Times New Roman"/>
          <w:sz w:val="18"/>
          <w:szCs w:val="18"/>
          <w:color w:val="auto"/>
        </w:rPr>
        <w:t xml:space="preserve">A shareholder can vote for or withhold his or her vote for the nominees. </w:t>
      </w:r>
      <w:r>
        <w:rPr>
          <w:rFonts w:ascii="Times New Roman" w:cs="Times New Roman" w:eastAsia="Times New Roman" w:hAnsi="Times New Roman"/>
          <w:sz w:val="18"/>
          <w:szCs w:val="18"/>
          <w:b w:val="1"/>
          <w:bCs w:val="1"/>
          <w:color w:val="auto"/>
        </w:rPr>
        <w:t>In the absence of instructions to the contrary, it is the intention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replacement. </w:t>
      </w:r>
      <w:r>
        <w:rPr>
          <w:rFonts w:ascii="Times New Roman" w:cs="Times New Roman" w:eastAsia="Times New Roman" w:hAnsi="Times New Roman"/>
          <w:sz w:val="18"/>
          <w:szCs w:val="18"/>
          <w:color w:val="auto"/>
        </w:rPr>
        <w:t>Our Board of Directors has no reason to believe that the nominees will be unable or unwilling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9" w:name="page10"/>
    <w:bookmarkEnd w:id="9"/>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director nominees shall be elected by a plurality of all the votes cast at the Annual Meeting, in person or by proxy, if a quorum is present. Shareholders may not cumulate their votes. If you vote “withhold authority” with respect to a nominee, your shares will not be voted with respect to the person indicated. Because directors are elected by a plurality of the votes, an abstention will have no effect on the outcome of the vote and, therefore, is not offered as a voting option for this proposal. Common Shares represented by broker non-votes are not considered votes cast, and thus have no effect on this proposal.</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Executive Officers</w:t>
      </w:r>
    </w:p>
    <w:p>
      <w:pPr>
        <w:spacing w:after="0" w:line="14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information, as of May 2, 2022, regarding Messrs. Zink and Perez-Hickman and Mrs. Razon-Feingold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spacing w:after="0" w:line="112" w:lineRule="exact"/>
        <w:rPr>
          <w:sz w:val="20"/>
          <w:szCs w:val="20"/>
          <w:color w:val="auto"/>
        </w:rPr>
      </w:pPr>
    </w:p>
    <w:p>
      <w:pPr>
        <w:ind w:left="440" w:right="20" w:hanging="432"/>
        <w:spacing w:after="0" w:line="282" w:lineRule="auto"/>
        <w:tabs>
          <w:tab w:leader="none" w:pos="3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addresses of the director nominees and the other directors are c/o Newtek Business Services Corp., 4800 T-Rex Avenue, Suite 120, Boca Raton, FL 33431.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Nominees for Class II Directors — Terms Expiring 2025</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38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 of Office</w:t>
            </w:r>
          </w:p>
        </w:tc>
        <w:tc>
          <w:tcPr>
            <w:tcW w:w="186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0" w:type="dxa"/>
            <w:vAlign w:val="bottom"/>
          </w:tcPr>
          <w:p>
            <w:pPr>
              <w:spacing w:after="0"/>
              <w:rPr>
                <w:sz w:val="1"/>
                <w:szCs w:val="1"/>
                <w:color w:val="auto"/>
              </w:rPr>
            </w:pPr>
          </w:p>
        </w:tc>
      </w:tr>
      <w:tr>
        <w:trPr>
          <w:trHeight w:val="162"/>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2380" w:type="dxa"/>
            <w:vAlign w:val="bottom"/>
          </w:tcPr>
          <w:p>
            <w:pPr>
              <w:jc w:val="center"/>
              <w:ind w:left="679"/>
              <w:spacing w:after="0" w:line="162" w:lineRule="exact"/>
              <w:rPr>
                <w:sz w:val="20"/>
                <w:szCs w:val="20"/>
                <w:color w:val="auto"/>
              </w:rPr>
            </w:pPr>
            <w:r>
              <w:rPr>
                <w:rFonts w:ascii="Times New Roman" w:cs="Times New Roman" w:eastAsia="Times New Roman" w:hAnsi="Times New Roman"/>
                <w:sz w:val="16"/>
                <w:szCs w:val="16"/>
                <w:b w:val="1"/>
                <w:bCs w:val="1"/>
                <w:color w:val="auto"/>
              </w:rPr>
              <w:t>Held with the</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Length of</w:t>
            </w:r>
          </w:p>
        </w:tc>
        <w:tc>
          <w:tcPr>
            <w:tcW w:w="1860" w:type="dxa"/>
            <w:vAlign w:val="bottom"/>
          </w:tcPr>
          <w:p>
            <w:pPr>
              <w:jc w:val="center"/>
              <w:ind w:left="279"/>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0" w:type="dxa"/>
            <w:vAlign w:val="bottom"/>
          </w:tcPr>
          <w:p>
            <w:pPr>
              <w:spacing w:after="0"/>
              <w:rPr>
                <w:sz w:val="1"/>
                <w:szCs w:val="1"/>
                <w:color w:val="auto"/>
              </w:rPr>
            </w:pPr>
          </w:p>
        </w:tc>
      </w:tr>
      <w:tr>
        <w:trPr>
          <w:trHeight w:val="212"/>
        </w:trPr>
        <w:tc>
          <w:tcPr>
            <w:tcW w:w="2920" w:type="dxa"/>
            <w:vAlign w:val="bottom"/>
            <w:vMerge w:val="continue"/>
          </w:tcPr>
          <w:p>
            <w:pPr>
              <w:spacing w:after="0"/>
              <w:rPr>
                <w:sz w:val="18"/>
                <w:szCs w:val="18"/>
                <w:color w:val="auto"/>
              </w:rPr>
            </w:pPr>
          </w:p>
        </w:tc>
        <w:tc>
          <w:tcPr>
            <w:tcW w:w="238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186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2540</wp:posOffset>
            </wp:positionV>
            <wp:extent cx="1397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p>
      <w:pPr>
        <w:jc w:val="center"/>
        <w:ind w:right="140"/>
        <w:spacing w:after="0" w:line="219" w:lineRule="auto"/>
        <w:rPr>
          <w:sz w:val="20"/>
          <w:szCs w:val="20"/>
          <w:color w:val="auto"/>
        </w:rPr>
      </w:pPr>
      <w:r>
        <w:rPr>
          <w:rFonts w:ascii="Times New Roman" w:cs="Times New Roman" w:eastAsia="Times New Roman" w:hAnsi="Times New Roman"/>
          <w:sz w:val="16"/>
          <w:szCs w:val="16"/>
          <w:b w:val="1"/>
          <w:bCs w:val="1"/>
          <w:color w:val="auto"/>
        </w:rPr>
        <w:t>Directorships Held by Director or Nominee for Director During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8900" w:space="720"/>
            <w:col w:w="1500"/>
          </w:cols>
          <w:pgMar w:left="320" w:top="1440" w:right="459" w:bottom="1440" w:gutter="0" w:footer="0" w:header="0"/>
        </w:sectPr>
      </w:pPr>
    </w:p>
    <w:tbl>
      <w:tblPr>
        <w:tblLayout w:type="fixed"/>
        <w:tblInd w:w="0" w:type="dxa"/>
        <w:tblCellMar>
          <w:top w:w="0" w:type="dxa"/>
          <w:left w:w="0" w:type="dxa"/>
          <w:bottom w:w="0" w:type="dxa"/>
          <w:right w:w="0" w:type="dxa"/>
        </w:tblCellMar>
      </w:tblPr>
      <w:tr>
        <w:trPr>
          <w:trHeight w:val="220"/>
        </w:trPr>
        <w:tc>
          <w:tcPr>
            <w:tcW w:w="3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Independent Directors:</w:t>
            </w: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182"/>
        </w:trPr>
        <w:tc>
          <w:tcPr>
            <w:tcW w:w="3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Messrs. Zink and Perez-Hickman are not</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2"/>
        </w:trPr>
        <w:tc>
          <w:tcPr>
            <w:tcW w:w="3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“interested persons” of the Company as defined</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the 1940 Act.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0"/>
        </w:trPr>
        <w:tc>
          <w:tcPr>
            <w:tcW w:w="37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Gregory Zink, 65</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II Director</w:t>
            </w:r>
          </w:p>
        </w:tc>
      </w:tr>
      <w:tr>
        <w:trPr>
          <w:trHeight w:val="184"/>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since 2017; term</w:t>
            </w:r>
          </w:p>
        </w:tc>
      </w:tr>
      <w:tr>
        <w:trPr>
          <w:trHeight w:val="234"/>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expires in 2022</w:t>
            </w:r>
          </w:p>
        </w:tc>
      </w:tr>
      <w:tr>
        <w:trPr>
          <w:trHeight w:val="891"/>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Fernando Perez-Hickman, 54</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184"/>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since 2021; term</w:t>
            </w:r>
          </w:p>
        </w:tc>
      </w:tr>
      <w:tr>
        <w:trPr>
          <w:trHeight w:val="234"/>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expires in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Interested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7"/>
          <w:szCs w:val="17"/>
          <w:color w:val="auto"/>
        </w:rPr>
        <w:t>Partner at Newport LLC; Principal of the Lowell</w:t>
      </w:r>
    </w:p>
    <w:p>
      <w:pPr>
        <w:ind w:right="80"/>
        <w:spacing w:after="0" w:line="220" w:lineRule="auto"/>
        <w:rPr>
          <w:sz w:val="20"/>
          <w:szCs w:val="20"/>
          <w:color w:val="auto"/>
        </w:rPr>
      </w:pPr>
      <w:r>
        <w:rPr>
          <w:rFonts w:ascii="Times New Roman" w:cs="Times New Roman" w:eastAsia="Times New Roman" w:hAnsi="Times New Roman"/>
          <w:sz w:val="17"/>
          <w:szCs w:val="17"/>
          <w:color w:val="auto"/>
        </w:rPr>
        <w:t>Group, LLC; 1988-2018, Chief Executive Officer, Chief Financial Officer and</w:t>
      </w:r>
    </w:p>
    <w:p>
      <w:pPr>
        <w:spacing w:after="0" w:line="2"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Director of NGJ Brand Solutions</w:t>
      </w:r>
    </w:p>
    <w:p>
      <w:pPr>
        <w:ind w:right="260"/>
        <w:spacing w:after="0" w:line="252" w:lineRule="auto"/>
        <w:rPr>
          <w:sz w:val="20"/>
          <w:szCs w:val="20"/>
          <w:color w:val="auto"/>
        </w:rPr>
      </w:pPr>
      <w:r>
        <w:rPr>
          <w:rFonts w:ascii="Times New Roman" w:cs="Times New Roman" w:eastAsia="Times New Roman" w:hAnsi="Times New Roman"/>
          <w:sz w:val="17"/>
          <w:szCs w:val="17"/>
          <w:color w:val="auto"/>
        </w:rPr>
        <w:t>Managing Partner, Azora Capital; Vice Chairman, Director of Corporate Strategy and member of IBERIABANK’s</w:t>
      </w:r>
    </w:p>
    <w:p>
      <w:pPr>
        <w:spacing w:after="0" w:line="1" w:lineRule="exact"/>
        <w:rPr>
          <w:sz w:val="20"/>
          <w:szCs w:val="20"/>
          <w:color w:val="auto"/>
        </w:rPr>
      </w:pP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Planning Group Committee from 2017-2020; Executive Chairman of the Board of</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Directors of Sabadell United Bank, 2007-2017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Executive Chairman of the Board of</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Directors of Sabadell United Bank, June 2007 to August 2017</w:t>
      </w:r>
    </w:p>
    <w:p>
      <w:pPr>
        <w:spacing w:after="0" w:line="1267" w:lineRule="exact"/>
        <w:rPr>
          <w:sz w:val="20"/>
          <w:szCs w:val="20"/>
          <w:color w:val="auto"/>
        </w:rPr>
      </w:pPr>
    </w:p>
    <w:p>
      <w:pPr>
        <w:sectPr>
          <w:pgSz w:w="11900" w:h="16838" w:orient="portrait"/>
          <w:cols w:equalWidth="0" w:num="3">
            <w:col w:w="6940" w:space="140"/>
            <w:col w:w="2060" w:space="240"/>
            <w:col w:w="1740"/>
          </w:cols>
          <w:pgMar w:left="320" w:top="1440"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i w:val="1"/>
          <w:iCs w:val="1"/>
          <w:color w:val="auto"/>
        </w:rPr>
        <w:t>Mrs. Razon-Feingold is an “interested person”</w:t>
      </w:r>
    </w:p>
    <w:p>
      <w:pPr>
        <w:ind w:left="20"/>
        <w:spacing w:after="0"/>
        <w:rPr>
          <w:sz w:val="20"/>
          <w:szCs w:val="20"/>
          <w:color w:val="auto"/>
        </w:rPr>
      </w:pPr>
      <w:r>
        <w:rPr>
          <w:rFonts w:ascii="Times New Roman" w:cs="Times New Roman" w:eastAsia="Times New Roman" w:hAnsi="Times New Roman"/>
          <w:sz w:val="18"/>
          <w:szCs w:val="18"/>
          <w:i w:val="1"/>
          <w:iCs w:val="1"/>
          <w:color w:val="auto"/>
        </w:rPr>
        <w:t>of the Company as defined in the 1940 Act.</w:t>
      </w:r>
    </w:p>
    <w:tbl>
      <w:tblPr>
        <w:tblLayout w:type="fixed"/>
        <w:tblInd w:w="20" w:type="dxa"/>
        <w:tblCellMar>
          <w:top w:w="0" w:type="dxa"/>
          <w:left w:w="0" w:type="dxa"/>
          <w:bottom w:w="0" w:type="dxa"/>
          <w:right w:w="0" w:type="dxa"/>
        </w:tblCellMar>
      </w:tblPr>
      <w:tr>
        <w:trPr>
          <w:trHeight w:val="196"/>
        </w:trPr>
        <w:tc>
          <w:tcPr>
            <w:tcW w:w="2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Halli Razon-Feingold, 33</w:t>
            </w:r>
          </w:p>
        </w:tc>
        <w:tc>
          <w:tcPr>
            <w:tcW w:w="244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rPr>
              <w:t>Director; Chief</w:t>
            </w:r>
          </w:p>
        </w:tc>
        <w:tc>
          <w:tcPr>
            <w:tcW w:w="15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Class II Director</w:t>
            </w:r>
          </w:p>
        </w:tc>
        <w:tc>
          <w:tcPr>
            <w:tcW w:w="232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w w:val="98"/>
              </w:rPr>
              <w:t>Chief Administrative Officer</w:t>
            </w:r>
          </w:p>
        </w:tc>
      </w:tr>
      <w:tr>
        <w:trPr>
          <w:trHeight w:val="184"/>
        </w:trPr>
        <w:tc>
          <w:tcPr>
            <w:tcW w:w="2800" w:type="dxa"/>
            <w:vAlign w:val="bottom"/>
          </w:tcPr>
          <w:p>
            <w:pPr>
              <w:spacing w:after="0"/>
              <w:rPr>
                <w:sz w:val="16"/>
                <w:szCs w:val="16"/>
                <w:color w:val="auto"/>
              </w:rPr>
            </w:pPr>
          </w:p>
        </w:tc>
        <w:tc>
          <w:tcPr>
            <w:tcW w:w="2440" w:type="dxa"/>
            <w:vAlign w:val="bottom"/>
          </w:tcPr>
          <w:p>
            <w:pPr>
              <w:ind w:left="940"/>
              <w:spacing w:after="0" w:line="184" w:lineRule="exact"/>
              <w:rPr>
                <w:sz w:val="20"/>
                <w:szCs w:val="20"/>
                <w:color w:val="auto"/>
              </w:rPr>
            </w:pPr>
            <w:r>
              <w:rPr>
                <w:rFonts w:ascii="Times New Roman" w:cs="Times New Roman" w:eastAsia="Times New Roman" w:hAnsi="Times New Roman"/>
                <w:sz w:val="18"/>
                <w:szCs w:val="18"/>
                <w:color w:val="auto"/>
              </w:rPr>
              <w:t>Administrative</w:t>
            </w:r>
          </w:p>
        </w:tc>
        <w:tc>
          <w:tcPr>
            <w:tcW w:w="15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since 2021; term</w:t>
            </w:r>
          </w:p>
        </w:tc>
        <w:tc>
          <w:tcPr>
            <w:tcW w:w="23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of the Company since July</w:t>
            </w:r>
          </w:p>
        </w:tc>
      </w:tr>
      <w:tr>
        <w:trPr>
          <w:trHeight w:val="180"/>
        </w:trPr>
        <w:tc>
          <w:tcPr>
            <w:tcW w:w="2800" w:type="dxa"/>
            <w:vAlign w:val="bottom"/>
          </w:tcPr>
          <w:p>
            <w:pPr>
              <w:spacing w:after="0"/>
              <w:rPr>
                <w:sz w:val="15"/>
                <w:szCs w:val="15"/>
                <w:color w:val="auto"/>
              </w:rPr>
            </w:pPr>
          </w:p>
        </w:tc>
        <w:tc>
          <w:tcPr>
            <w:tcW w:w="2440" w:type="dxa"/>
            <w:vAlign w:val="bottom"/>
          </w:tcPr>
          <w:p>
            <w:pPr>
              <w:ind w:left="940"/>
              <w:spacing w:after="0" w:line="181" w:lineRule="exact"/>
              <w:rPr>
                <w:sz w:val="20"/>
                <w:szCs w:val="20"/>
                <w:color w:val="auto"/>
              </w:rPr>
            </w:pPr>
            <w:r>
              <w:rPr>
                <w:rFonts w:ascii="Times New Roman" w:cs="Times New Roman" w:eastAsia="Times New Roman" w:hAnsi="Times New Roman"/>
                <w:sz w:val="18"/>
                <w:szCs w:val="18"/>
                <w:color w:val="auto"/>
              </w:rPr>
              <w:t>Officer and Senior</w:t>
            </w:r>
          </w:p>
        </w:tc>
        <w:tc>
          <w:tcPr>
            <w:tcW w:w="15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expires in 2022</w:t>
            </w:r>
          </w:p>
        </w:tc>
        <w:tc>
          <w:tcPr>
            <w:tcW w:w="23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2016, and Senior Vice</w:t>
            </w:r>
          </w:p>
        </w:tc>
      </w:tr>
      <w:tr>
        <w:trPr>
          <w:trHeight w:val="175"/>
        </w:trPr>
        <w:tc>
          <w:tcPr>
            <w:tcW w:w="2800" w:type="dxa"/>
            <w:vAlign w:val="bottom"/>
          </w:tcPr>
          <w:p>
            <w:pPr>
              <w:spacing w:after="0"/>
              <w:rPr>
                <w:sz w:val="15"/>
                <w:szCs w:val="15"/>
                <w:color w:val="auto"/>
              </w:rPr>
            </w:pPr>
          </w:p>
        </w:tc>
        <w:tc>
          <w:tcPr>
            <w:tcW w:w="2440" w:type="dxa"/>
            <w:vAlign w:val="bottom"/>
          </w:tcPr>
          <w:p>
            <w:pPr>
              <w:ind w:left="940"/>
              <w:spacing w:after="0" w:line="176" w:lineRule="exact"/>
              <w:rPr>
                <w:sz w:val="20"/>
                <w:szCs w:val="20"/>
                <w:color w:val="auto"/>
              </w:rPr>
            </w:pPr>
            <w:r>
              <w:rPr>
                <w:rFonts w:ascii="Times New Roman" w:cs="Times New Roman" w:eastAsia="Times New Roman" w:hAnsi="Times New Roman"/>
                <w:sz w:val="18"/>
                <w:szCs w:val="18"/>
                <w:color w:val="auto"/>
              </w:rPr>
              <w:t>Vice President,</w:t>
            </w:r>
          </w:p>
        </w:tc>
        <w:tc>
          <w:tcPr>
            <w:tcW w:w="1580" w:type="dxa"/>
            <w:vAlign w:val="bottom"/>
          </w:tcPr>
          <w:p>
            <w:pPr>
              <w:spacing w:after="0"/>
              <w:rPr>
                <w:sz w:val="15"/>
                <w:szCs w:val="15"/>
                <w:color w:val="auto"/>
              </w:rPr>
            </w:pPr>
          </w:p>
        </w:tc>
        <w:tc>
          <w:tcPr>
            <w:tcW w:w="2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President, Human Resources</w:t>
            </w:r>
          </w:p>
        </w:tc>
      </w:tr>
      <w:tr>
        <w:trPr>
          <w:trHeight w:val="184"/>
        </w:trPr>
        <w:tc>
          <w:tcPr>
            <w:tcW w:w="2800" w:type="dxa"/>
            <w:vAlign w:val="bottom"/>
          </w:tcPr>
          <w:p>
            <w:pPr>
              <w:spacing w:after="0"/>
              <w:rPr>
                <w:sz w:val="16"/>
                <w:szCs w:val="16"/>
                <w:color w:val="auto"/>
              </w:rPr>
            </w:pPr>
          </w:p>
        </w:tc>
        <w:tc>
          <w:tcPr>
            <w:tcW w:w="2440" w:type="dxa"/>
            <w:vAlign w:val="bottom"/>
          </w:tcPr>
          <w:p>
            <w:pPr>
              <w:ind w:left="940"/>
              <w:spacing w:after="0" w:line="184" w:lineRule="exact"/>
              <w:rPr>
                <w:sz w:val="20"/>
                <w:szCs w:val="20"/>
                <w:color w:val="auto"/>
              </w:rPr>
            </w:pPr>
            <w:r>
              <w:rPr>
                <w:rFonts w:ascii="Times New Roman" w:cs="Times New Roman" w:eastAsia="Times New Roman" w:hAnsi="Times New Roman"/>
                <w:sz w:val="18"/>
                <w:szCs w:val="18"/>
                <w:color w:val="auto"/>
              </w:rPr>
              <w:t>Human Resources</w:t>
            </w:r>
          </w:p>
        </w:tc>
        <w:tc>
          <w:tcPr>
            <w:tcW w:w="1580" w:type="dxa"/>
            <w:vAlign w:val="bottom"/>
          </w:tcPr>
          <w:p>
            <w:pPr>
              <w:spacing w:after="0"/>
              <w:rPr>
                <w:sz w:val="16"/>
                <w:szCs w:val="16"/>
                <w:color w:val="auto"/>
              </w:rPr>
            </w:pPr>
          </w:p>
        </w:tc>
        <w:tc>
          <w:tcPr>
            <w:tcW w:w="23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of the Company since July</w:t>
            </w:r>
          </w:p>
        </w:tc>
      </w:tr>
      <w:tr>
        <w:trPr>
          <w:trHeight w:val="234"/>
        </w:trPr>
        <w:tc>
          <w:tcPr>
            <w:tcW w:w="2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Zink </w:t>
      </w:r>
      <w:r>
        <w:rPr>
          <w:rFonts w:ascii="Times New Roman" w:cs="Times New Roman" w:eastAsia="Times New Roman" w:hAnsi="Times New Roman"/>
          <w:sz w:val="18"/>
          <w:szCs w:val="18"/>
          <w:color w:val="auto"/>
        </w:rPr>
        <w:t>has served as an independent director of the Company since 2017. Mr. Zink is a Partner at Newport LLC, a national strategic advisory firm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specializes in helping owners and CEOs of lower middle market, privately held, growth stage companies accelerate growth and significantly improve the value of their businesses. Since 1998 Mr. Zink has been the principal of the Lowell Group, LLC, a management consulting firm which provides strategic, operational, marketing and financial consulting assistance to start-up, small and medium size businesses. From 1988 through 2018, Mr. Zink served as the Chief Executive Officer, Chief Financial Officer and Director of NGJ Brand Solutions, a distributor of commercial fitness equipment and health and wellness solutions provider in Japan. Mr. Zink was also previously employed by Newtek as an Executive Vice President from 2000-2005, Touche Ross/Deloitte Consulting, AT&amp;T, and is a graduate of the General Electric Financial Management Program. Mr. Zink has an MBA from the Wharton School of the University of Pennsylvania. Mr. Zink’s professional experience provides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1440" w:right="459" w:bottom="1440" w:gutter="0" w:footer="0" w:header="0"/>
          <w:type w:val="continuous"/>
        </w:sectPr>
      </w:pPr>
    </w:p>
    <w:bookmarkStart w:id="11" w:name="page12"/>
    <w:bookmarkEnd w:id="11"/>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significant addition to the Board of Directors. Mr. Zink’s many years of experience providing consulting and financial advice to small and medium sized businesses, provides a significant addition to the Board of Directors.</w:t>
      </w:r>
    </w:p>
    <w:p>
      <w:pPr>
        <w:spacing w:after="0" w:line="17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Perez -Hickman </w:t>
      </w:r>
      <w:r>
        <w:rPr>
          <w:rFonts w:ascii="Times New Roman" w:cs="Times New Roman" w:eastAsia="Times New Roman" w:hAnsi="Times New Roman"/>
          <w:sz w:val="18"/>
          <w:szCs w:val="18"/>
          <w:color w:val="auto"/>
        </w:rPr>
        <w:t>is a Managing Partner at Azora Capital, a Madrid-based European based private equity firm, and its U.S. affiliate Azora Exan,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Miami, Florida. Mr. Perez-Hickman served as Vice Chairman, Director of Corporate Strategy and member of IBERIABANK’s Planning Group Committee from 2007 until its merger with First Horizon Bank in July 2020. At IBERIABANK, he was responsible for corporate strategy and mergers and acquisitions, supervising the Consumer and Retail Banking Division, reporting to the CEO. From 2007 to 2017, Mr. Perez-Hickman served as Executive Chairman of the Board of Sabadell United Bank and Managing Director of Santander Private Banking International. Mr. Perez-Hickman’s broad experience as a highly successful and experienced executive with a proven track record in management, mergers and acquisitions and value creation at financial services businesses in the United States, Spain and international markets, provides a significant addition to the Board of Directors.</w:t>
      </w: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Mrs. Razon-Feingold </w:t>
      </w:r>
      <w:r>
        <w:rPr>
          <w:rFonts w:ascii="Times New Roman" w:cs="Times New Roman" w:eastAsia="Times New Roman" w:hAnsi="Times New Roman"/>
          <w:sz w:val="18"/>
          <w:szCs w:val="18"/>
          <w:color w:val="auto"/>
        </w:rPr>
        <w:t>has served as the Company’s Chief Administrative Officer since July 2016 and as Senior Vice President of Human Resources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since July 2019. Mrs. Razon-Feingold’s tenure at Newtek spans over ten years, with her current principal responsibilities centered on managing the Executive department and all areas of Human Resources for the Company and all of its controlled portfolio companies. Mrs. Razon-Feingold holds a master’s degree in Industrial/Organizational Psychology from CUNY Baruch College and a bachelor’s degree in Psychology from Hofstra University. Mrs. Razon-Feingold’s long experience with the Company provides a significant addition to the Board of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Incumbent Class III Directors — Terms Expiring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Directorships</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Term of Office</w:t>
            </w:r>
          </w:p>
        </w:tc>
        <w:tc>
          <w:tcPr>
            <w:tcW w:w="2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Nominee for</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16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Held with the</w:t>
            </w:r>
          </w:p>
        </w:tc>
        <w:tc>
          <w:tcPr>
            <w:tcW w:w="16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Length of</w:t>
            </w:r>
          </w:p>
        </w:tc>
        <w:tc>
          <w:tcPr>
            <w:tcW w:w="24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Past 5 Years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r>
        <w:trPr>
          <w:trHeight w:val="208"/>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Independent Director:</w:t>
            </w: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Messrs. Salute and Mulia are not “interested</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7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persons” of the Company as defined in the 1940</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Act.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Richard Salute, 76</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III Director</w:t>
            </w:r>
          </w:p>
        </w:tc>
        <w:tc>
          <w:tcPr>
            <w:tcW w:w="2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Capital Markets and SEC</w:t>
            </w:r>
          </w:p>
        </w:tc>
        <w:tc>
          <w:tcPr>
            <w:tcW w:w="1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Walker</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since 2015; Term</w:t>
            </w:r>
          </w:p>
        </w:tc>
        <w:tc>
          <w:tcPr>
            <w:tcW w:w="24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Practice Director at J.H. Cohn</w:t>
            </w:r>
          </w:p>
        </w:tc>
        <w:tc>
          <w:tcPr>
            <w:tcW w:w="1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Innovation Inc., 2015-</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expires 2023</w:t>
            </w:r>
          </w:p>
        </w:tc>
        <w:tc>
          <w:tcPr>
            <w:tcW w:w="2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CohnReznick LLP;</w:t>
            </w:r>
          </w:p>
        </w:tc>
        <w:tc>
          <w:tcPr>
            <w:tcW w:w="1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 at Arthur Andersen;</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PAVmed Inc., June 2014</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Salvatore Mulia, 74</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 since 2004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through September 2015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4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Financial advisor at</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Class III</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RTM Financial</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color w:val="auto"/>
              </w:rPr>
              <w:t>Director since 2014;</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Term expires 2023</w:t>
            </w:r>
          </w:p>
        </w:tc>
        <w:tc>
          <w:tcPr>
            <w:tcW w:w="2400" w:type="dxa"/>
            <w:vAlign w:val="bottom"/>
            <w:gridSpan w:val="2"/>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Salute </w:t>
      </w:r>
      <w:r>
        <w:rPr>
          <w:rFonts w:ascii="Times New Roman" w:cs="Times New Roman" w:eastAsia="Times New Roman" w:hAnsi="Times New Roman"/>
          <w:sz w:val="18"/>
          <w:szCs w:val="18"/>
          <w:color w:val="auto"/>
        </w:rPr>
        <w:t>served as Capital Markets and SEC Practice Director at J.H. Cohn and CohnReznick LLP from 2004 to 2014. Prior to that, he spent 29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also served as a director of Walker Innovation Inc. from 2015 through 2018. Mr. Salute is a graduate of Adelphi University and a member of the American Institute of Certified Public Accountants and the New York State Society of Certified Public Accountants. Mr. Salute has more than 39 years of audit, accounting, and tax experience. His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spacing w:after="0" w:line="1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Mulia, </w:t>
      </w:r>
      <w:r>
        <w:rPr>
          <w:rFonts w:ascii="Times New Roman" w:cs="Times New Roman" w:eastAsia="Times New Roman" w:hAnsi="Times New Roman"/>
          <w:sz w:val="18"/>
          <w:szCs w:val="18"/>
          <w:color w:val="auto"/>
        </w:rPr>
        <w:t>prior to his retirement in 2017, was a financial advisor and principal at RTM Financial Services, Westport, CT, a firm he founded with his wife.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RTM was involved in advising small business with an emphasis on leasing and lending advisory services since February 2003. From February 2001 to February 2003, Mr. Mulia was Executive Vice President of Pitney Bowes Capital Corp, Shelton, CT which was engaged in providing financial services to business customers. From 1980 to 1993, Mr. Mulia held senior management positions within General Electric’s Financial Services Division, GE Capital Corporation (“GECC”), and was responsible for developing new products and business initiatives in financial services. In addition, during his tenure at GECC, Mr. Mulia was a principal in GEVEST, GECC’s investment banking unit, where he headed syndication and led acquisition teams which acquired leasing companies including TransAmerica Leasing, Chase Manhattan’s leasing subsidiary and LeaseAmerica. Mr. Mulia’s experience in the financial services industry, as well as his experience with smaller to mid-sized companies needing capital and debt and his understanding of these businesses provides a significant addition to our Board of Directors. His understanding of the dynamics of these businesses has been particularly helpful in addressing similar issues of the Company and this experience provides a significant addition to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Incumbent Class I Directors — Terms Expiring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Directorships</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Term of Office</w:t>
            </w:r>
          </w:p>
        </w:tc>
        <w:tc>
          <w:tcPr>
            <w:tcW w:w="2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 Nominee</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0" w:type="dxa"/>
            <w:vAlign w:val="bottom"/>
          </w:tcPr>
          <w:p>
            <w:pPr>
              <w:spacing w:after="0"/>
              <w:rPr>
                <w:sz w:val="1"/>
                <w:szCs w:val="1"/>
                <w:color w:val="auto"/>
              </w:rPr>
            </w:pPr>
          </w:p>
        </w:tc>
      </w:tr>
      <w:tr>
        <w:trPr>
          <w:trHeight w:val="162"/>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16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Held with the</w:t>
            </w:r>
          </w:p>
        </w:tc>
        <w:tc>
          <w:tcPr>
            <w:tcW w:w="16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and Length of</w:t>
            </w:r>
          </w:p>
        </w:tc>
        <w:tc>
          <w:tcPr>
            <w:tcW w:w="22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4"/>
        </w:trPr>
        <w:tc>
          <w:tcPr>
            <w:tcW w:w="3540" w:type="dxa"/>
            <w:vAlign w:val="bottom"/>
            <w:gridSpan w:val="2"/>
            <w:vMerge w:val="continue"/>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r>
        <w:trPr>
          <w:trHeight w:val="208"/>
        </w:trPr>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Interested Directors:</w:t>
            </w: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Messrs. Sloane and Downs are “interested</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persons” of the Company as defined in the</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1940 Act.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Barry Sloane, 62</w:t>
            </w:r>
          </w:p>
        </w:tc>
        <w:tc>
          <w:tcPr>
            <w:tcW w:w="16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Director; Chief</w:t>
            </w:r>
          </w:p>
        </w:tc>
        <w:tc>
          <w:tcPr>
            <w:tcW w:w="1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Director since 1999</w:t>
            </w:r>
          </w:p>
        </w:tc>
        <w:tc>
          <w:tcPr>
            <w:tcW w:w="22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Chairman of the Board of</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Officer</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Class I Director</w:t>
            </w: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Directors, Chief Executive</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President</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since 2014; Term</w:t>
            </w:r>
          </w:p>
        </w:tc>
        <w:tc>
          <w:tcPr>
            <w:tcW w:w="2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Officer and President of the</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expires 2024</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5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Peter Downs, 57</w:t>
            </w:r>
          </w:p>
        </w:tc>
        <w:tc>
          <w:tcPr>
            <w:tcW w:w="1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Director; Chief</w:t>
            </w:r>
          </w:p>
        </w:tc>
        <w:tc>
          <w:tcPr>
            <w:tcW w:w="1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Class I Director</w:t>
            </w:r>
          </w:p>
        </w:tc>
        <w:tc>
          <w:tcPr>
            <w:tcW w:w="22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Lending Officer of the</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Lending Officer;</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since 2014; Term</w:t>
            </w: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 and President of</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Newtek</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expires 2024</w:t>
            </w:r>
          </w:p>
        </w:tc>
        <w:tc>
          <w:tcPr>
            <w:tcW w:w="2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Newtek Small Business</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Small Business</w:t>
            </w: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Finance, LLC</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LLC</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Sloane </w:t>
      </w:r>
      <w:r>
        <w:rPr>
          <w:rFonts w:ascii="Times New Roman" w:cs="Times New Roman" w:eastAsia="Times New Roman" w:hAnsi="Times New Roman"/>
          <w:sz w:val="17"/>
          <w:szCs w:val="17"/>
          <w:color w:val="auto"/>
        </w:rPr>
        <w:t>has served as our Chairman and Chief Executive Officer since 1999 and as our President since 2008. Mr. Sloane founded Newtek in 1998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an executive officer of each of the Company’s controlled portfolio companies. From September 1993 through July 1995, Mr. Sloane was a Managing Director of Smith Barney, Inc. While there, he directed the Commercial and Residential Real Estate Securitization Unit, and he was national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manager for institutional mortgage and asset backed securities sales. From April 1991 through September 1993, Mr. Sloane was founder and President of Aegis Capital Markets, a consumer loan origination and securitization</w:t>
      </w:r>
    </w:p>
    <w:p>
      <w:pPr>
        <w:spacing w:after="0" w:line="253" w:lineRule="auto"/>
        <w:rPr>
          <w:sz w:val="20"/>
          <w:szCs w:val="20"/>
          <w:color w:val="auto"/>
        </w:rPr>
      </w:pPr>
      <w:r>
        <w:rPr>
          <w:rFonts w:ascii="Times New Roman" w:cs="Times New Roman" w:eastAsia="Times New Roman" w:hAnsi="Times New Roman"/>
          <w:sz w:val="18"/>
          <w:szCs w:val="18"/>
          <w:color w:val="auto"/>
        </w:rPr>
        <w:t>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 Mr. Sloane’s broad business and financial experience and his knowledge of the Company’s businesses have been of great value to the other members of the Board and qualify him to serve on our Board of Directors and as the Chairman of our Board of Directors.</w:t>
      </w:r>
    </w:p>
    <w:p>
      <w:pPr>
        <w:spacing w:after="0" w:line="21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Downs </w:t>
      </w:r>
      <w:r>
        <w:rPr>
          <w:rFonts w:ascii="Times New Roman" w:cs="Times New Roman" w:eastAsia="Times New Roman" w:hAnsi="Times New Roman"/>
          <w:sz w:val="18"/>
          <w:szCs w:val="18"/>
          <w:color w:val="auto"/>
        </w:rPr>
        <w:t>is the Company’s Chief Lending Officer and was appointed as director in connection with the Company’s conversion to a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company on November 12, 2014. Mr. Downs joined the Company in 2003 and has been the President of Newtek Small Business Finance, LLC (“NSBF”), the Company’s wholly owned subsidiary, and a member of the NSBF board of directors.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U.S. Small Business Administration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 Mr. Down’s history with the Company and extensive experience in the small business lending space, including SBA 7(a) lending, provides our Board of Directors with the valuable insight of an experienced lender.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and Board of Directors Meetings</w:t>
      </w:r>
    </w:p>
    <w:p>
      <w:pPr>
        <w:spacing w:after="0" w:line="148"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and management are committed to responsible corporate governance to ensure that the Company is managed for the long-term benefit of its shareholders. To that end, the Board of Directors and executive committee, comprised of the Company’s Named Executive Officers (referenced below) (the “Executive Committee”), periodically review and update, as appropriate, the Company’s corporate governance policies and practices. In doing so, the Board of Directors and Executive Committee review published guidelines and recommendations of institutional shareholder organizations and current best practices of similarly situated public companies. The Board of Directors and Executive Committee also regularly evaluate and, when appropriate, revise the Company’s corporate governance policies and practices in accordance with the requirements of the Sarbanes-Oxley Act of 2002 and the rules and listing standards issued by the SEC and The Nasdaq</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Stock Market, Inc. (“Nasdaq”) where the Company’s Common Shares are listed and traded.</w:t>
      </w:r>
    </w:p>
    <w:p>
      <w:pPr>
        <w:spacing w:after="0" w:line="124"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2021, the Board of Directors held a total of 32 meetings, the Audit Committee held 4 meetings and the Compensation, Corporate Governance and Nominating Committee (the “Nominating Committee”) held 6 meetings. Each of the incumbent directors attended at least 75% of the aggregate of the Board of Directors meetings and meetings of the committee(s) on which he or she served held during the last fiscal year and while he or she served as a director. All members of the Board of Directors make a diligent effort to attend all board and committee meetings, as well as the Annual Meeting of Shareholders. In 2021, all members of the Board of Directors then serving in such roles attended the Annual Meeting of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Policies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Company has adopted corporate governance policies which are available at the Investor Relations page of </w:t>
      </w:r>
      <w:r>
        <w:rPr>
          <w:rFonts w:ascii="Times New Roman" w:cs="Times New Roman" w:eastAsia="Times New Roman" w:hAnsi="Times New Roman"/>
          <w:sz w:val="18"/>
          <w:szCs w:val="18"/>
          <w:i w:val="1"/>
          <w:iCs w:val="1"/>
          <w:color w:val="auto"/>
        </w:rPr>
        <w:t>www.newtekone.com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http://investor.newtekbusinessservices.com/corporate-governance.cfm</w:t>
      </w:r>
      <w:r>
        <w:rPr>
          <w:rFonts w:ascii="Times New Roman" w:cs="Times New Roman" w:eastAsia="Times New Roman" w:hAnsi="Times New Roman"/>
          <w:sz w:val="18"/>
          <w:szCs w:val="18"/>
          <w:color w:val="auto"/>
        </w:rPr>
        <w:t>). The corporate governance policies are also available in print to any shareholder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requests them. These policies were adopted by the Board of Directors, among other things, to best ensure that the Board of Directors is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that the Board of Directors adequately performs its function as the overseer of management and to help ensure that the interests of the Board of Directors and management align with the interests of the shareholders.</w:t>
      </w:r>
    </w:p>
    <w:p>
      <w:pPr>
        <w:spacing w:after="0" w:line="8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currently has two standing committees: the Audit Committee and the Nominating Committee. Each member of these committees is independent as defined by applicable Nasdaq and SEC rules. A brief description of each committee is included in this Proxy Statement and each of the committees has a written charter approved by the Board of Directors, which is available the Investor Relations page of our website at </w:t>
      </w:r>
      <w:r>
        <w:rPr>
          <w:rFonts w:ascii="Times New Roman" w:cs="Times New Roman" w:eastAsia="Times New Roman" w:hAnsi="Times New Roman"/>
          <w:sz w:val="18"/>
          <w:szCs w:val="18"/>
          <w:i w:val="1"/>
          <w:iCs w:val="1"/>
          <w:color w:val="auto"/>
        </w:rPr>
        <w:t xml:space="preserve">www.newtekone.com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http://investor.newtekbusinessservices.com/corporate-governance.cfm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Board of Directors has established an Audit Committee in accordance with the Exchange Act. The Audit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Messrs. Salute, Mulia and Zink, none of whom are “interested persons” as defined in the 1940 Act,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audit policies. In addition, the Board of Directors has determined that all members of the Audit Committee are “financially literate” as that term is defined by applicable Nasdaq and SEC rules.</w:t>
      </w:r>
    </w:p>
    <w:p>
      <w:pPr>
        <w:spacing w:after="0" w:line="101"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Corporate Governance and Nominating Committee. </w:t>
      </w:r>
      <w:r>
        <w:rPr>
          <w:rFonts w:ascii="Times New Roman" w:cs="Times New Roman" w:eastAsia="Times New Roman" w:hAnsi="Times New Roman"/>
          <w:sz w:val="18"/>
          <w:szCs w:val="18"/>
          <w:color w:val="auto"/>
        </w:rPr>
        <w:t>The Board of Directors has established a Nominating Committee.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Nominating Committee consists of Messrs. Mulia, Salute and Zink, none of whom are “interested persons” as defined in the 1940 Act, and operates pursuant to its written Charter. Mr. Mulia currently serves as Chair of the Nominating Committee. The Nominating Committee evaluates the compensation and benefits of the directors, officers and employees, recommends changes, and monitors and evaluates employee performance. The Nominating Committee is generally responsible for identifying corporate governance issues, creating corporate governance policies, identifying and recommending potential candidates for election to the Board of Directors, reviewing and approving conflicts of interest or related party transactions and reviewing executive and director compensation and performance.</w:t>
      </w:r>
    </w:p>
    <w:p>
      <w:pPr>
        <w:spacing w:after="0" w:line="119"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Nominating Committee seeks candidates who possess the background, skills, and expertise to make a significant contribution to the Board of Directors, the Company, and its shareholders. In considering possible candidates for election as a director, the Nominating Committee will take into account, in addition to such other factors as it deems relevant, the desirability of selecting candidates who:</w:t>
      </w:r>
    </w:p>
    <w:p>
      <w:pPr>
        <w:spacing w:after="0" w:line="108" w:lineRule="exact"/>
        <w:rPr>
          <w:sz w:val="20"/>
          <w:szCs w:val="20"/>
          <w:color w:val="auto"/>
        </w:rPr>
      </w:pPr>
    </w:p>
    <w:p>
      <w:pPr>
        <w:ind w:left="860" w:hanging="420"/>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the highest character and integrity;</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 of any conflict of interest;</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willing and able to devote sufficient time to the affairs of the Company; and</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capacity and desire to represent the best interests of the shareholders.</w:t>
      </w:r>
    </w:p>
    <w:p>
      <w:pPr>
        <w:spacing w:after="0" w:line="14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Nominating Committee has not adopted a formal policy with regard to the consideration of diversity in identifying director nominees. However, in determining whether to recommend a director nominee, the Nominating Committee considers and discusses diversity, among other factors, with a view toward the needs of the Board of Directors as a whole. The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Nominating Committee believes that the inclusion of diversity as one of many factors considered in selecting director nominees is consistent with the Nominating Committee’s goal of creating a Board of Directors that best serves the needs of the Company and the interest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1440" w:right="399" w:bottom="1440" w:gutter="0" w:footer="0" w:header="0"/>
        </w:sectPr>
      </w:pPr>
    </w:p>
    <w:bookmarkStart w:id="15" w:name="page16"/>
    <w:bookmarkEnd w:id="15"/>
    <w:p>
      <w:pPr>
        <w:spacing w:after="0" w:line="2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these factors and goals in mind, in September 2021, following the nominations by the Nominating Committee, the Board of Directors increased the number of directors constituting the entire Board of Directors from five to seven, and elected Mr. Perez-Hickman and Mrs. Razon-Feingold to the Board of Directors, further diversifying the Company’s Board of Directors and serving the needs of the Company and the interest of its shareholders.</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On August 6, 2021, the SEC approved Nasdaq Listing Rule 5606, which requires each Nasdaq-listed company to annually disclose information on the voluntary self-identified gender, racial characteristics, and LGBTQ+ status of the company’s board of directors. The requirement is intended to make consistent and comparable statistics widely available to investors regarding the number of diverse directors serving on a Nasdaq-listed company’s board. In compliance with Nasdaq Rule 5606, the Company is including the following Board Diversity Matrix for the Company as of May 2, 2022:</w:t>
      </w:r>
    </w:p>
    <w:p>
      <w:pPr>
        <w:spacing w:after="0" w:line="2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Number of Directors</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7</w:t>
            </w: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20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Female</w:t>
            </w:r>
          </w:p>
        </w:tc>
        <w:tc>
          <w:tcPr>
            <w:tcW w:w="1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Male</w:t>
            </w:r>
          </w:p>
        </w:tc>
        <w:tc>
          <w:tcPr>
            <w:tcW w:w="162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Non-Binary</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Did Not Disclose Gender</w:t>
            </w:r>
          </w:p>
        </w:tc>
      </w:tr>
      <w:tr>
        <w:trPr>
          <w:trHeight w:val="21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20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Alaskan Native or American Indian</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Asian</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Hispanic or Latinx</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White</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6</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LGBTQ+</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206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Executive Sessions</w:t>
      </w:r>
    </w:p>
    <w:p>
      <w:pPr>
        <w:spacing w:after="0" w:line="162"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Nasdaq listing standards and Section 2(a)(19) of the 1940 Act require that a majority of the Board of Directors and every member of our Audit Committee and Nominating Committee are “independent.” Our Board of Directors reviews the independence of its members annually.</w:t>
      </w:r>
    </w:p>
    <w:p>
      <w:pPr>
        <w:spacing w:after="0" w:line="94"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Messrs. Mulia, Zink, Salute and Perez-Hickman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95"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62"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Company currently combines the role of Chairman of the Board of Directors with the role of Chief Executive Officer. Our Board of Directors believes this provides an efficient and effective leadership model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Company. Combining the Chairman and Chief Executive Officer roles fosters clear accountability, effective decision-making, and alignment on corporate strategy. Mr. Sloane has served as Chairman and Chief Executive Officer of the Company since 1999 and as President since 2008, and is an “interested person” under Section 2(a)(19) of the 1940 Act. The Board of Directors continues to believe that our leadership structure is appropriate since Mr. Sloane has over 26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108"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94" w:lineRule="exact"/>
        <w:rPr>
          <w:sz w:val="20"/>
          <w:szCs w:val="20"/>
          <w:color w:val="auto"/>
        </w:rPr>
      </w:pPr>
    </w:p>
    <w:p>
      <w:pPr>
        <w:ind w:left="860" w:hanging="420"/>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our seven current directors are independent directors;</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our Audit Committee and Nominating Committee are independent directors;</w:t>
      </w:r>
    </w:p>
    <w:p>
      <w:pPr>
        <w:spacing w:after="0" w:line="144" w:lineRule="exact"/>
        <w:rPr>
          <w:rFonts w:ascii="Times New Roman" w:cs="Times New Roman" w:eastAsia="Times New Roman" w:hAnsi="Times New Roman"/>
          <w:sz w:val="18"/>
          <w:szCs w:val="18"/>
          <w:color w:val="auto"/>
        </w:rPr>
      </w:pPr>
    </w:p>
    <w:p>
      <w:pPr>
        <w:ind w:left="880" w:right="300" w:hanging="440"/>
        <w:spacing w:after="0" w:line="282" w:lineRule="auto"/>
        <w:tabs>
          <w:tab w:leader="none" w:pos="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scheduled, and as needed, meetings in executive session, out of the presence of Messrs. Sloane and Downs and Mrs. Razon-Feingold and other members of management;</w:t>
      </w:r>
    </w:p>
    <w:p>
      <w:pPr>
        <w:spacing w:after="0" w:line="94"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meetings which specifically include Messrs. Sloane and Downs and Mrs. Razon-Feingold;</w:t>
      </w:r>
    </w:p>
    <w:p>
      <w:pPr>
        <w:spacing w:after="0" w:line="94" w:lineRule="exact"/>
        <w:rPr>
          <w:rFonts w:ascii="Times New Roman" w:cs="Times New Roman" w:eastAsia="Times New Roman" w:hAnsi="Times New Roman"/>
          <w:sz w:val="18"/>
          <w:szCs w:val="18"/>
          <w:color w:val="auto"/>
        </w:rPr>
      </w:pPr>
    </w:p>
    <w:p>
      <w:pPr>
        <w:ind w:left="880" w:right="160" w:hanging="440"/>
        <w:spacing w:after="0" w:line="282" w:lineRule="auto"/>
        <w:tabs>
          <w:tab w:leader="none" w:pos="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80"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including the independent directors, and its committees interact with employees of the Company outside the ranks of senior management.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not appointed a lead independent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Risk Oversight</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but is not limited to, the following risks:</w:t>
      </w:r>
    </w:p>
    <w:p>
      <w:pPr>
        <w:spacing w:after="0" w:line="95" w:lineRule="exact"/>
        <w:rPr>
          <w:sz w:val="20"/>
          <w:szCs w:val="20"/>
          <w:color w:val="auto"/>
        </w:rPr>
      </w:pPr>
    </w:p>
    <w:p>
      <w:pPr>
        <w:ind w:left="860" w:hanging="420"/>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each year, management and the Board of Directors jointly review major risks that the Company prioritizes in the following year. In 2021,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focused on the following areas of risk:</w:t>
      </w:r>
    </w:p>
    <w:p>
      <w:pPr>
        <w:spacing w:after="0" w:line="220" w:lineRule="exact"/>
        <w:rPr>
          <w:sz w:val="20"/>
          <w:szCs w:val="20"/>
          <w:color w:val="auto"/>
        </w:rPr>
      </w:pPr>
    </w:p>
    <w:p>
      <w:pPr>
        <w:ind w:left="880" w:right="260" w:hanging="440"/>
        <w:spacing w:after="0" w:line="266" w:lineRule="auto"/>
        <w:tabs>
          <w:tab w:leader="none" w:pos="8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Newtek’s long-term growth and strategic alternatives, including discontinuing the Company’s election to be regulated under the 1940 Act and operating as a bank holding company;</w:t>
      </w:r>
    </w:p>
    <w:p>
      <w:pPr>
        <w:spacing w:after="0" w:line="9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investments and the evaluation of the Company’s capital structure and long-term debt financing;</w:t>
      </w:r>
    </w:p>
    <w:p>
      <w:pPr>
        <w:spacing w:after="0" w:line="157" w:lineRule="exact"/>
        <w:rPr>
          <w:rFonts w:ascii="Times New Roman" w:cs="Times New Roman" w:eastAsia="Times New Roman" w:hAnsi="Times New Roman"/>
          <w:sz w:val="18"/>
          <w:szCs w:val="18"/>
          <w:color w:val="auto"/>
        </w:rPr>
      </w:pPr>
    </w:p>
    <w:p>
      <w:pPr>
        <w:ind w:left="880" w:hanging="440"/>
        <w:spacing w:after="0" w:line="282" w:lineRule="auto"/>
        <w:tabs>
          <w:tab w:leader="none" w:pos="8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Executive Committee’s navigation of the Company through the volatility, uncertainty and unpredictability caused by the COVID-19 pandemic and the emergence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26" w:lineRule="exact"/>
        <w:rPr>
          <w:sz w:val="20"/>
          <w:szCs w:val="20"/>
          <w:color w:val="auto"/>
        </w:rPr>
      </w:pPr>
    </w:p>
    <w:p>
      <w:pPr>
        <w:ind w:left="820" w:hanging="380"/>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reviewing and approving management’s estimates of fair value of the Company’s investment portfolio; and</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158"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Board of Directors has delegated responsibility for the oversight of specific risks to Board of Directors committees. The Audit Committee oversees risks associated with:</w:t>
      </w:r>
    </w:p>
    <w:p>
      <w:pPr>
        <w:spacing w:after="0" w:line="94" w:lineRule="exact"/>
        <w:rPr>
          <w:sz w:val="20"/>
          <w:szCs w:val="20"/>
          <w:color w:val="auto"/>
        </w:rPr>
      </w:pPr>
    </w:p>
    <w:p>
      <w:pPr>
        <w:ind w:left="860" w:hanging="420"/>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statements and financial reporting; and</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over financial reporting.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Nominating Committee considers the risks associated with:</w:t>
      </w:r>
    </w:p>
    <w:p>
      <w:pPr>
        <w:spacing w:after="0" w:line="158" w:lineRule="exact"/>
        <w:rPr>
          <w:sz w:val="20"/>
          <w:szCs w:val="20"/>
          <w:color w:val="auto"/>
        </w:rPr>
      </w:pPr>
    </w:p>
    <w:p>
      <w:pPr>
        <w:ind w:left="860" w:hanging="420"/>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policies and practices;</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resources, structure, succession planning and management development;</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governance practices and the structure and leadership of the Board of Directors; and</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 transactions and the code of conduct for all employees, officers and directors.</w:t>
      </w:r>
    </w:p>
    <w:p>
      <w:pPr>
        <w:spacing w:after="0" w:line="14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Executive Committee is responsible for assessing and managing risk exposure and the Board of Directors, and committees of the Board of Directors provide the oversight consistent with those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6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Nominating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120"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does not have a specific diversity policy, but considers diversity of race, gender, national origin, differences of viewpoint, professional experience, education, skill and other qualities in evaluating candidates for board membership. We believe diversity is important because a variety of viewpoints can help to contribute to an effective decision-making process.</w:t>
      </w:r>
    </w:p>
    <w:p>
      <w:pPr>
        <w:spacing w:after="0" w:line="203"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Shareholders may recommend individuals to the Nominating Committee for consideration as potential director candidates by submitting their names, together with appropriate biographical information and background materials. The recommendation should be sent to the Nominating Committee, c/o Michael A. Schwartz, Corporate Secretary, Newtek Business Services Corp., 1981 Marcus Avenue, Suite 130, Lake Success, New York 11042.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10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Shareholders also have the right under our Bylaws to nominate director candidates, without any action or recommendation on the part of the Nominating Committee or the Board of Directors, by following the procedures set forth under “Shareholder Proposals” in our Proxy Statement. Candidates nominated by shareholders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procedures set forth in our Bylaws may be included in our Proxy Statement and solicitation for the next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48"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and will maintain, a Code of Ethics that establishes procedures for personal investments and restricts certain personal securities transactions. Personnel subject to the Code of Ethics may invest in securities for their personal investment accounts, including securities that may be purchased or held by us, so long as such investments are made in accordance with the Code of Ethics’ requirements. Our Code of Ethics generally will not permit investments by our employees in securities that may be purchased or held by us. We may be prohibited under the 1940 Act from conducting certain transactions with our affiliates without the prior approval of our directors who are not interested persons and, in some cases, the prior approval of the SEC. Our current Code of Ethics is posted on the Investor Relations section of our website at </w:t>
      </w:r>
      <w:r>
        <w:rPr>
          <w:rFonts w:ascii="Times New Roman" w:cs="Times New Roman" w:eastAsia="Times New Roman" w:hAnsi="Times New Roman"/>
          <w:sz w:val="18"/>
          <w:szCs w:val="18"/>
          <w:i w:val="1"/>
          <w:iCs w:val="1"/>
          <w:color w:val="auto"/>
        </w:rPr>
        <w:t>http://investor.newtekbusinessservices.com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Speculative Trading</w:t>
      </w:r>
    </w:p>
    <w:p>
      <w:pPr>
        <w:spacing w:after="0" w:line="256"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as part of the Company’s Insider Trading Policy, a policy strongly discouraging any covered person from engaging in hedging transactions with respect to the Company’s securities. In this regard, any covered person wishing to enter into such an arrangement must first pre-clear the proposed transaction with the Chief Compliance Officer. Such request for pre-clearance of a hedging or similar arrangement must be received at least two weeks before the covered person intends to execute the documents in connection with the proposed transaction and must set forth the reason for the proposed transaction.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have written procedures in place for the review, approval and monitoring of transactions involving the Company and certain persons related to the Company. As a business development company (“BDC”), the Company is prohibited under the 1940 Act from participating in certain transactions with certain of its affiliates without meeting certain requirements, such as the prior approval of the independent directors and, in some cases, the SEC. The affiliates with which the Company may be prohibited from transacting include its officers, directors and employees and any person who owns 5% or more of our outstanding voting securities or controlling or under common control with the Company.</w:t>
      </w:r>
    </w:p>
    <w:p>
      <w:pPr>
        <w:spacing w:after="0" w:line="116"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reviews all potential related party transactions on an ongoing basis, and all such transactions must be approved by the Board of Directors. The Board of Directors reviews such transactions on a case-by-case basis. In addition, the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10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Mr. Sloane’s nephew Kyle Sloane is employed by one of the Company’s controlled portfolio companies. Kyle Sloane earned in excess of $120,000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The Board of Directors has adopted a plan for compensation of non-employee directors which gives effect to the time and effort required of each of them in the performance of their duties. For 2021, the Board of Directors provided for the payment of annual compensation in the amount of $125,000 for each non-employee director, with no additional fees for committee membership or chairmanship. In addition, pursuant to the terms of the Company’s Amended and Restated 2014 Stock Incentive Plan, non-employee directors may be granted up to 2,000 shares of Company Restricted Stock at the beginning of each one-year term of service on the Board, with one-third of such shares of Restricted Stock vesting on each of the next three anniversaries of the date of grant. In June 2019, non-employee directors Mulia, Salute and Zink were each granted 1,332 shares of Company Restricted Stock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beginning of their 2019 terms of service on the Board, with one-third of such shares of Restricted Stock vesting on each of the next three anniversaries of the date of grant.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Directors do not receive any perquisites or other personal benefits from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Summary Compensation Table</w:t>
      </w:r>
    </w:p>
    <w:p>
      <w:pPr>
        <w:spacing w:after="0" w:line="162"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cash, equity awards and other compensation earned, paid or awarded, as the case may be, to each of our current directors during the fiscal years ended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Fees earned or Paid</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60" w:type="dxa"/>
            <w:vAlign w:val="bottom"/>
            <w:gridSpan w:val="2"/>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in Cash</w:t>
            </w:r>
          </w:p>
        </w:tc>
        <w:tc>
          <w:tcPr>
            <w:tcW w:w="1280" w:type="dxa"/>
            <w:vAlign w:val="bottom"/>
            <w:gridSpan w:val="2"/>
            <w:vMerge w:val="continue"/>
          </w:tcPr>
          <w:p>
            <w:pPr>
              <w:spacing w:after="0"/>
              <w:rPr>
                <w:sz w:val="13"/>
                <w:szCs w:val="13"/>
                <w:color w:val="auto"/>
              </w:rPr>
            </w:pPr>
          </w:p>
        </w:tc>
        <w:tc>
          <w:tcPr>
            <w:tcW w:w="12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6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tcPr>
          <w:p>
            <w:pPr>
              <w:jc w:val="right"/>
              <w:ind w:right="292"/>
              <w:spacing w:after="0" w:line="15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9"/>
                <w:szCs w:val="9"/>
                <w:b w:val="1"/>
                <w:bCs w:val="1"/>
                <w:color w:val="auto"/>
              </w:rPr>
              <w:t>(2)</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5"/>
        </w:trPr>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Current independent directors:</w:t>
            </w:r>
          </w:p>
        </w:tc>
        <w:tc>
          <w:tcPr>
            <w:tcW w:w="1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Salvatore F. Mulia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23"/>
                <w:szCs w:val="23"/>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Richard Salute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70"/>
        </w:trPr>
        <w:tc>
          <w:tcPr>
            <w:tcW w:w="4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Gregory Zink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23"/>
                <w:szCs w:val="23"/>
                <w:color w:val="auto"/>
              </w:rPr>
            </w:pP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Fernando Perez-Hickman</w:t>
            </w:r>
            <w:r>
              <w:rPr>
                <w:rFonts w:ascii="Arial" w:cs="Arial" w:eastAsia="Arial" w:hAnsi="Arial"/>
                <w:sz w:val="9"/>
                <w:szCs w:val="9"/>
                <w:color w:val="auto"/>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0" w:type="dxa"/>
            <w:vAlign w:val="bottom"/>
          </w:tcPr>
          <w:p>
            <w:pPr>
              <w:spacing w:after="0"/>
              <w:rPr>
                <w:sz w:val="1"/>
                <w:szCs w:val="1"/>
                <w:color w:val="auto"/>
              </w:rPr>
            </w:pPr>
          </w:p>
        </w:tc>
      </w:tr>
      <w:tr>
        <w:trPr>
          <w:trHeight w:val="270"/>
        </w:trPr>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9"/>
                <w:szCs w:val="9"/>
                <w:color w:val="auto"/>
              </w:rPr>
              <w:t>(1)</w:t>
            </w: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9"/>
                <w:szCs w:val="9"/>
                <w:color w:val="auto"/>
              </w:rPr>
              <w:t>(1)</w:t>
            </w:r>
          </w:p>
        </w:tc>
        <w:tc>
          <w:tcPr>
            <w:tcW w:w="16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Halli Razon-Feingold</w:t>
            </w:r>
            <w:r>
              <w:rPr>
                <w:rFonts w:ascii="Times New Roman" w:cs="Times New Roman" w:eastAsia="Times New Roman" w:hAnsi="Times New Roman"/>
                <w:sz w:val="9"/>
                <w:szCs w:val="9"/>
                <w:color w:val="auto"/>
              </w:rPr>
              <w:t>(1)</w:t>
            </w:r>
          </w:p>
        </w:tc>
        <w:tc>
          <w:tcPr>
            <w:tcW w:w="16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8"/>
        </w:trPr>
        <w:tc>
          <w:tcPr>
            <w:tcW w:w="4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____________</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40" w:right="80" w:hanging="432"/>
        <w:spacing w:after="0" w:line="267" w:lineRule="auto"/>
        <w:tabs>
          <w:tab w:leader="none" w:pos="43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employee directors, Messrs. Sloane and Downs and Mrs. Razon-Feingold do not receive any compensation for their service as directors. The compensation of our named executive officers is disclosed in the Summary Compensation Table and elsewhere under “EXECUTIVE COMPENSATION.”</w:t>
      </w:r>
    </w:p>
    <w:p>
      <w:pPr>
        <w:ind w:left="440" w:right="60" w:hanging="432"/>
        <w:spacing w:after="0" w:line="252" w:lineRule="auto"/>
        <w:tabs>
          <w:tab w:leader="none" w:pos="43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provided in this column represent the grant date fair value of restricted stock awards made to the non-employee directors. On June 14, 2019, non-employee directors Mulia, Salute and Zink were each granted 1,332 shares of Company Restricted Stock at the beginning of their 2019 terms of service on the Board, with one-third of such shares of Restricted Stock vesting on each of June 15, 2020, June 15, 2021 and June 15, 2022.</w:t>
      </w:r>
    </w:p>
    <w:p>
      <w:pPr>
        <w:ind w:left="400" w:hanging="392"/>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Perez-Hickman joined the Board of Directors in September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48"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spacing w:after="0" w:line="108"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For fiscal year 2021, the median of the annual total compensation of all of our employees (other than Mr. Sloane, our Chief Executive Officer) was $122,000 and the annual total compensation of our Chief Executive Officer, as reported in the Summary Compensation Table, was $3,500,000. Based on this information, our Chief Executive Officer’s 2021 annual total compensation was approximately 28.7 times that of the median of the 2021 annual total compensation of all of our employees.</w:t>
      </w:r>
    </w:p>
    <w:p>
      <w:pPr>
        <w:spacing w:after="0" w:line="11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selected December 31, 2021 as the date used to identify our “median employee” whose annual total compensation was the median of the annual total compensation of all our employees (other than our Chief Executive Officer) for 2021. As of December 31, 2021, our employee population consisted of 104 individuals who are located in our Lake Success, New York and Boca Raton, Florida offices, as well as individuals who work remotely out of their residences in various states. To identify our median employee, we compared the annual total compensation for each of our employees, as determined in accordance with the requirements of Item 402(c)(2)(x) of Regulation S-K, which included salary and bonus. In making this determination, we annualized the compensation of 7 employees who were hired in 2021 but did not work for us the entire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Named Executive Officers</w:t>
      </w:r>
    </w:p>
    <w:p>
      <w:pPr>
        <w:spacing w:after="0" w:line="162"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(“CD&amp;A”) provides 2021 compensation information for the following Named Executive Officers (“NEOs”). References to “2021 NEOs” in this CD&amp;A are references to Messrs. Sloane, Downs, Schwartz, Leger and Young.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60" w:type="dxa"/>
            <w:vAlign w:val="bottom"/>
            <w:tcBorders>
              <w:bottom w:val="single" w:sz="8" w:color="CCEEFF"/>
            </w:tcBorders>
          </w:tcPr>
          <w:p>
            <w:pPr>
              <w:spacing w:after="0"/>
              <w:rPr>
                <w:sz w:val="18"/>
                <w:szCs w:val="18"/>
                <w:color w:val="auto"/>
              </w:rPr>
            </w:pPr>
          </w:p>
        </w:tc>
        <w:tc>
          <w:tcPr>
            <w:tcW w:w="768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2021 NEOs:</w:t>
            </w: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80" w:type="dxa"/>
            <w:vAlign w:val="bottom"/>
            <w:shd w:val="clear" w:color="auto" w:fill="CCEEFF"/>
          </w:tcPr>
          <w:p>
            <w:pPr>
              <w:spacing w:after="0"/>
              <w:rPr>
                <w:sz w:val="23"/>
                <w:szCs w:val="23"/>
                <w:color w:val="auto"/>
              </w:rPr>
            </w:pPr>
          </w:p>
        </w:tc>
      </w:tr>
      <w:tr>
        <w:trPr>
          <w:trHeight w:val="27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Barry Sloane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Pr>
          <w:p>
            <w:pPr>
              <w:spacing w:after="0"/>
              <w:rPr>
                <w:sz w:val="23"/>
                <w:szCs w:val="23"/>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7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Downs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shd w:val="clear" w:color="auto" w:fill="CCEEFF"/>
          </w:tcPr>
          <w:p>
            <w:pPr>
              <w:spacing w:after="0"/>
              <w:rPr>
                <w:sz w:val="23"/>
                <w:szCs w:val="23"/>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Lending Officer; President Newtek Small Business Finance, LLC</w:t>
            </w:r>
          </w:p>
        </w:tc>
      </w:tr>
      <w:tr>
        <w:trPr>
          <w:trHeight w:val="27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 Schwartz</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23"/>
                <w:szCs w:val="23"/>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Chief Compliance Officer and Corporate Secretary</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Leger</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60" w:type="dxa"/>
            <w:vAlign w:val="bottom"/>
            <w:shd w:val="clear" w:color="auto" w:fill="CCEEFF"/>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Executive Vice President</w:t>
            </w:r>
          </w:p>
        </w:tc>
      </w:tr>
      <w:tr>
        <w:trPr>
          <w:trHeight w:val="27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Nicolas Young</w:t>
            </w:r>
            <w:r>
              <w:rPr>
                <w:rFonts w:ascii="Arial" w:cs="Arial" w:eastAsia="Arial" w:hAnsi="Arial"/>
                <w:sz w:val="9"/>
                <w:szCs w:val="9"/>
                <w:color w:val="auto"/>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tcPr>
          <w:p>
            <w:pPr>
              <w:spacing w:after="0"/>
              <w:rPr>
                <w:sz w:val="23"/>
                <w:szCs w:val="23"/>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Risk Officer</w:t>
            </w:r>
          </w:p>
        </w:tc>
      </w:tr>
      <w:tr>
        <w:trPr>
          <w:trHeight w:val="27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Former NEO:</w:t>
            </w: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80" w:type="dxa"/>
            <w:vAlign w:val="bottom"/>
            <w:shd w:val="clear" w:color="auto" w:fill="CCEEFF"/>
          </w:tcPr>
          <w:p>
            <w:pPr>
              <w:spacing w:after="0"/>
              <w:rPr>
                <w:sz w:val="23"/>
                <w:szCs w:val="23"/>
                <w:color w:val="auto"/>
              </w:rPr>
            </w:pPr>
          </w:p>
        </w:tc>
      </w:tr>
      <w:tr>
        <w:trPr>
          <w:trHeight w:val="27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Towers</w:t>
            </w:r>
            <w:r>
              <w:rPr>
                <w:rFonts w:ascii="Times New Roman" w:cs="Times New Roman" w:eastAsia="Times New Roman" w:hAnsi="Times New Roman"/>
                <w:sz w:val="9"/>
                <w:szCs w:val="9"/>
                <w:color w:val="auto"/>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60" w:type="dxa"/>
            <w:vAlign w:val="bottom"/>
          </w:tcPr>
          <w:p>
            <w:pPr>
              <w:spacing w:after="0"/>
              <w:rPr>
                <w:sz w:val="23"/>
                <w:szCs w:val="23"/>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31" w:lineRule="exact"/>
        <w:rPr>
          <w:sz w:val="20"/>
          <w:szCs w:val="20"/>
          <w:color w:val="auto"/>
        </w:rPr>
      </w:pPr>
    </w:p>
    <w:p>
      <w:pPr>
        <w:ind w:left="440" w:right="140" w:hanging="432"/>
        <w:spacing w:after="0" w:line="267" w:lineRule="auto"/>
        <w:tabs>
          <w:tab w:leader="none" w:pos="4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Towers resigned from the Company effective as of February 5, 2021, and Nicholas J. Leger was appointed to the position of Chief Accounting Officer effective February 5, 2021.</w:t>
      </w:r>
    </w:p>
    <w:p>
      <w:pPr>
        <w:ind w:left="400" w:hanging="392"/>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Young was appointed Chief Risk Officer on August 2,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2021 NEOs Who Are Not Directors</w:t>
      </w:r>
    </w:p>
    <w:p>
      <w:pPr>
        <w:spacing w:after="0" w:line="158"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A. Schwartz, </w:t>
      </w:r>
      <w:r>
        <w:rPr>
          <w:rFonts w:ascii="Times New Roman" w:cs="Times New Roman" w:eastAsia="Times New Roman" w:hAnsi="Times New Roman"/>
          <w:sz w:val="18"/>
          <w:szCs w:val="18"/>
          <w:color w:val="auto"/>
        </w:rPr>
        <w:t>age 61, has served as Chief Legal Officer and Corporate Secretary since January 2015. In October 2015, Mr. Schwartz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the Company’s Chief Compliance Officer. Beginning in November 2013, Mr. Schwartz was Senior Counsel to the Company.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Times New Roman" w:cs="Times New Roman" w:eastAsia="Times New Roman" w:hAnsi="Times New Roman"/>
          <w:sz w:val="18"/>
          <w:szCs w:val="18"/>
          <w:b w:val="1"/>
          <w:bCs w:val="1"/>
          <w:color w:val="auto"/>
        </w:rPr>
        <w:t>.</w:t>
      </w:r>
    </w:p>
    <w:p>
      <w:pPr>
        <w:spacing w:after="0" w:line="11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Nicholas J. Leger, </w:t>
      </w:r>
      <w:r>
        <w:rPr>
          <w:rFonts w:ascii="Times New Roman" w:cs="Times New Roman" w:eastAsia="Times New Roman" w:hAnsi="Times New Roman"/>
          <w:sz w:val="18"/>
          <w:szCs w:val="18"/>
          <w:color w:val="auto"/>
        </w:rPr>
        <w:t>age 41, was appointed the Company’s Chief Accounting Officer effective as of February 5, 2021. Mr. Leger, has, since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2015, served as Vice President of Finance and Controller of Newtek Small Business Finance, LLC (“NSBF”), the Company’s consolidated subsidiary that operates as a nationally licensed SBA lender under the federal Section 7(a) loan program, with principal responsibility for financial reporting and the development and implementation of NSBF’s accounting policies and practices. Mr. Leger previously worked at First Data Corp. as a Manager and Senior Accountant, in the Financial Planning and Reporting department, from 2005 to 2015, and previously worked in public accounting as a Senior Associate for PricewaterhouseCoopers (PWC) from 2004 to 2005 and with RSM from 2001 to 2004, primarily in the audit of public and private entities. Mr. Leger graduated from Bentley University in 2002 with a bachelor’s degree in Accounting.</w:t>
      </w:r>
    </w:p>
    <w:p>
      <w:pPr>
        <w:spacing w:after="0" w:line="210" w:lineRule="exact"/>
        <w:rPr>
          <w:sz w:val="20"/>
          <w:szCs w:val="20"/>
          <w:color w:val="auto"/>
        </w:rPr>
      </w:pPr>
    </w:p>
    <w:p>
      <w:pPr>
        <w:ind w:right="40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Nicolas Young</w:t>
      </w:r>
      <w:r>
        <w:rPr>
          <w:rFonts w:ascii="Times New Roman" w:cs="Times New Roman" w:eastAsia="Times New Roman" w:hAnsi="Times New Roman"/>
          <w:sz w:val="18"/>
          <w:szCs w:val="18"/>
          <w:color w:val="auto"/>
        </w:rPr>
        <w:t>, age 45, was appointed the Company’s Chief Risk Officer on August 2, 2021. Mr. Young previously served as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&amp; Chief Credit Officer for IBERIABANK, and was EVP &amp; Chief Risk Officer of Sabadell in Miami, Florida. Mr. Young has over 20 years’ experience in credit and risk management. Mr. Young is a native of Montevideo, Uruguay and holds a Bachelor of Economics from Universidad ORT Uruguay.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NEO</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Christopher Towers </w:t>
      </w:r>
      <w:r>
        <w:rPr>
          <w:rFonts w:ascii="Times New Roman" w:cs="Times New Roman" w:eastAsia="Times New Roman" w:hAnsi="Times New Roman"/>
          <w:sz w:val="18"/>
          <w:szCs w:val="18"/>
          <w:color w:val="auto"/>
        </w:rPr>
        <w:t>served as Chief Accounting Officer from May 3, 2019 until his resignation effective as of February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21" w:name="page22"/>
    <w:bookmarkEnd w:id="2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11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believe that the compensation of our executives should reflect their success as a management team, rather than just as individuals, in attaining key operating objectives, such as growth of investment income, growth of net asset value, growth or maintenance of dividends from our portfolio companies,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restricted stock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14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Nominating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Nominating Committee. Decisions regarding the non-equity compensation of NEOs are made by the Chief Executive Officer and the Nominating Committee for consistency with the Company’s compensation policies.</w:t>
      </w:r>
    </w:p>
    <w:p>
      <w:pPr>
        <w:spacing w:after="0" w:line="11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Chief Executive Officer semi-annually reviews the performance of each member of the senior executive team, including NEOs (other than himself whose performance is reviewed by the Nominating Committee). The conclusions reached and recommendations based on these reviews, including with respect to salary adjustments and annual award amounts, are then presented to the Nominating Committee by the Chief Executive Officer. The Nominating Committee will review and approve the recommendations for consistency with the Company’s compensation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62"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Nominating Committee for conformity with the Company’s overall compensation policies. The NEOs are not present at the time of these deliberations. The Nominating Committee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performs a similar review of the Chief Executive Officer’s total compensation and makes compensation decisions with respect to such officer, who does not participate in that determination.</w:t>
      </w:r>
    </w:p>
    <w:p>
      <w:pPr>
        <w:spacing w:after="0" w:line="8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uses the following factors to determine the amount of salary and other benefits to pay each NEO:</w:t>
      </w:r>
    </w:p>
    <w:p>
      <w:pPr>
        <w:spacing w:after="0" w:line="108" w:lineRule="exact"/>
        <w:rPr>
          <w:sz w:val="20"/>
          <w:szCs w:val="20"/>
          <w:color w:val="auto"/>
        </w:rPr>
      </w:pPr>
    </w:p>
    <w:p>
      <w:pPr>
        <w:ind w:left="860" w:hanging="420"/>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income to sustain and grow the Company’s dividend payments;</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risk-adjusted returns on the Company’s investment portfolio;</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competitors for the year;</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achieving desired results in the coming year;</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their unique skills and capabilities to support long-term performance;</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and growth as a member of the executive management team;</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development and growth of individual executives, the management team and other employees; and</w:t>
      </w:r>
    </w:p>
    <w:p>
      <w:pPr>
        <w:spacing w:after="0" w:line="157"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managerial assistance provided to our controlled portfolio companies, including contributions to growth of sales, growth of operating earnings and dividends paid to the Company.</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establish individual goals but focus on the overall profitable growth of our business.</w:t>
      </w:r>
    </w:p>
    <w:p>
      <w:pPr>
        <w:spacing w:after="0" w:line="158"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Based on the foregoing objectives, we have structured the Company’s annual and long-term incentive-based non- cash executive compensation to motivate executives to achieve the business goals set by the Company.</w:t>
      </w:r>
    </w:p>
    <w:p>
      <w:pPr>
        <w:spacing w:after="0" w:line="94"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2021, the principal components of compensation for NEOs were:</w:t>
      </w:r>
    </w:p>
    <w:p>
      <w:pPr>
        <w:spacing w:after="0" w:line="158" w:lineRule="exact"/>
        <w:rPr>
          <w:sz w:val="20"/>
          <w:szCs w:val="20"/>
          <w:color w:val="auto"/>
        </w:rPr>
      </w:pPr>
    </w:p>
    <w:p>
      <w:pPr>
        <w:ind w:left="860" w:hanging="420"/>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incentive compensation based on the Company’s and the executive’s performance; and</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other benefits made available to all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review of base salaries for senior level executives, including the NEOs, we primarily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26" w:lineRule="exact"/>
        <w:rPr>
          <w:sz w:val="20"/>
          <w:szCs w:val="20"/>
          <w:color w:val="auto"/>
        </w:rPr>
      </w:pPr>
    </w:p>
    <w:p>
      <w:pPr>
        <w:ind w:left="860" w:hanging="420"/>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review of each executive’s compensation both individually and relative to other executive officers;</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 and</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Company’s dividend growth and adjusted net investment income relative to the Company’s annual plan.</w:t>
      </w:r>
    </w:p>
    <w:p>
      <w:pPr>
        <w:spacing w:after="0" w:line="158"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Nominating Committee and those for the Chief Executive Officer are determined by the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4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Nominating Committee. The Nominating Committee determines any bonus for the Chief Executive Officer based on, among other things, a review of the Company’s investment income, net asset value and dividend payments relative to the Company’s annual plans as established by the Board of Directors. The Chief Executive Officer in consultation with the Nominating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6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private equity funds,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will be determined by the Nominating Committee and set forth in an award agreement between the Company and the executive or employee. The Company has not issued options under the 2014 Plan.</w:t>
      </w:r>
    </w:p>
    <w:p>
      <w:pPr>
        <w:spacing w:after="0" w:line="12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April 27, 2015, the Nominating Committee and the Board of Directors approved the Amended and Restated 2014 Stock Incentive Plan (the “2015 Stock Plan”), subject to exemptive relief from the SEC and shareholder approval, in order to have increased flexibility to use restricted Common Shares, in addition to stock 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w:t>
      </w:r>
    </w:p>
    <w:p>
      <w:pPr>
        <w:spacing w:after="0" w:line="102" w:lineRule="exact"/>
        <w:rPr>
          <w:sz w:val="20"/>
          <w:szCs w:val="20"/>
          <w:color w:val="auto"/>
        </w:rPr>
      </w:pPr>
    </w:p>
    <w:p>
      <w:pPr>
        <w:jc w:val="both"/>
        <w:ind w:right="220" w:firstLine="432"/>
        <w:spacing w:after="0" w:line="289" w:lineRule="auto"/>
        <w:rPr>
          <w:sz w:val="20"/>
          <w:szCs w:val="20"/>
          <w:color w:val="auto"/>
        </w:rPr>
      </w:pPr>
      <w:r>
        <w:rPr>
          <w:rFonts w:ascii="Times New Roman" w:cs="Times New Roman" w:eastAsia="Times New Roman" w:hAnsi="Times New Roman"/>
          <w:sz w:val="17"/>
          <w:szCs w:val="17"/>
          <w:color w:val="auto"/>
        </w:rPr>
        <w:t>The 2015 Stock Plan permits us to issue awards of stock options and restricted Common Shares in an aggregate amount of up to 20% of our issued and outstanding Common Shares (the “Plan Maximum Shares”) as of the effective date of the plan. Under the 2015 Stock Plan, all of the Plan Maximum Shares are available for grants of stock options, and half of the Plan Maximum Shares (up to 10% of our issued and outstanding Common Shares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effective date of the 2015 Stock Plan) is available for grants of restricted Common Shares. The Nominating Committee believes that restricted Common Shares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If in the future we successfully grow our assets under management and our net asset value, we may choose to increase the number of employees of the Company. The Nominating Committee may or may not choose to consider the use of stock options for incentive compensation of these employees.</w:t>
      </w:r>
    </w:p>
    <w:p>
      <w:pPr>
        <w:spacing w:after="0" w:line="14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and its Nominating Committee, which consists entirely of directors who are not employees of the Company, believe that in light of the Company’s plan for growth, stock-based incentive compensation, particularly the award of restricted Common Shares, advances the interests of the Company by providing substantial motivation for superior performance and more fully aligning the interests of officers and directors with the interests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6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Our NEOs are generally not entitled to benefits that are not available to all of our employees. In this regard, it should be noted that we do not provide pension arrangements, post-retirement health coverage or similar benefits for our executives or employees. The Nominating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for 2021, which consists of a discretionary match of 50% of the first 2% of employee contributions up to a maximum of 1% of the employee’s compensation (subject to the Internal Revenue Code annual limitation). For 2021, a match of approximately $121,150 in cash was approved and will be paid in May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4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Nominating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$700,000 for 2021 and 2020. Mr. Sloane earned a $1,000,000 cash bonus for 2021 that was paid in 2022, and was not paid a cash bonus for 2020.</w:t>
      </w:r>
    </w:p>
    <w:p>
      <w:pPr>
        <w:spacing w:after="0" w:line="11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Mr. Sloane received an award of 83,217 restricted Common Shares in February 2021, which award vested one-third on February 15, 2022, and one-third vests on each of February 15, 2023, and February 15, 2024, and did not receive an award of restricted Common Shares in 2020. The Nominating Committee has determined that this salary package is competitive with the labor market median for someone with Mr. Sloane’s skills and talents and is reflective of the Company’s current cash and financial position and the status of the Company’s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Other NEOs</w:t>
      </w:r>
    </w:p>
    <w:p>
      <w:pPr>
        <w:spacing w:after="0" w:line="162" w:lineRule="exact"/>
        <w:rPr>
          <w:sz w:val="20"/>
          <w:szCs w:val="20"/>
          <w:color w:val="auto"/>
        </w:rPr>
      </w:pPr>
    </w:p>
    <w:p>
      <w:pPr>
        <w:ind w:right="880" w:firstLine="432"/>
        <w:spacing w:after="0" w:line="282" w:lineRule="auto"/>
        <w:rPr>
          <w:sz w:val="20"/>
          <w:szCs w:val="20"/>
          <w:color w:val="auto"/>
        </w:rPr>
      </w:pPr>
      <w:r>
        <w:rPr>
          <w:rFonts w:ascii="Times New Roman" w:cs="Times New Roman" w:eastAsia="Times New Roman" w:hAnsi="Times New Roman"/>
          <w:sz w:val="18"/>
          <w:szCs w:val="18"/>
          <w:color w:val="auto"/>
        </w:rPr>
        <w:t>The Nominating Committee approved the 2021 compensation for Peter Downs, Michael Schwartz, Nicolas Young and Nicholas Leger, as recommended to it by the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NEOs</w:t>
      </w:r>
    </w:p>
    <w:p>
      <w:pPr>
        <w:spacing w:after="0" w:line="14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Mr. Down’s base salary was $550,000 in 2021 and 2020. Mr. Downs received a $250,000 cash bonus for 2021 (paid in 2022) and a $100,000 cash bonus for 2020 (paid in 2021). Mr. Downs received an award of 11,557 restricted Common Shares in February 2021, with one-third vesting on each of the following dates: February 15, 2022, February 15, 2023, and February 15, 2024.</w:t>
      </w:r>
    </w:p>
    <w:p>
      <w:pPr>
        <w:spacing w:after="0" w:line="108" w:lineRule="exact"/>
        <w:rPr>
          <w:sz w:val="20"/>
          <w:szCs w:val="20"/>
          <w:color w:val="auto"/>
        </w:rPr>
      </w:pPr>
    </w:p>
    <w:p>
      <w:pPr>
        <w:ind w:right="200" w:firstLine="432"/>
        <w:spacing w:after="0" w:line="289" w:lineRule="auto"/>
        <w:rPr>
          <w:sz w:val="20"/>
          <w:szCs w:val="20"/>
          <w:color w:val="auto"/>
        </w:rPr>
      </w:pPr>
      <w:r>
        <w:rPr>
          <w:rFonts w:ascii="Times New Roman" w:cs="Times New Roman" w:eastAsia="Times New Roman" w:hAnsi="Times New Roman"/>
          <w:sz w:val="17"/>
          <w:szCs w:val="17"/>
          <w:color w:val="auto"/>
        </w:rPr>
        <w:t>Mr. Schwartz’s base salary was $360,000 in 2021 and 2020. Mr. Schwartz received a $200,000 cash bonus in 2021 (paid in 2022) and a $150,000 cash bonus in 2020 (paid in 2021). Mr. Schwartz received an award of 3,083 restricted Common Shares in March 2021, with one-third vesting on each of the following dates: March 15, 2022, March 15, 2023 and March 15, 2024; 2,312 restricted Common Shares awarded in February 2021, which vested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April 30, 2021; and 6,934 restricted Common Shares awarded in February 2021, with one-third vesting on each of the following dates: February 15, 2022, February 15, 2023, and February 15, 2024.</w:t>
      </w:r>
    </w:p>
    <w:p>
      <w:pPr>
        <w:spacing w:after="0" w:line="17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Mr. Leger’s base salary was $270,000 in 2021. Mr. Leger received a $150,000 cash bonus for 2021 (paid in 2022). Mr. Leger received an award of 4,623 restricted Common Shares awarded in February 2021, with one-third vested on April 30, 2021 and one-third vesting on each of February 15, 2023 and February 15, 2024.</w:t>
      </w:r>
    </w:p>
    <w:p>
      <w:pPr>
        <w:spacing w:after="0" w:line="19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Mr. Young’s base salary was $500,000 in 2021. Mr. Young received a $25,000 cash bonus for 2021 (paid in 2022). Mr. Young received an award of 17,197 restricted Common Shares in August 2021, with one-third vesting on each of August 2, 2022, August 2, 2024 and August 2, 2024.</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Former NEO</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Towers’ base salary was $250,000 in 2021. Mr. Towers resigned from the Company effective as of February 5,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 and 2021 Compensation Determinations</w:t>
      </w:r>
    </w:p>
    <w:p>
      <w:pPr>
        <w:spacing w:after="0" w:line="144" w:lineRule="exact"/>
        <w:rPr>
          <w:sz w:val="20"/>
          <w:szCs w:val="20"/>
          <w:color w:val="auto"/>
        </w:rPr>
      </w:pPr>
    </w:p>
    <w:p>
      <w:pPr>
        <w:jc w:val="both"/>
        <w:ind w:right="160" w:firstLine="432"/>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Base Salary</w:t>
      </w:r>
      <w:r>
        <w:rPr>
          <w:rFonts w:ascii="Times New Roman" w:cs="Times New Roman" w:eastAsia="Times New Roman" w:hAnsi="Times New Roman"/>
          <w:sz w:val="17"/>
          <w:szCs w:val="17"/>
          <w:color w:val="auto"/>
        </w:rPr>
        <w:t>. We believe that base salaries are a fundamental element of our compensation program. The Nominating Committee establishes base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salaries for 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8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Nominating Committee considers base salary levels at least annually as part of its review of the performance of NEOs and from time to time upon a promotion or other change in job responsibilities. During its review of base salaries for our executives, the Nominating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2021 and 2020 base salaries for our current NEOs.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2021 Base Salary</w:t>
            </w:r>
          </w:p>
        </w:tc>
        <w:tc>
          <w:tcPr>
            <w:tcW w:w="200" w:type="dxa"/>
            <w:vAlign w:val="bottom"/>
          </w:tcPr>
          <w:p>
            <w:pPr>
              <w:spacing w:after="0"/>
              <w:rPr>
                <w:sz w:val="18"/>
                <w:szCs w:val="18"/>
                <w:color w:val="auto"/>
              </w:rPr>
            </w:pP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 Base Salary</w:t>
            </w:r>
          </w:p>
        </w:tc>
      </w:tr>
      <w:tr>
        <w:trPr>
          <w:trHeight w:val="270"/>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2021 NEOs</w:t>
            </w:r>
          </w:p>
        </w:tc>
        <w:tc>
          <w:tcPr>
            <w:tcW w:w="20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7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Barry Sloane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70"/>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Peter Downs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7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Michael Schwartz</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r>
      <w:tr>
        <w:trPr>
          <w:trHeight w:val="230"/>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Nicholas Leger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Nicolas Young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Former NEO</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0"/>
        </w:trPr>
        <w:tc>
          <w:tcPr>
            <w:tcW w:w="7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Christopher Towers</w:t>
            </w:r>
            <w:r>
              <w:rPr>
                <w:rFonts w:ascii="Times New Roman" w:cs="Times New Roman" w:eastAsia="Times New Roman" w:hAnsi="Times New Roman"/>
                <w:sz w:val="9"/>
                <w:szCs w:val="9"/>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31"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Towers resigned from the Company effective February 5, 2021 and Nicholas Leger was appointed Chief Accounting Officer effective February 5, 2021.</w:t>
      </w:r>
    </w:p>
    <w:p>
      <w:pPr>
        <w:spacing w:after="0" w:line="145"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Annual Bonus Awards</w:t>
      </w:r>
      <w:r>
        <w:rPr>
          <w:rFonts w:ascii="Times New Roman" w:cs="Times New Roman" w:eastAsia="Times New Roman" w:hAnsi="Times New Roman"/>
          <w:sz w:val="18"/>
          <w:szCs w:val="18"/>
          <w:color w:val="auto"/>
        </w:rPr>
        <w:t>. The Nominating Committee designs our annual cash bonuses to motivate our NEOs to achieve financial and non-financial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objectives consistent with our operating plan. The Nominating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2021 cash bonus awards, the Nominating Committee considered the factors to determine the amount of salary and other benefits, as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above. The Nominating Committee also considered the following factors and aspects of the Company’s 2021 operating performance in the determination of specific NEO bonus awards:</w:t>
      </w:r>
    </w:p>
    <w:p>
      <w:pPr>
        <w:spacing w:after="0" w:line="81" w:lineRule="exact"/>
        <w:rPr>
          <w:sz w:val="20"/>
          <w:szCs w:val="20"/>
          <w:color w:val="auto"/>
        </w:rPr>
      </w:pPr>
    </w:p>
    <w:p>
      <w:pPr>
        <w:ind w:left="860" w:hanging="420"/>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$3.15 per share in cash dividends;</w:t>
      </w:r>
    </w:p>
    <w:p>
      <w:pPr>
        <w:spacing w:after="0" w:line="157"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the Company and its portfolio companies through the volatility, uncertainty and unpredictability caused by the COVID-19 pandemic;</w:t>
      </w:r>
    </w:p>
    <w:p>
      <w:pPr>
        <w:spacing w:after="0" w:line="157" w:lineRule="exact"/>
        <w:rPr>
          <w:rFonts w:ascii="Times New Roman" w:cs="Times New Roman" w:eastAsia="Times New Roman" w:hAnsi="Times New Roman"/>
          <w:sz w:val="18"/>
          <w:szCs w:val="18"/>
          <w:color w:val="auto"/>
        </w:rPr>
      </w:pPr>
    </w:p>
    <w:p>
      <w:pPr>
        <w:ind w:left="880" w:right="200" w:hanging="440"/>
        <w:spacing w:after="0" w:line="282" w:lineRule="auto"/>
        <w:tabs>
          <w:tab w:leader="none" w:pos="7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shift the Company’s resources and lending business from originating loans under the Paycheck Protection Program back to SBA 7(a) loans;</w:t>
      </w:r>
    </w:p>
    <w:p>
      <w:pPr>
        <w:spacing w:after="0" w:line="80"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employee and staff productivity in a remote work environment;</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Company’s assets and capital;</w:t>
      </w:r>
    </w:p>
    <w:p>
      <w:pPr>
        <w:spacing w:after="0" w:line="157"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Managerial assistance provided to our controlled portfolio companies, including contributions to growth of sales, growth of operating earnings and earnings per share, as well as navigating the pandemic; and</w:t>
      </w:r>
    </w:p>
    <w:p>
      <w:pPr>
        <w:spacing w:after="0" w:line="80"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specific performance achievements and contributions to the Company’s 2021 financial performance.</w:t>
      </w:r>
    </w:p>
    <w:p>
      <w:pPr>
        <w:spacing w:after="0" w:line="252"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When allocating bonus awards, the Nominating Committee also evaluated the total compensation paid to the NEOs and other employees. Based on the foregoing considerations and analysis, and after due deliberation, the Committee awarded the 2021 NEOs the following annual cash bonuses and awards of restricted Common Shares pursuant to the 2015 Stock Plan with respect to 2021.</w:t>
      </w:r>
    </w:p>
    <w:tbl>
      <w:tblPr>
        <w:tblLayout w:type="fixed"/>
        <w:tblInd w:w="0" w:type="dxa"/>
        <w:tblCellMar>
          <w:top w:w="0" w:type="dxa"/>
          <w:left w:w="0" w:type="dxa"/>
          <w:bottom w:w="0" w:type="dxa"/>
          <w:right w:w="0" w:type="dxa"/>
        </w:tblCellMar>
      </w:tblPr>
      <w:tr>
        <w:trPr>
          <w:trHeight w:val="167"/>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440"/>
              <w:spacing w:after="0" w:line="167" w:lineRule="exact"/>
              <w:rPr>
                <w:sz w:val="20"/>
                <w:szCs w:val="20"/>
                <w:color w:val="auto"/>
              </w:rPr>
            </w:pPr>
            <w:r>
              <w:rPr>
                <w:rFonts w:ascii="Times New Roman" w:cs="Times New Roman" w:eastAsia="Times New Roman" w:hAnsi="Times New Roman"/>
                <w:sz w:val="16"/>
                <w:szCs w:val="16"/>
                <w:b w:val="1"/>
                <w:bCs w:val="1"/>
                <w:color w:val="auto"/>
                <w:w w:val="98"/>
              </w:rPr>
              <w:t>2021 Cash</w:t>
            </w:r>
          </w:p>
        </w:tc>
        <w:tc>
          <w:tcPr>
            <w:tcW w:w="2380" w:type="dxa"/>
            <w:vAlign w:val="bottom"/>
          </w:tcPr>
          <w:p>
            <w:pPr>
              <w:jc w:val="right"/>
              <w:ind w:right="532"/>
              <w:spacing w:after="0" w:line="167" w:lineRule="exact"/>
              <w:rPr>
                <w:sz w:val="20"/>
                <w:szCs w:val="20"/>
                <w:color w:val="auto"/>
              </w:rPr>
            </w:pPr>
            <w:r>
              <w:rPr>
                <w:rFonts w:ascii="Times New Roman" w:cs="Times New Roman" w:eastAsia="Times New Roman" w:hAnsi="Times New Roman"/>
                <w:sz w:val="16"/>
                <w:szCs w:val="16"/>
                <w:b w:val="1"/>
                <w:bCs w:val="1"/>
                <w:color w:val="auto"/>
              </w:rPr>
              <w:t>As Percentage of</w:t>
            </w:r>
          </w:p>
        </w:tc>
      </w:tr>
      <w:tr>
        <w:trPr>
          <w:trHeight w:val="214"/>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Bonus Award</w:t>
            </w:r>
          </w:p>
        </w:tc>
        <w:tc>
          <w:tcPr>
            <w:tcW w:w="238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 Base Salary</w:t>
            </w:r>
          </w:p>
        </w:tc>
      </w:tr>
      <w:tr>
        <w:trPr>
          <w:trHeight w:val="265"/>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 NEOs</w:t>
            </w:r>
          </w:p>
        </w:tc>
        <w:tc>
          <w:tcPr>
            <w:tcW w:w="22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2380" w:type="dxa"/>
            <w:vAlign w:val="bottom"/>
            <w:tcBorders>
              <w:top w:val="single" w:sz="8" w:color="auto"/>
            </w:tcBorders>
            <w:shd w:val="clear" w:color="auto" w:fill="CCEEFF"/>
          </w:tcPr>
          <w:p>
            <w:pPr>
              <w:spacing w:after="0"/>
              <w:rPr>
                <w:sz w:val="23"/>
                <w:szCs w:val="23"/>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Sloane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8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Downs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23"/>
                <w:szCs w:val="23"/>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Schwartz</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Leger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Nicolas Young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Former NEO</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Towers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19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4"/>
        </w:trPr>
        <w:tc>
          <w:tcPr>
            <w:tcW w:w="1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1980" w:type="dxa"/>
            <w:vAlign w:val="bottom"/>
          </w:tcPr>
          <w:p>
            <w:pPr>
              <w:jc w:val="center"/>
              <w:ind w:left="59"/>
              <w:spacing w:after="0" w:line="165" w:lineRule="exact"/>
              <w:rPr>
                <w:sz w:val="20"/>
                <w:szCs w:val="20"/>
                <w:color w:val="auto"/>
              </w:rPr>
            </w:pPr>
            <w:r>
              <w:rPr>
                <w:rFonts w:ascii="Times New Roman" w:cs="Times New Roman" w:eastAsia="Times New Roman" w:hAnsi="Times New Roman"/>
                <w:sz w:val="16"/>
                <w:szCs w:val="16"/>
                <w:b w:val="1"/>
                <w:bCs w:val="1"/>
                <w:color w:val="auto"/>
                <w:w w:val="99"/>
              </w:rPr>
              <w:t>Plan Awards: Market or</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19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060" w:type="dxa"/>
            <w:vAlign w:val="bottom"/>
            <w:vMerge w:val="restart"/>
          </w:tcPr>
          <w:p>
            <w:pPr>
              <w:jc w:val="center"/>
              <w:ind w:left="86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Market Value of</w:t>
            </w:r>
          </w:p>
        </w:tc>
        <w:tc>
          <w:tcPr>
            <w:tcW w:w="23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Value of Number of</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3060" w:type="dxa"/>
            <w:vAlign w:val="bottom"/>
            <w:vMerge w:val="continue"/>
          </w:tcPr>
          <w:p>
            <w:pPr>
              <w:spacing w:after="0"/>
              <w:rPr>
                <w:sz w:val="17"/>
                <w:szCs w:val="17"/>
                <w:color w:val="auto"/>
              </w:rPr>
            </w:pPr>
          </w:p>
        </w:tc>
        <w:tc>
          <w:tcPr>
            <w:tcW w:w="196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Shares or Units</w:t>
            </w:r>
          </w:p>
        </w:tc>
        <w:tc>
          <w:tcPr>
            <w:tcW w:w="23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Unearned Shares, Units or</w:t>
            </w:r>
          </w:p>
        </w:tc>
        <w:tc>
          <w:tcPr>
            <w:tcW w:w="19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Unearned Shares, Units or</w:t>
            </w: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3060" w:type="dxa"/>
            <w:vAlign w:val="bottom"/>
          </w:tcPr>
          <w:p>
            <w:pPr>
              <w:jc w:val="center"/>
              <w:ind w:left="846"/>
              <w:spacing w:after="0" w:line="81" w:lineRule="exact"/>
              <w:rPr>
                <w:sz w:val="20"/>
                <w:szCs w:val="20"/>
                <w:color w:val="auto"/>
              </w:rPr>
            </w:pPr>
            <w:r>
              <w:rPr>
                <w:rFonts w:ascii="Times New Roman" w:cs="Times New Roman" w:eastAsia="Times New Roman" w:hAnsi="Times New Roman"/>
                <w:sz w:val="9"/>
                <w:szCs w:val="9"/>
                <w:b w:val="1"/>
                <w:bCs w:val="1"/>
                <w:color w:val="auto"/>
              </w:rPr>
              <w:t>Shares or Units</w:t>
            </w:r>
          </w:p>
        </w:tc>
        <w:tc>
          <w:tcPr>
            <w:tcW w:w="196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of Stock that</w:t>
            </w:r>
          </w:p>
        </w:tc>
        <w:tc>
          <w:tcPr>
            <w:tcW w:w="230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Other Rights that have not</w:t>
            </w:r>
          </w:p>
        </w:tc>
        <w:tc>
          <w:tcPr>
            <w:tcW w:w="198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Other Rights that have not</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3060" w:type="dxa"/>
            <w:vAlign w:val="bottom"/>
            <w:vMerge w:val="restart"/>
          </w:tcPr>
          <w:p>
            <w:pPr>
              <w:jc w:val="center"/>
              <w:ind w:left="866"/>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960" w:type="dxa"/>
            <w:vAlign w:val="bottom"/>
            <w:vMerge w:val="continue"/>
          </w:tcPr>
          <w:p>
            <w:pPr>
              <w:spacing w:after="0"/>
              <w:rPr>
                <w:sz w:val="9"/>
                <w:szCs w:val="9"/>
                <w:color w:val="auto"/>
              </w:rPr>
            </w:pPr>
          </w:p>
        </w:tc>
        <w:tc>
          <w:tcPr>
            <w:tcW w:w="230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196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230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198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0" w:type="dxa"/>
            <w:vAlign w:val="bottom"/>
          </w:tcPr>
          <w:p>
            <w:pPr>
              <w:spacing w:after="0"/>
              <w:rPr>
                <w:sz w:val="1"/>
                <w:szCs w:val="1"/>
                <w:color w:val="auto"/>
              </w:rPr>
            </w:pPr>
          </w:p>
        </w:tc>
      </w:tr>
      <w:tr>
        <w:trPr>
          <w:trHeight w:val="162"/>
        </w:trPr>
        <w:tc>
          <w:tcPr>
            <w:tcW w:w="1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060" w:type="dxa"/>
            <w:vAlign w:val="bottom"/>
          </w:tcPr>
          <w:p>
            <w:pPr>
              <w:jc w:val="center"/>
              <w:ind w:left="846"/>
              <w:spacing w:after="0" w:line="162" w:lineRule="exact"/>
              <w:rPr>
                <w:sz w:val="20"/>
                <w:szCs w:val="20"/>
                <w:color w:val="auto"/>
              </w:rPr>
            </w:pPr>
            <w:r>
              <w:rPr>
                <w:rFonts w:ascii="Times New Roman" w:cs="Times New Roman" w:eastAsia="Times New Roman" w:hAnsi="Times New Roman"/>
                <w:sz w:val="16"/>
                <w:szCs w:val="16"/>
                <w:b w:val="1"/>
                <w:bCs w:val="1"/>
                <w:color w:val="auto"/>
                <w:w w:val="99"/>
              </w:rPr>
              <w:t>Vested</w:t>
            </w:r>
          </w:p>
        </w:tc>
        <w:tc>
          <w:tcPr>
            <w:tcW w:w="196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860" w:type="dxa"/>
            <w:vAlign w:val="bottom"/>
            <w:vMerge w:val="continue"/>
          </w:tcPr>
          <w:p>
            <w:pPr>
              <w:spacing w:after="0"/>
              <w:rPr>
                <w:sz w:val="18"/>
                <w:szCs w:val="18"/>
                <w:color w:val="auto"/>
              </w:rPr>
            </w:pPr>
          </w:p>
        </w:tc>
        <w:tc>
          <w:tcPr>
            <w:tcW w:w="3060" w:type="dxa"/>
            <w:vAlign w:val="bottom"/>
          </w:tcPr>
          <w:p>
            <w:pPr>
              <w:jc w:val="center"/>
              <w:ind w:left="906"/>
              <w:spacing w:after="0"/>
              <w:rPr>
                <w:sz w:val="20"/>
                <w:szCs w:val="20"/>
                <w:color w:val="auto"/>
              </w:rPr>
            </w:pPr>
            <w:r>
              <w:rPr>
                <w:rFonts w:ascii="Times New Roman" w:cs="Times New Roman" w:eastAsia="Times New Roman" w:hAnsi="Times New Roman"/>
                <w:sz w:val="16"/>
                <w:szCs w:val="16"/>
                <w:b w:val="1"/>
                <w:bCs w:val="1"/>
                <w:color w:val="auto"/>
              </w:rPr>
              <w:t>(#)</w:t>
            </w:r>
          </w:p>
        </w:tc>
        <w:tc>
          <w:tcPr>
            <w:tcW w:w="196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9"/>
                <w:szCs w:val="9"/>
                <w:b w:val="1"/>
                <w:bCs w:val="1"/>
                <w:color w:val="auto"/>
              </w:rPr>
              <w:t>(1)</w:t>
            </w:r>
          </w:p>
        </w:tc>
        <w:tc>
          <w:tcPr>
            <w:tcW w:w="23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9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tbl>
      <w:tblPr>
        <w:tblLayout w:type="fixed"/>
        <w:tblInd w:w="0" w:type="dxa"/>
        <w:tblCellMar>
          <w:top w:w="0" w:type="dxa"/>
          <w:left w:w="0" w:type="dxa"/>
          <w:bottom w:w="0" w:type="dxa"/>
          <w:right w:w="0" w:type="dxa"/>
        </w:tblCellMar>
      </w:tblPr>
      <w:tr>
        <w:trPr>
          <w:trHeight w:val="27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3"/>
                <w:szCs w:val="23"/>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3"/>
                <w:szCs w:val="23"/>
                <w:color w:val="auto"/>
                <w:vertAlign w:val="superscript"/>
              </w:rPr>
              <w:t>(3)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 Schwartz</w:t>
            </w:r>
            <w:r>
              <w:rPr>
                <w:rFonts w:ascii="Times New Roman" w:cs="Times New Roman" w:eastAsia="Times New Roman" w:hAnsi="Times New Roman"/>
                <w:sz w:val="23"/>
                <w:szCs w:val="23"/>
                <w:color w:val="auto"/>
                <w:vertAlign w:val="superscript"/>
              </w:rPr>
              <w:t>(4)</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Nicholas Leger</w:t>
            </w:r>
            <w:r>
              <w:rPr>
                <w:rFonts w:ascii="Times New Roman" w:cs="Times New Roman" w:eastAsia="Times New Roman" w:hAnsi="Times New Roman"/>
                <w:sz w:val="23"/>
                <w:szCs w:val="23"/>
                <w:color w:val="auto"/>
                <w:vertAlign w:val="superscript"/>
              </w:rPr>
              <w:t>(5)</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23"/>
                <w:szCs w:val="23"/>
                <w:color w:val="auto"/>
                <w:vertAlign w:val="superscript"/>
              </w:rPr>
              <w:t>(6)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 Others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91"/>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Former NEO</w:t>
            </w: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6"/>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Christopher Towers</w:t>
            </w:r>
            <w:r>
              <w:rPr>
                <w:rFonts w:ascii="Times New Roman" w:cs="Times New Roman" w:eastAsia="Times New Roman" w:hAnsi="Times New Roman"/>
                <w:sz w:val="23"/>
                <w:szCs w:val="23"/>
                <w:color w:val="auto"/>
                <w:vertAlign w:val="superscript"/>
              </w:rPr>
              <w:t>(7)</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-1191895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-848995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18"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for our Common Shares of $26.40 on April 25, 2022.</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7"/>
              </w:rPr>
              <w:t>1,464,637</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63,308</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1,671,337</w:t>
            </w:r>
          </w:p>
        </w:tc>
      </w:tr>
      <w:tr>
        <w:trPr>
          <w:trHeight w:val="270"/>
        </w:trPr>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203,421</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13,083</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345,397</w:t>
            </w:r>
          </w:p>
        </w:tc>
      </w:tr>
      <w:tr>
        <w:trPr>
          <w:trHeight w:val="270"/>
        </w:trPr>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176,317</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7,620</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201,181</w:t>
            </w:r>
          </w:p>
        </w:tc>
      </w:tr>
      <w:tr>
        <w:trPr>
          <w:trHeight w:val="270"/>
        </w:trPr>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81,365</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3,516</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92,827</w:t>
            </w:r>
          </w:p>
        </w:tc>
      </w:tr>
      <w:tr>
        <w:trPr>
          <w:trHeight w:val="270"/>
        </w:trPr>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454,001</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18,885</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498,563</w:t>
            </w:r>
          </w:p>
        </w:tc>
      </w:tr>
      <w:tr>
        <w:trPr>
          <w:trHeight w:val="270"/>
        </w:trPr>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692,006</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25,078</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662,048</w:t>
            </w:r>
          </w:p>
        </w:tc>
      </w:tr>
      <w:tr>
        <w:trPr>
          <w:trHeight w:val="729"/>
        </w:trPr>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68" w:lineRule="exact"/>
        <w:rPr>
          <w:sz w:val="20"/>
          <w:szCs w:val="20"/>
          <w:color w:val="auto"/>
        </w:rPr>
      </w:pPr>
    </w:p>
    <w:p>
      <w:pPr>
        <w:sectPr>
          <w:pgSz w:w="11900" w:h="16838" w:orient="portrait"/>
          <w:cols w:equalWidth="0" w:num="2">
            <w:col w:w="5600" w:space="600"/>
            <w:col w:w="5020"/>
          </w:cols>
          <w:pgMar w:left="320" w:top="1440" w:right="359" w:bottom="1440" w:gutter="0" w:footer="0" w:header="0"/>
          <w:type w:val="continuous"/>
        </w:sectPr>
      </w:pPr>
    </w:p>
    <w:p>
      <w:pPr>
        <w:ind w:left="440" w:hanging="432"/>
        <w:spacing w:after="0" w:line="255" w:lineRule="auto"/>
        <w:tabs>
          <w:tab w:leader="none" w:pos="39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an award of 83,217 restricted Common Shares in February 2021, vesting one-third on each of the following dates: February 15, 2022, February 15, 2023 and February 15, 2024.</w:t>
      </w:r>
    </w:p>
    <w:p>
      <w:pPr>
        <w:ind w:left="440" w:right="400" w:hanging="432"/>
        <w:spacing w:after="0" w:line="253" w:lineRule="auto"/>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an award of 11,557 restricted Common in February 2021, vesting one-third on each of the following dates: February 15, 2022, February 15, 2023, and February 15, 2024.</w:t>
      </w:r>
    </w:p>
    <w:p>
      <w:pPr>
        <w:ind w:left="400" w:hanging="392"/>
        <w:spacing w:after="0"/>
        <w:tabs>
          <w:tab w:leader="none" w:pos="4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an award of 3,083 restricted Common Shares in March 2021, vesting one-third on each of the following dates: March 15, 2022, March 15, 2023 and March</w:t>
      </w:r>
    </w:p>
    <w:p>
      <w:pPr>
        <w:spacing w:after="0" w:line="8" w:lineRule="exact"/>
        <w:rPr>
          <w:rFonts w:ascii="Times New Roman" w:cs="Times New Roman" w:eastAsia="Times New Roman" w:hAnsi="Times New Roman"/>
          <w:sz w:val="16"/>
          <w:szCs w:val="16"/>
          <w:color w:val="auto"/>
        </w:rPr>
      </w:pPr>
    </w:p>
    <w:p>
      <w:pPr>
        <w:ind w:left="440" w:right="26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2024; and 6,935 restricted Common Shares awarded in February 2021, vesting one-third on each of the following dates: February 15, 2022, February 15, 2023 and February 15, 2024.</w:t>
      </w:r>
    </w:p>
    <w:p>
      <w:pPr>
        <w:ind w:left="360" w:hanging="352"/>
        <w:spacing w:after="0"/>
        <w:tabs>
          <w:tab w:leader="none" w:pos="3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Leger received an award of 4,623 restricted Common Shares in February 2021 with one-third of the award vesting in each of 2021, 2023 and 2024.</w:t>
      </w:r>
    </w:p>
    <w:p>
      <w:pPr>
        <w:spacing w:after="0" w:line="15"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Young received an award of 17,197 restricted Common Shares in August 2021 with one-third of the award vesting in each of 2022, 2023 and 2024.</w:t>
      </w:r>
    </w:p>
    <w:p>
      <w:pPr>
        <w:spacing w:after="0" w:line="5"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Towers resigned from the Company effective February 5,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4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Nominating Committee believes that attracting and retaining talented and motivated management and employees is essential to creating long-term shareholder value. The Nominating Committee seeks to attract and retain management and employees by offering a competitive, performance-based compensation program which the Nominating Committee believes aligns the interests of the executive officers and other key employees with those of our Shareholders. We believe that the Company’s 2021 compensation program met those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Risk Assessment</w:t>
      </w:r>
    </w:p>
    <w:p>
      <w:pPr>
        <w:spacing w:after="0" w:line="16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Our Nominating Committee aims to establish Company-wide compensation policies and practices that reward contributions to long-term shareholder value and do not promote unnecessary or excessive risk-taking. In furtherance of this objective, the Nominating Committee conducted an assessment of our compensation arrangements, including those for our named executive officers. The assessment process included, among other things, a review of our</w:t>
      </w:r>
    </w:p>
    <w:p>
      <w:pPr>
        <w:spacing w:after="0" w:line="1" w:lineRule="exact"/>
        <w:rPr>
          <w:sz w:val="20"/>
          <w:szCs w:val="20"/>
          <w:color w:val="auto"/>
        </w:rPr>
      </w:pPr>
    </w:p>
    <w:p>
      <w:pPr>
        <w:ind w:left="440" w:right="4080" w:hanging="432"/>
        <w:spacing w:after="0" w:line="472" w:lineRule="auto"/>
        <w:tabs>
          <w:tab w:leader="none" w:pos="26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philosophy, (2) compensation mix and (3) cash and equity-based incentive plans. In its review, among other factors, the Nominating Committee considered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type w:val="continuous"/>
        </w:sectPr>
      </w:pPr>
    </w:p>
    <w:bookmarkStart w:id="28" w:name="page29"/>
    <w:bookmarkEnd w:id="28"/>
    <w:p>
      <w:pPr>
        <w:spacing w:after="0" w:line="126" w:lineRule="exact"/>
        <w:rPr>
          <w:sz w:val="20"/>
          <w:szCs w:val="20"/>
          <w:color w:val="auto"/>
        </w:rPr>
      </w:pPr>
    </w:p>
    <w:p>
      <w:pPr>
        <w:ind w:left="880" w:right="340" w:hanging="440"/>
        <w:spacing w:after="0" w:line="282" w:lineRule="auto"/>
        <w:tabs>
          <w:tab w:leader="none" w:pos="8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model and our cash incentive plan encourage our employees to focus on creating a stable, predictable stream of investment income over multiple years, rather than focusing on current year revenue at the expense of succeeding years.</w:t>
      </w:r>
    </w:p>
    <w:p>
      <w:pPr>
        <w:spacing w:after="0" w:line="80" w:lineRule="exact"/>
        <w:rPr>
          <w:rFonts w:ascii="Times New Roman" w:cs="Times New Roman" w:eastAsia="Times New Roman" w:hAnsi="Times New Roman"/>
          <w:sz w:val="18"/>
          <w:szCs w:val="18"/>
          <w:color w:val="auto"/>
        </w:rPr>
      </w:pPr>
    </w:p>
    <w:p>
      <w:pPr>
        <w:ind w:left="880" w:right="480" w:hanging="440"/>
        <w:spacing w:after="0" w:line="282" w:lineRule="auto"/>
        <w:tabs>
          <w:tab w:leader="none" w:pos="8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compensation among our core compensation elements has effectively balanced short-term performance and long-term performance.</w:t>
      </w:r>
    </w:p>
    <w:p>
      <w:pPr>
        <w:spacing w:after="0" w:line="9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in conjunction with management efforts focus on both near-term and long-term goals.</w:t>
      </w:r>
    </w:p>
    <w:p>
      <w:pPr>
        <w:spacing w:after="0" w:line="157" w:lineRule="exact"/>
        <w:rPr>
          <w:rFonts w:ascii="Times New Roman" w:cs="Times New Roman" w:eastAsia="Times New Roman" w:hAnsi="Times New Roman"/>
          <w:sz w:val="18"/>
          <w:szCs w:val="18"/>
          <w:color w:val="auto"/>
        </w:rPr>
      </w:pPr>
    </w:p>
    <w:p>
      <w:pPr>
        <w:ind w:left="880" w:right="360" w:hanging="440"/>
        <w:spacing w:after="0" w:line="282" w:lineRule="auto"/>
        <w:tabs>
          <w:tab w:leader="none" w:pos="8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8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Our executives are encouraged to hold a meaningful number of Common Shares pursuant to our stock ownership policy. Based upon this assessment, our Nominating Committee believes that our Company-wide compensation policies and practices do not create risks that are reasonably likely to have a material adverse effect on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Advisory Vote on Executive Compensation; Continuing Shareholder Engagement</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At our 2021 annual meeting of shareholders, our advisory vote on say-on-pay received strong support from our shareholders (approximately 94% of votes cast).</w:t>
      </w:r>
    </w:p>
    <w:p>
      <w:pPr>
        <w:spacing w:after="0" w:line="9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Nominating Committee views as important the continuing dialogue with our shareholders on compensation and other governance matters. The results of the Company’s 2021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following the 2022 Annual Meeting and in advance of our future annual meetings.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Corporate Governance and Nominating Committee Interlocks and Insider Participation</w:t>
      </w:r>
    </w:p>
    <w:p>
      <w:pPr>
        <w:spacing w:after="0" w:line="148"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All members of the Nominating Committee are independent directors, and none of them are paid officers of ours or any of our subsidiaries. No member of the Nominating Committee: (i) has had any relationship with us requiring disclosure under Item 404 of Regulation S-K under the Exchange Act; or (ii) is an executive officer of another entity, at which one of our executive officers serves on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Compensation, Corporation Governance and Nominating Committee Report</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of the Company has reviewed and discussed the foregoing Compensation Discussion and Analysis for fiscal 2021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CORPORATE GOVERNANCE AND NOMINATING COMMITTEE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Salvatore Mulia,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Salute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Zink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Compensation Table</w:t>
      </w:r>
    </w:p>
    <w:p>
      <w:pPr>
        <w:spacing w:after="0" w:line="162" w:lineRule="exact"/>
        <w:rPr>
          <w:sz w:val="20"/>
          <w:szCs w:val="20"/>
          <w:color w:val="auto"/>
        </w:rPr>
      </w:pPr>
    </w:p>
    <w:p>
      <w:pPr>
        <w:ind w:right="340" w:firstLine="432"/>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aggregate compensation earned by the Company’s Chief Executive Officer, Chief Accounting Officer, and next most highly compensated executive officers (which we refer to as NEOs) during 2021 and the two previous years.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9"/>
                <w:szCs w:val="9"/>
                <w:color w:val="auto"/>
                <w:w w:val="94"/>
              </w:rPr>
              <w:t>(1)</w:t>
            </w:r>
          </w:p>
        </w:tc>
        <w:tc>
          <w:tcPr>
            <w:tcW w:w="0" w:type="dxa"/>
            <w:vAlign w:val="bottom"/>
          </w:tcPr>
          <w:p>
            <w:pPr>
              <w:spacing w:after="0"/>
              <w:rPr>
                <w:sz w:val="1"/>
                <w:szCs w:val="1"/>
                <w:color w:val="auto"/>
              </w:rPr>
            </w:pPr>
          </w:p>
        </w:tc>
      </w:tr>
      <w:tr>
        <w:trPr>
          <w:trHeight w:val="188"/>
        </w:trPr>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Barry Sloane,</w:t>
            </w:r>
          </w:p>
        </w:tc>
        <w:tc>
          <w:tcPr>
            <w:tcW w:w="100" w:type="dxa"/>
            <w:vAlign w:val="bottom"/>
          </w:tcPr>
          <w:p>
            <w:pPr>
              <w:spacing w:after="0"/>
              <w:rPr>
                <w:sz w:val="16"/>
                <w:szCs w:val="16"/>
                <w:color w:val="auto"/>
              </w:rPr>
            </w:pPr>
          </w:p>
        </w:tc>
        <w:tc>
          <w:tcPr>
            <w:tcW w:w="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5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Chief Executive</w:t>
            </w:r>
          </w:p>
        </w:tc>
        <w:tc>
          <w:tcPr>
            <w:tcW w:w="100" w:type="dxa"/>
            <w:vAlign w:val="bottom"/>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vMerge w:val="restart"/>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8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CEEFF"/>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9"/>
                <w:szCs w:val="9"/>
                <w:color w:val="auto"/>
                <w:w w:val="94"/>
              </w:rPr>
              <w:t>(3)</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9"/>
                <w:szCs w:val="9"/>
                <w:color w:val="auto"/>
                <w:w w:val="94"/>
              </w:rPr>
              <w:t>(1)</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vMerge w:val="restart"/>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Peter Downs,</w:t>
            </w:r>
          </w:p>
        </w:tc>
        <w:tc>
          <w:tcPr>
            <w:tcW w:w="6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Chief Lending Officer</w:t>
            </w:r>
          </w:p>
        </w:tc>
        <w:tc>
          <w:tcPr>
            <w:tcW w:w="100" w:type="dxa"/>
            <w:vAlign w:val="bottom"/>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vMerge w:val="restart"/>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9"/>
                <w:szCs w:val="9"/>
                <w:color w:val="auto"/>
                <w:w w:val="94"/>
              </w:rPr>
              <w:t>(2)</w:t>
            </w:r>
          </w:p>
        </w:tc>
        <w:tc>
          <w:tcPr>
            <w:tcW w:w="0" w:type="dxa"/>
            <w:vAlign w:val="bottom"/>
          </w:tcPr>
          <w:p>
            <w:pPr>
              <w:spacing w:after="0"/>
              <w:rPr>
                <w:sz w:val="1"/>
                <w:szCs w:val="1"/>
                <w:color w:val="auto"/>
              </w:rPr>
            </w:pPr>
          </w:p>
        </w:tc>
      </w:tr>
      <w:tr>
        <w:trPr>
          <w:trHeight w:val="188"/>
        </w:trPr>
        <w:tc>
          <w:tcPr>
            <w:tcW w:w="1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491,667</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w w:val="94"/>
              </w:rPr>
              <w:t>(3)</w:t>
            </w:r>
          </w:p>
        </w:tc>
        <w:tc>
          <w:tcPr>
            <w:tcW w:w="0" w:type="dxa"/>
            <w:vAlign w:val="bottom"/>
          </w:tcPr>
          <w:p>
            <w:pPr>
              <w:spacing w:after="0"/>
              <w:rPr>
                <w:sz w:val="1"/>
                <w:szCs w:val="1"/>
                <w:color w:val="auto"/>
              </w:rPr>
            </w:pPr>
          </w:p>
        </w:tc>
      </w:tr>
      <w:tr>
        <w:trPr>
          <w:trHeight w:val="82"/>
        </w:trPr>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9"/>
                <w:szCs w:val="9"/>
                <w:color w:val="auto"/>
                <w:w w:val="94"/>
              </w:rPr>
              <w:t>(1)</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vMerge w:val="restart"/>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360,000</w:t>
            </w:r>
          </w:p>
        </w:tc>
        <w:tc>
          <w:tcPr>
            <w:tcW w:w="8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Schwartz,</w:t>
            </w:r>
          </w:p>
        </w:tc>
        <w:tc>
          <w:tcPr>
            <w:tcW w:w="6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Chief Legal Officer</w:t>
            </w:r>
          </w:p>
        </w:tc>
        <w:tc>
          <w:tcPr>
            <w:tcW w:w="100" w:type="dxa"/>
            <w:vAlign w:val="bottom"/>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vMerge w:val="restart"/>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360,000</w:t>
            </w:r>
          </w:p>
        </w:tc>
        <w:tc>
          <w:tcPr>
            <w:tcW w:w="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9"/>
                <w:szCs w:val="9"/>
                <w:color w:val="auto"/>
                <w:w w:val="94"/>
              </w:rPr>
              <w:t>(2)</w:t>
            </w:r>
          </w:p>
        </w:tc>
        <w:tc>
          <w:tcPr>
            <w:tcW w:w="0" w:type="dxa"/>
            <w:vAlign w:val="bottom"/>
          </w:tcPr>
          <w:p>
            <w:pPr>
              <w:spacing w:after="0"/>
              <w:rPr>
                <w:sz w:val="1"/>
                <w:szCs w:val="1"/>
                <w:color w:val="auto"/>
              </w:rPr>
            </w:pPr>
          </w:p>
        </w:tc>
      </w:tr>
      <w:tr>
        <w:trPr>
          <w:trHeight w:val="179"/>
        </w:trPr>
        <w:tc>
          <w:tcPr>
            <w:tcW w:w="1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335,000</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9"/>
                <w:szCs w:val="9"/>
                <w:color w:val="auto"/>
                <w:w w:val="94"/>
              </w:rPr>
              <w:t>(3)</w:t>
            </w: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Nicholas Leger</w:t>
            </w:r>
          </w:p>
        </w:tc>
        <w:tc>
          <w:tcPr>
            <w:tcW w:w="6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8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500" w:type="dxa"/>
            <w:vAlign w:val="bottom"/>
            <w:vMerge w:val="continue"/>
            <w:shd w:val="clear" w:color="auto" w:fill="CCEEFF"/>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Chief Accounting</w:t>
            </w:r>
          </w:p>
        </w:tc>
        <w:tc>
          <w:tcPr>
            <w:tcW w:w="100" w:type="dxa"/>
            <w:vAlign w:val="bottom"/>
            <w:shd w:val="clear" w:color="auto" w:fill="CCEEFF"/>
          </w:tcPr>
          <w:p>
            <w:pPr>
              <w:spacing w:after="0"/>
              <w:rPr>
                <w:sz w:val="12"/>
                <w:szCs w:val="12"/>
                <w:color w:val="auto"/>
              </w:rPr>
            </w:pPr>
          </w:p>
        </w:tc>
        <w:tc>
          <w:tcPr>
            <w:tcW w:w="5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CEEFF"/>
          </w:tcPr>
          <w:p>
            <w:pPr>
              <w:spacing w:after="0"/>
              <w:rPr>
                <w:sz w:val="16"/>
                <w:szCs w:val="16"/>
                <w:color w:val="auto"/>
              </w:rPr>
            </w:pPr>
          </w:p>
        </w:tc>
        <w:tc>
          <w:tcPr>
            <w:tcW w:w="5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1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Nicolas Young</w:t>
            </w:r>
          </w:p>
        </w:tc>
        <w:tc>
          <w:tcPr>
            <w:tcW w:w="6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8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500" w:type="dxa"/>
            <w:vAlign w:val="bottom"/>
            <w:vMerge w:val="continue"/>
            <w:shd w:val="clear" w:color="auto" w:fill="CCEEFF"/>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Chief Risk</w:t>
            </w:r>
          </w:p>
        </w:tc>
        <w:tc>
          <w:tcPr>
            <w:tcW w:w="100" w:type="dxa"/>
            <w:vAlign w:val="bottom"/>
            <w:shd w:val="clear" w:color="auto" w:fill="CCEEFF"/>
          </w:tcPr>
          <w:p>
            <w:pPr>
              <w:spacing w:after="0"/>
              <w:rPr>
                <w:sz w:val="12"/>
                <w:szCs w:val="12"/>
                <w:color w:val="auto"/>
              </w:rPr>
            </w:pPr>
          </w:p>
        </w:tc>
        <w:tc>
          <w:tcPr>
            <w:tcW w:w="54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CEEFF"/>
          </w:tcPr>
          <w:p>
            <w:pPr>
              <w:spacing w:after="0"/>
              <w:rPr>
                <w:sz w:val="16"/>
                <w:szCs w:val="16"/>
                <w:color w:val="auto"/>
              </w:rPr>
            </w:pPr>
          </w:p>
        </w:tc>
        <w:tc>
          <w:tcPr>
            <w:tcW w:w="5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Former NEO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Pension Value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20" w:type="dxa"/>
            <w:vAlign w:val="bottom"/>
            <w:vMerge w:val="restart"/>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Nonqualified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2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6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320" w:type="dxa"/>
            <w:vAlign w:val="bottom"/>
            <w:gridSpan w:val="2"/>
          </w:tcPr>
          <w:p>
            <w:pPr>
              <w:jc w:val="center"/>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Compensation</w:t>
            </w:r>
          </w:p>
        </w:tc>
        <w:tc>
          <w:tcPr>
            <w:tcW w:w="1300" w:type="dxa"/>
            <w:vAlign w:val="bottom"/>
            <w:gridSpan w:val="2"/>
          </w:tcPr>
          <w:p>
            <w:pPr>
              <w:jc w:val="center"/>
              <w:ind w:right="140"/>
              <w:spacing w:after="0" w:line="68" w:lineRule="exact"/>
              <w:rPr>
                <w:sz w:val="20"/>
                <w:szCs w:val="20"/>
                <w:color w:val="auto"/>
              </w:rPr>
            </w:pPr>
            <w:r>
              <w:rPr>
                <w:rFonts w:ascii="Times New Roman" w:cs="Times New Roman" w:eastAsia="Times New Roman" w:hAnsi="Times New Roman"/>
                <w:sz w:val="7"/>
                <w:szCs w:val="7"/>
                <w:b w:val="1"/>
                <w:bCs w:val="1"/>
                <w:color w:val="auto"/>
              </w:rPr>
              <w:t>Earnings</w:t>
            </w:r>
          </w:p>
        </w:tc>
        <w:tc>
          <w:tcPr>
            <w:tcW w:w="1300" w:type="dxa"/>
            <w:vAlign w:val="bottom"/>
            <w:gridSpan w:val="2"/>
          </w:tcPr>
          <w:p>
            <w:pPr>
              <w:jc w:val="center"/>
              <w:ind w:right="80"/>
              <w:spacing w:after="0" w:line="68" w:lineRule="exact"/>
              <w:rPr>
                <w:sz w:val="20"/>
                <w:szCs w:val="20"/>
                <w:color w:val="auto"/>
              </w:rPr>
            </w:pPr>
            <w:r>
              <w:rPr>
                <w:rFonts w:ascii="Times New Roman" w:cs="Times New Roman" w:eastAsia="Times New Roman" w:hAnsi="Times New Roman"/>
                <w:sz w:val="7"/>
                <w:szCs w:val="7"/>
                <w:b w:val="1"/>
                <w:bCs w:val="1"/>
                <w:color w:val="auto"/>
              </w:rPr>
              <w:t>Compensation</w:t>
            </w: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20" w:type="dxa"/>
            <w:vAlign w:val="bottom"/>
            <w:vMerge w:val="continue"/>
          </w:tcPr>
          <w:p>
            <w:pPr>
              <w:spacing w:after="0"/>
              <w:rPr>
                <w:sz w:val="16"/>
                <w:szCs w:val="16"/>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8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1,800,000</w:t>
            </w: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2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3,500,000</w:t>
            </w:r>
          </w:p>
        </w:tc>
        <w:tc>
          <w:tcPr>
            <w:tcW w:w="0" w:type="dxa"/>
            <w:vAlign w:val="bottom"/>
          </w:tcPr>
          <w:p>
            <w:pPr>
              <w:spacing w:after="0"/>
              <w:rPr>
                <w:sz w:val="1"/>
                <w:szCs w:val="1"/>
                <w:color w:val="auto"/>
              </w:rPr>
            </w:pPr>
          </w:p>
        </w:tc>
      </w:tr>
      <w:tr>
        <w:trPr>
          <w:trHeight w:val="247"/>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1,400,000</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40" w:type="dxa"/>
            <w:vAlign w:val="bottom"/>
          </w:tcPr>
          <w:p>
            <w:pPr>
              <w:spacing w:after="0"/>
              <w:rPr>
                <w:sz w:val="20"/>
                <w:szCs w:val="20"/>
                <w:color w:val="auto"/>
              </w:rPr>
            </w:pPr>
            <w:r>
              <w:rPr>
                <w:rFonts w:ascii="Times New Roman" w:cs="Times New Roman" w:eastAsia="Times New Roman" w:hAnsi="Times New Roman"/>
                <w:sz w:val="9"/>
                <w:szCs w:val="9"/>
                <w:color w:val="auto"/>
              </w:rPr>
              <w:t>(6)</w:t>
            </w:r>
          </w:p>
        </w:tc>
        <w:tc>
          <w:tcPr>
            <w:tcW w:w="100" w:type="dxa"/>
            <w:vAlign w:val="bottom"/>
          </w:tcPr>
          <w:p>
            <w:pPr>
              <w:spacing w:after="0"/>
              <w:rPr>
                <w:sz w:val="24"/>
                <w:szCs w:val="2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1,050,000</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340" w:type="dxa"/>
            <w:vAlign w:val="bottom"/>
          </w:tcPr>
          <w:p>
            <w:pPr>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tcPr>
          <w:p>
            <w:pPr>
              <w:spacing w:after="0"/>
              <w:rPr>
                <w:sz w:val="23"/>
                <w:szCs w:val="2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646,667</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340" w:type="dxa"/>
            <w:vAlign w:val="bottom"/>
          </w:tcPr>
          <w:p>
            <w:pPr>
              <w:spacing w:after="0"/>
              <w:rPr>
                <w:sz w:val="20"/>
                <w:szCs w:val="20"/>
                <w:color w:val="auto"/>
              </w:rPr>
            </w:pPr>
            <w:r>
              <w:rPr>
                <w:rFonts w:ascii="Times New Roman" w:cs="Times New Roman" w:eastAsia="Times New Roman" w:hAnsi="Times New Roman"/>
                <w:sz w:val="9"/>
                <w:szCs w:val="9"/>
                <w:color w:val="auto"/>
              </w:rPr>
              <w:t>(8)</w:t>
            </w:r>
          </w:p>
        </w:tc>
        <w:tc>
          <w:tcPr>
            <w:tcW w:w="100" w:type="dxa"/>
            <w:vAlign w:val="bottom"/>
          </w:tcPr>
          <w:p>
            <w:pPr>
              <w:spacing w:after="0"/>
              <w:rPr>
                <w:sz w:val="24"/>
                <w:szCs w:val="2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885,000</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340" w:type="dxa"/>
            <w:vAlign w:val="bottom"/>
          </w:tcPr>
          <w:p>
            <w:pPr>
              <w:spacing w:after="0"/>
              <w:rPr>
                <w:sz w:val="20"/>
                <w:szCs w:val="20"/>
                <w:color w:val="auto"/>
              </w:rPr>
            </w:pPr>
            <w:r>
              <w:rPr>
                <w:rFonts w:ascii="Times New Roman" w:cs="Times New Roman" w:eastAsia="Times New Roman" w:hAnsi="Times New Roman"/>
                <w:sz w:val="9"/>
                <w:szCs w:val="9"/>
                <w:color w:val="auto"/>
              </w:rPr>
              <w:t>(9)</w:t>
            </w:r>
          </w:p>
        </w:tc>
        <w:tc>
          <w:tcPr>
            <w:tcW w:w="100" w:type="dxa"/>
            <w:vAlign w:val="bottom"/>
          </w:tcPr>
          <w:p>
            <w:pPr>
              <w:spacing w:after="0"/>
              <w:rPr>
                <w:sz w:val="23"/>
                <w:szCs w:val="2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560,000</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340" w:type="dxa"/>
            <w:vAlign w:val="bottom"/>
          </w:tcPr>
          <w:p>
            <w:pPr>
              <w:spacing w:after="0"/>
              <w:rPr>
                <w:sz w:val="20"/>
                <w:szCs w:val="20"/>
                <w:color w:val="auto"/>
              </w:rPr>
            </w:pPr>
            <w:r>
              <w:rPr>
                <w:rFonts w:ascii="Times New Roman" w:cs="Times New Roman" w:eastAsia="Times New Roman" w:hAnsi="Times New Roman"/>
                <w:sz w:val="9"/>
                <w:szCs w:val="9"/>
                <w:color w:val="auto"/>
              </w:rPr>
              <w:t>(7)</w:t>
            </w:r>
          </w:p>
        </w:tc>
        <w:tc>
          <w:tcPr>
            <w:tcW w:w="100" w:type="dxa"/>
            <w:vAlign w:val="bottom"/>
          </w:tcPr>
          <w:p>
            <w:pPr>
              <w:spacing w:after="0"/>
              <w:rPr>
                <w:sz w:val="23"/>
                <w:szCs w:val="2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565,000</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40" w:type="dxa"/>
            <w:vAlign w:val="bottom"/>
          </w:tcPr>
          <w:p>
            <w:pPr>
              <w:spacing w:after="0"/>
              <w:rPr>
                <w:sz w:val="20"/>
                <w:szCs w:val="20"/>
                <w:color w:val="auto"/>
              </w:rPr>
            </w:pPr>
            <w:r>
              <w:rPr>
                <w:rFonts w:ascii="Times New Roman" w:cs="Times New Roman" w:eastAsia="Times New Roman" w:hAnsi="Times New Roman"/>
                <w:sz w:val="9"/>
                <w:szCs w:val="9"/>
                <w:color w:val="auto"/>
              </w:rPr>
              <w:t>(10)</w:t>
            </w:r>
          </w:p>
        </w:tc>
        <w:tc>
          <w:tcPr>
            <w:tcW w:w="100" w:type="dxa"/>
            <w:vAlign w:val="bottom"/>
          </w:tcPr>
          <w:p>
            <w:pPr>
              <w:spacing w:after="0"/>
              <w:rPr>
                <w:sz w:val="24"/>
                <w:szCs w:val="2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549,995</w:t>
            </w:r>
          </w:p>
        </w:tc>
        <w:tc>
          <w:tcPr>
            <w:tcW w:w="0" w:type="dxa"/>
            <w:vAlign w:val="bottom"/>
          </w:tcPr>
          <w:p>
            <w:pPr>
              <w:spacing w:after="0"/>
              <w:rPr>
                <w:sz w:val="1"/>
                <w:szCs w:val="1"/>
                <w:color w:val="auto"/>
              </w:rPr>
            </w:pPr>
          </w:p>
        </w:tc>
      </w:tr>
      <w:tr>
        <w:trPr>
          <w:trHeight w:val="203"/>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340" w:type="dxa"/>
            <w:vAlign w:val="bottom"/>
          </w:tcPr>
          <w:p>
            <w:pPr>
              <w:spacing w:after="0"/>
              <w:rPr>
                <w:sz w:val="20"/>
                <w:szCs w:val="20"/>
                <w:color w:val="auto"/>
              </w:rPr>
            </w:pPr>
            <w:r>
              <w:rPr>
                <w:rFonts w:ascii="Times New Roman" w:cs="Times New Roman" w:eastAsia="Times New Roman" w:hAnsi="Times New Roman"/>
                <w:sz w:val="9"/>
                <w:szCs w:val="9"/>
                <w:color w:val="auto"/>
              </w:rPr>
              <w:t>(11)</w:t>
            </w:r>
          </w:p>
        </w:tc>
        <w:tc>
          <w:tcPr>
            <w:tcW w:w="100" w:type="dxa"/>
            <w:vAlign w:val="bottom"/>
          </w:tcPr>
          <w:p>
            <w:pPr>
              <w:spacing w:after="0"/>
              <w:rPr>
                <w:sz w:val="24"/>
                <w:szCs w:val="24"/>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1,125,000</w:t>
            </w:r>
          </w:p>
        </w:tc>
        <w:tc>
          <w:tcPr>
            <w:tcW w:w="0" w:type="dxa"/>
            <w:vAlign w:val="bottom"/>
          </w:tcPr>
          <w:p>
            <w:pPr>
              <w:spacing w:after="0"/>
              <w:rPr>
                <w:sz w:val="1"/>
                <w:szCs w:val="1"/>
                <w:color w:val="auto"/>
              </w:rPr>
            </w:pPr>
          </w:p>
        </w:tc>
      </w:tr>
      <w:tr>
        <w:trPr>
          <w:trHeight w:val="203"/>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-3113405</wp:posOffset>
            </wp:positionV>
            <wp:extent cx="7132320" cy="317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171825"/>
                    </a:xfrm>
                    <a:prstGeom prst="rect">
                      <a:avLst/>
                    </a:prstGeom>
                    <a:noFill/>
                  </pic:spPr>
                </pic:pic>
              </a:graphicData>
            </a:graphic>
          </wp:anchor>
        </w:drawing>
      </w:r>
    </w:p>
    <w:p>
      <w:pPr>
        <w:spacing w:after="0" w:line="509" w:lineRule="exact"/>
        <w:rPr>
          <w:sz w:val="20"/>
          <w:szCs w:val="20"/>
          <w:color w:val="auto"/>
        </w:rPr>
      </w:pPr>
    </w:p>
    <w:p>
      <w:pPr>
        <w:sectPr>
          <w:pgSz w:w="11900" w:h="16838" w:orient="portrait"/>
          <w:cols w:equalWidth="0" w:num="2">
            <w:col w:w="4140" w:space="100"/>
            <w:col w:w="70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 Towers,</w:t>
            </w:r>
            <w:r>
              <w:rPr>
                <w:rFonts w:ascii="Times New Roman" w:cs="Times New Roman" w:eastAsia="Times New Roman" w:hAnsi="Times New Roman"/>
                <w:sz w:val="18"/>
                <w:szCs w:val="18"/>
                <w:color w:val="auto"/>
                <w:vertAlign w:val="superscript"/>
              </w:rPr>
              <w:t>(12)</w:t>
            </w:r>
          </w:p>
        </w:tc>
        <w:tc>
          <w:tcPr>
            <w:tcW w:w="7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2021</w:t>
            </w:r>
          </w:p>
        </w:tc>
        <w:tc>
          <w:tcPr>
            <w:tcW w:w="9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n/a</w:t>
            </w:r>
          </w:p>
        </w:tc>
        <w:tc>
          <w:tcPr>
            <w:tcW w:w="5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3"/>
                <w:szCs w:val="13"/>
                <w:color w:val="auto"/>
              </w:rPr>
              <w:t>n/a</w:t>
            </w:r>
          </w:p>
        </w:tc>
        <w:tc>
          <w:tcPr>
            <w:tcW w:w="1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Chief</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48"/>
              <w:spacing w:after="0" w:line="139" w:lineRule="exact"/>
              <w:rPr>
                <w:sz w:val="20"/>
                <w:szCs w:val="20"/>
                <w:color w:val="auto"/>
              </w:rPr>
            </w:pPr>
            <w:r>
              <w:rPr>
                <w:rFonts w:ascii="Times New Roman" w:cs="Times New Roman" w:eastAsia="Times New Roman" w:hAnsi="Times New Roman"/>
                <w:sz w:val="14"/>
                <w:szCs w:val="14"/>
                <w:color w:val="auto"/>
              </w:rPr>
              <w:t>2020</w:t>
            </w:r>
          </w:p>
        </w:tc>
        <w:tc>
          <w:tcPr>
            <w:tcW w:w="960" w:type="dxa"/>
            <w:vAlign w:val="bottom"/>
            <w:shd w:val="clear" w:color="auto" w:fill="CCEEFF"/>
          </w:tcPr>
          <w:p>
            <w:pPr>
              <w:jc w:val="right"/>
              <w:ind w:right="233"/>
              <w:spacing w:after="0" w:line="139" w:lineRule="exact"/>
              <w:rPr>
                <w:sz w:val="20"/>
                <w:szCs w:val="20"/>
                <w:color w:val="auto"/>
              </w:rPr>
            </w:pPr>
            <w:r>
              <w:rPr>
                <w:rFonts w:ascii="Times New Roman" w:cs="Times New Roman" w:eastAsia="Times New Roman" w:hAnsi="Times New Roman"/>
                <w:sz w:val="13"/>
                <w:szCs w:val="13"/>
                <w:color w:val="auto"/>
              </w:rPr>
              <w:t>250,000</w:t>
            </w:r>
          </w:p>
        </w:tc>
        <w:tc>
          <w:tcPr>
            <w:tcW w:w="720" w:type="dxa"/>
            <w:vAlign w:val="bottom"/>
            <w:shd w:val="clear" w:color="auto" w:fill="CCEEFF"/>
          </w:tcPr>
          <w:p>
            <w:pPr>
              <w:jc w:val="right"/>
              <w:ind w:right="33"/>
              <w:spacing w:after="0" w:line="13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33"/>
              <w:spacing w:after="0" w:line="139"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ind w:left="4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ind w:left="5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5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5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Accounting Officer</w:t>
            </w: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2019</w:t>
            </w:r>
          </w:p>
        </w:tc>
        <w:tc>
          <w:tcPr>
            <w:tcW w:w="96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rPr>
              <w:t>160,000</w:t>
            </w:r>
          </w:p>
        </w:tc>
        <w:tc>
          <w:tcPr>
            <w:tcW w:w="7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75,000</w:t>
            </w:r>
          </w:p>
        </w:tc>
        <w:tc>
          <w:tcPr>
            <w:tcW w:w="500" w:type="dxa"/>
            <w:vAlign w:val="bottom"/>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9"/>
                <w:szCs w:val="9"/>
                <w:color w:val="auto"/>
              </w:rPr>
              <w:t>(3)</w:t>
            </w:r>
          </w:p>
        </w:tc>
        <w:tc>
          <w:tcPr>
            <w:tcW w:w="1320" w:type="dxa"/>
            <w:vAlign w:val="bottom"/>
            <w:vMerge w:val="restart"/>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rPr>
              <w:t xml:space="preserve">30,000 </w:t>
            </w:r>
            <w:r>
              <w:rPr>
                <w:rFonts w:ascii="Times New Roman" w:cs="Times New Roman" w:eastAsia="Times New Roman" w:hAnsi="Times New Roman"/>
                <w:sz w:val="18"/>
                <w:szCs w:val="18"/>
                <w:color w:val="auto"/>
                <w:vertAlign w:val="superscript"/>
              </w:rPr>
              <w:t>(7)</w:t>
            </w:r>
          </w:p>
        </w:tc>
        <w:tc>
          <w:tcPr>
            <w:tcW w:w="12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265,000</w:t>
            </w:r>
          </w:p>
        </w:tc>
        <w:tc>
          <w:tcPr>
            <w:tcW w:w="0" w:type="dxa"/>
            <w:vAlign w:val="bottom"/>
          </w:tcPr>
          <w:p>
            <w:pPr>
              <w:spacing w:after="0"/>
              <w:rPr>
                <w:sz w:val="1"/>
                <w:szCs w:val="1"/>
                <w:color w:val="auto"/>
              </w:rPr>
            </w:pPr>
          </w:p>
        </w:tc>
      </w:tr>
      <w:tr>
        <w:trPr>
          <w:trHeight w:val="140"/>
        </w:trPr>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99"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bonus awarded for 2021 performance and paid in 2022.</w:t>
      </w:r>
    </w:p>
    <w:p>
      <w:pPr>
        <w:spacing w:after="0" w:line="26"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bonus awarded for 2020 performance and paid in 2021.</w:t>
      </w:r>
    </w:p>
    <w:p>
      <w:pPr>
        <w:spacing w:after="0" w:line="15"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bonus awarded for 2019 performance and paid in 2020.</w:t>
      </w:r>
    </w:p>
    <w:p>
      <w:pPr>
        <w:spacing w:after="0" w:line="8" w:lineRule="exact"/>
        <w:rPr>
          <w:rFonts w:ascii="Times New Roman" w:cs="Times New Roman" w:eastAsia="Times New Roman" w:hAnsi="Times New Roman"/>
          <w:sz w:val="16"/>
          <w:szCs w:val="16"/>
          <w:color w:val="auto"/>
        </w:rPr>
      </w:pPr>
    </w:p>
    <w:p>
      <w:pPr>
        <w:ind w:left="440" w:right="200" w:hanging="432"/>
        <w:spacing w:after="0" w:line="252" w:lineRule="auto"/>
        <w:tabs>
          <w:tab w:leader="none" w:pos="43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reported for Stock Awards is the aggregate grant date fair value of stock awards granted to the NEOs,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10-K for the fiscal year ended December 31, 2021.</w:t>
      </w:r>
    </w:p>
    <w:p>
      <w:pPr>
        <w:ind w:left="440" w:right="60" w:hanging="432"/>
        <w:spacing w:after="0" w:line="255" w:lineRule="auto"/>
        <w:tabs>
          <w:tab w:leader="none" w:pos="35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an award of 83,217 restricted Common Shares in February 2021, vesting one-third on each of the following dates: February 15, 2022, February 15, 2023 and February 15, 2024.</w:t>
      </w:r>
    </w:p>
    <w:p>
      <w:pPr>
        <w:ind w:left="440" w:right="420" w:hanging="432"/>
        <w:spacing w:after="0" w:line="253" w:lineRule="auto"/>
        <w:tabs>
          <w:tab w:leader="none" w:pos="4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an award of 11,557 restricted Common in February 2021, vesting one-third on each of the following dates: February 15, 2022, February 15, 2023, and February 15, 2024.</w:t>
      </w:r>
    </w:p>
    <w:p>
      <w:pPr>
        <w:ind w:left="240" w:hanging="232"/>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 of 1,446 restricted Common Shares in April 2019 with a one year vesting period.</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type w:val="continuous"/>
        </w:sectPr>
      </w:pPr>
    </w:p>
    <w:bookmarkStart w:id="30" w:name="page31"/>
    <w:bookmarkEnd w:id="30"/>
    <w:p>
      <w:pPr>
        <w:ind w:left="400" w:hanging="392"/>
        <w:spacing w:after="0"/>
        <w:tabs>
          <w:tab w:leader="none" w:pos="4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an award of 3,083 restricted Common Shares in March 2021, vesting one-third on each of the following dates: March 15, 2022, March 15, 2023 and March</w:t>
      </w:r>
    </w:p>
    <w:p>
      <w:pPr>
        <w:spacing w:after="0" w:line="23" w:lineRule="exact"/>
        <w:rPr>
          <w:rFonts w:ascii="Times New Roman" w:cs="Times New Roman" w:eastAsia="Times New Roman" w:hAnsi="Times New Roman"/>
          <w:sz w:val="16"/>
          <w:szCs w:val="16"/>
          <w:color w:val="auto"/>
        </w:rPr>
      </w:pPr>
    </w:p>
    <w:p>
      <w:pPr>
        <w:ind w:left="440" w:right="24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2024; and 6,935 restricted Common Shares awarded in February 2021, vesting one-third on each of the following dates: February 15, 2022, February 15, 2023 and February 15, 2024.</w:t>
      </w:r>
    </w:p>
    <w:p>
      <w:pPr>
        <w:ind w:left="260" w:hanging="225"/>
        <w:spacing w:after="0"/>
        <w:tabs>
          <w:tab w:leader="none" w:pos="26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bonus for 2020 performance (awarded restricted Common Shares in February 2021 with a three (3) month vesting period).</w:t>
      </w:r>
    </w:p>
    <w:p>
      <w:pPr>
        <w:spacing w:after="0" w:line="8"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Leger received an award of 4,623 restricted Common Shares in February 2021 with one-third of the award vesting in each of 2021, 2023 and 2024.</w:t>
      </w:r>
    </w:p>
    <w:p>
      <w:pPr>
        <w:spacing w:after="0" w:line="15"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Nicolas Young, who was appointed to the Chief Risk Officer position in August 2021, entered into employment agreement with the Company on August 2, 2021 and</w:t>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was awarded $600,000 of restricted Common Shares</w:t>
      </w:r>
      <w:r>
        <w:rPr>
          <w:rFonts w:ascii="Times New Roman" w:cs="Times New Roman" w:eastAsia="Times New Roman" w:hAnsi="Times New Roman"/>
          <w:sz w:val="17"/>
          <w:szCs w:val="17"/>
          <w:color w:val="auto"/>
        </w:rPr>
        <w:t>.</w:t>
      </w:r>
    </w:p>
    <w:p>
      <w:pPr>
        <w:spacing w:after="0" w:line="19" w:lineRule="exact"/>
        <w:rPr>
          <w:sz w:val="20"/>
          <w:szCs w:val="20"/>
          <w:color w:val="auto"/>
        </w:rPr>
      </w:pPr>
    </w:p>
    <w:p>
      <w:pPr>
        <w:ind w:left="440" w:hanging="432"/>
        <w:spacing w:after="0"/>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Towers resigned from the Company effective February 5,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Plans &amp; Grants of Plan-Based Awards</w:t>
      </w:r>
    </w:p>
    <w:p>
      <w:pPr>
        <w:spacing w:after="0" w:line="14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April 27, 2015, the Nominating Committee and the Board of Directors approved the 2015 Stock Plan, subject to exemptive relief from the SEC and shareholder approval, in order to have increased flexibility to use restricted Common Shares, in addition to stock 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w:t>
      </w:r>
    </w:p>
    <w:p>
      <w:pPr>
        <w:spacing w:after="0" w:line="116" w:lineRule="exact"/>
        <w:rPr>
          <w:sz w:val="20"/>
          <w:szCs w:val="20"/>
          <w:color w:val="auto"/>
        </w:rPr>
      </w:pPr>
    </w:p>
    <w:p>
      <w:pPr>
        <w:ind w:right="180" w:firstLine="432"/>
        <w:spacing w:after="0" w:line="254" w:lineRule="auto"/>
        <w:rPr>
          <w:sz w:val="20"/>
          <w:szCs w:val="20"/>
          <w:color w:val="auto"/>
        </w:rPr>
      </w:pPr>
      <w:r>
        <w:rPr>
          <w:rFonts w:ascii="Times New Roman" w:cs="Times New Roman" w:eastAsia="Times New Roman" w:hAnsi="Times New Roman"/>
          <w:sz w:val="18"/>
          <w:szCs w:val="18"/>
          <w:color w:val="auto"/>
        </w:rPr>
        <w:t>Under the 2015 Stock Plan, a maximum of 20% of our total Common Shares issued and outstanding, calculated on a fully diluted basis, will be available for awards under the 2015 Stock Plan as of the Annual Meeting date. Up to 10% of our total issued and outstanding Common Shares will be available for grants of restricted Common Shares. We expect to have approximately 24,161,106 Common Shares outstanding on the date of the Annual Meeting. Therefore, there would be 3.0 million Common Shares available for grant pursuant to the 2015 Stock Plan. None of those shares are currently subject to stock options. Under the 2015 Stock Plan, no more than 50% of the Common Shares reserved for the grant of the awards under the 2015 Stock Plan (up to an aggregate of 3,000,000 shares) may be restricted Common Share awards at any time during the term of the 2015 Stock Plan. To date, the Nominating Committee has awarded 445,191 restricted Common Shares (net of forfeitures) to 112 employees. Therefore, after including accrued stock dividends and adding back the Common Shares withheld from awards upon vesting to satisfy recipient’s tax withholding obligations, approximately 1.1 million Common Shares would be available for additional grants of restricted Common Shares as of the Annual Meeting date.</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No more than 25% of our Common Shares may be made subject to awards under the 2015 Stock Plan to any individual. In the event that the Nominating Committee determines that any corporate event, such as a stock split, dividend or other distribution (including deemed dividends), reorganization, merger, consolidation, repurchase or share exchange, affects our Common Shares such that an adjustment is appropriate in order to prevent dilution or enlargement of the rights of 2015 Stock Plan participants, then the Nominating Committee will make those adjustments as it deems necessary or appropriate to any or all of (i) the number and kind of shares or other property that may thereafter be issued in connection with future awards, (ii) the number and kind of shares or other property that may be issued under outstanding awards, (iii) the exercise price or purchase price of any outstanding award and (iv) the performance goals applicable to outstanding awards.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 outstanding options under the 2015 Stock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at 2021 Year End</w:t>
      </w:r>
    </w:p>
    <w:p>
      <w:pPr>
        <w:spacing w:after="0" w:line="16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There were 256,747 outstanding equity awards as of December 31, 2021, including dividends paid on the outstanding equity awards in the form of additional restricted Common Shares, of which 148,489 were held by our NEOs.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outstanding option awards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422" w:right="379" w:bottom="1440" w:gutter="0" w:footer="0" w:header="0"/>
        </w:sectPr>
      </w:pPr>
    </w:p>
    <w:bookmarkStart w:id="31" w:name="page32"/>
    <w:bookmarkEnd w:id="31"/>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awards of restricted Common Shares held by our Named Executive Officers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218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Market Value of</w:t>
            </w:r>
          </w:p>
        </w:tc>
        <w:tc>
          <w:tcPr>
            <w:tcW w:w="20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 or Payout Value of</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2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 Units</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 Unearned Shares,</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192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of Stock</w:t>
            </w:r>
          </w:p>
        </w:tc>
        <w:tc>
          <w:tcPr>
            <w:tcW w:w="20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or Other Rights that have</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or Other Rights that</w:t>
            </w: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vMerge w:val="restart"/>
          </w:tcPr>
          <w:p>
            <w:pPr>
              <w:spacing w:after="0"/>
              <w:rPr>
                <w:sz w:val="14"/>
                <w:szCs w:val="14"/>
                <w:color w:val="auto"/>
              </w:rPr>
            </w:pPr>
          </w:p>
        </w:tc>
        <w:tc>
          <w:tcPr>
            <w:tcW w:w="1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1920" w:type="dxa"/>
            <w:vAlign w:val="bottom"/>
            <w:gridSpan w:val="3"/>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 Vested</w:t>
            </w:r>
          </w:p>
        </w:tc>
        <w:tc>
          <w:tcPr>
            <w:tcW w:w="2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not Vested</w:t>
            </w:r>
          </w:p>
        </w:tc>
        <w:tc>
          <w:tcPr>
            <w:tcW w:w="2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ind w:right="637"/>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9"/>
                <w:szCs w:val="9"/>
                <w:b w:val="1"/>
                <w:bCs w:val="1"/>
                <w:color w:val="auto"/>
                <w:w w:val="99"/>
              </w:rPr>
              <w:t>(7)</w:t>
            </w:r>
          </w:p>
        </w:tc>
        <w:tc>
          <w:tcPr>
            <w:tcW w:w="1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858"/>
              <w:spacing w:after="0" w:line="216" w:lineRule="exact"/>
              <w:rPr>
                <w:sz w:val="20"/>
                <w:szCs w:val="20"/>
                <w:color w:val="auto"/>
              </w:rPr>
            </w:pPr>
            <w:r>
              <w:rPr>
                <w:rFonts w:ascii="Times New Roman" w:cs="Times New Roman" w:eastAsia="Times New Roman" w:hAnsi="Times New Roman"/>
                <w:sz w:val="25"/>
                <w:szCs w:val="25"/>
                <w:b w:val="1"/>
                <w:bCs w:val="1"/>
                <w:color w:val="auto"/>
                <w:w w:val="93"/>
                <w:vertAlign w:val="subscript"/>
              </w:rPr>
              <w:t>)</w:t>
            </w:r>
            <w:r>
              <w:rPr>
                <w:rFonts w:ascii="Times New Roman" w:cs="Times New Roman" w:eastAsia="Times New Roman" w:hAnsi="Times New Roman"/>
                <w:sz w:val="8"/>
                <w:szCs w:val="8"/>
                <w:b w:val="1"/>
                <w:bCs w:val="1"/>
                <w:color w:val="auto"/>
                <w:w w:val="93"/>
              </w:rPr>
              <w:t>(7)</w:t>
            </w:r>
          </w:p>
        </w:tc>
        <w:tc>
          <w:tcPr>
            <w:tcW w:w="0" w:type="dxa"/>
            <w:vAlign w:val="bottom"/>
          </w:tcPr>
          <w:p>
            <w:pPr>
              <w:spacing w:after="0"/>
              <w:rPr>
                <w:sz w:val="1"/>
                <w:szCs w:val="1"/>
                <w:color w:val="auto"/>
              </w:rPr>
            </w:pPr>
          </w:p>
        </w:tc>
      </w:tr>
      <w:tr>
        <w:trPr>
          <w:trHeight w:val="26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83,218</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2,213,599</w:t>
            </w: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99,313</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2,641,719</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3"/>
                <w:szCs w:val="23"/>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307,443</w:t>
            </w:r>
          </w:p>
        </w:tc>
        <w:tc>
          <w:tcPr>
            <w:tcW w:w="1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80" w:type="dxa"/>
            <w:vAlign w:val="bottom"/>
          </w:tcPr>
          <w:p>
            <w:pPr>
              <w:spacing w:after="0"/>
              <w:rPr>
                <w:sz w:val="23"/>
                <w:szCs w:val="23"/>
                <w:color w:val="auto"/>
              </w:rPr>
            </w:pP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366,892</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A Schwartz</w:t>
            </w:r>
            <w:r>
              <w:rPr>
                <w:rFonts w:ascii="Times New Roman" w:cs="Times New Roman" w:eastAsia="Times New Roman" w:hAnsi="Times New Roman"/>
                <w:sz w:val="23"/>
                <w:szCs w:val="23"/>
                <w:color w:val="auto"/>
                <w:vertAlign w:val="superscript"/>
              </w:rPr>
              <w:t>(3)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266,479</w:t>
            </w: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318,015</w:t>
            </w:r>
          </w:p>
        </w:tc>
        <w:tc>
          <w:tcPr>
            <w:tcW w:w="0" w:type="dxa"/>
            <w:vAlign w:val="bottom"/>
          </w:tcPr>
          <w:p>
            <w:pPr>
              <w:spacing w:after="0"/>
              <w:rPr>
                <w:sz w:val="1"/>
                <w:szCs w:val="1"/>
                <w:color w:val="auto"/>
              </w:rPr>
            </w:pPr>
          </w:p>
        </w:tc>
      </w:tr>
      <w:tr>
        <w:trPr>
          <w:trHeight w:val="27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Nicholas Leger</w:t>
            </w:r>
            <w:r>
              <w:rPr>
                <w:rFonts w:ascii="Times New Roman" w:cs="Times New Roman" w:eastAsia="Times New Roman" w:hAnsi="Times New Roman"/>
                <w:sz w:val="23"/>
                <w:szCs w:val="23"/>
                <w:color w:val="auto"/>
                <w:vertAlign w:val="superscript"/>
              </w:rPr>
              <w:t>(4)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81,981</w:t>
            </w:r>
          </w:p>
        </w:tc>
        <w:tc>
          <w:tcPr>
            <w:tcW w:w="1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80" w:type="dxa"/>
            <w:vAlign w:val="bottom"/>
          </w:tcPr>
          <w:p>
            <w:pPr>
              <w:spacing w:after="0"/>
              <w:rPr>
                <w:sz w:val="23"/>
                <w:szCs w:val="23"/>
                <w:color w:val="auto"/>
              </w:rPr>
            </w:pP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97,815</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23"/>
                <w:szCs w:val="23"/>
                <w:color w:val="auto"/>
                <w:vertAlign w:val="superscript"/>
              </w:rPr>
              <w:t>(5)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457,440</w:t>
            </w: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525,353</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Former NEO</w:t>
            </w:r>
          </w:p>
        </w:tc>
        <w:tc>
          <w:tcPr>
            <w:tcW w:w="2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Towers</w:t>
            </w:r>
            <w:r>
              <w:rPr>
                <w:rFonts w:ascii="Times New Roman" w:cs="Times New Roman" w:eastAsia="Times New Roman" w:hAnsi="Times New Roman"/>
                <w:sz w:val="23"/>
                <w:szCs w:val="23"/>
                <w:color w:val="auto"/>
                <w:vertAlign w:val="superscript"/>
              </w:rPr>
              <w:t>(6)</w:t>
            </w:r>
          </w:p>
        </w:tc>
        <w:tc>
          <w:tcPr>
            <w:tcW w:w="26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3120" w:type="dxa"/>
            <w:vAlign w:val="bottom"/>
          </w:tcPr>
          <w:p>
            <w:pPr>
              <w:jc w:val="right"/>
              <w:ind w:right="2116"/>
              <w:spacing w:after="0"/>
              <w:rPr>
                <w:sz w:val="20"/>
                <w:szCs w:val="20"/>
                <w:color w:val="auto"/>
              </w:rPr>
            </w:pPr>
            <w:r>
              <w:rPr>
                <w:rFonts w:ascii="Times New Roman" w:cs="Times New Roman" w:eastAsia="Times New Roman" w:hAnsi="Times New Roman"/>
                <w:sz w:val="14"/>
                <w:szCs w:val="14"/>
                <w:color w:val="auto"/>
              </w:rPr>
              <w:t>____________</w:t>
            </w:r>
          </w:p>
        </w:tc>
        <w:tc>
          <w:tcPr>
            <w:tcW w:w="2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72" w:lineRule="exact"/>
        <w:rPr>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Sloane received an award of 83,217 restricted Common Shares in February 2021 with one-third of the award vesting in each of 2022, 2023 and 2024.</w:t>
      </w:r>
    </w:p>
    <w:p>
      <w:pPr>
        <w:spacing w:after="0" w:line="26"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Downs received an award of 11,558 restricted Common Shares in February 2021 with one-third of the award vesting in each of 2022, 2023 and 2024.</w:t>
      </w:r>
    </w:p>
    <w:p>
      <w:pPr>
        <w:spacing w:after="0" w:line="15" w:lineRule="exact"/>
        <w:rPr>
          <w:rFonts w:ascii="Times New Roman" w:cs="Times New Roman" w:eastAsia="Times New Roman" w:hAnsi="Times New Roman"/>
          <w:sz w:val="16"/>
          <w:szCs w:val="16"/>
          <w:color w:val="auto"/>
        </w:rPr>
      </w:pPr>
    </w:p>
    <w:p>
      <w:pPr>
        <w:ind w:left="440" w:right="340" w:hanging="432"/>
        <w:spacing w:after="0" w:line="255" w:lineRule="auto"/>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Schwartz received an award of 6,935 restricted Common Shares in February 2021 with one-third of the award vesting in each of 2022, 2023 and 2024 and an award of 3,083 restricted Common Shares in March 2021 with one-third of the award vesting in each of 2022, 2023 and 2024.</w:t>
      </w:r>
    </w:p>
    <w:p>
      <w:pPr>
        <w:ind w:left="440" w:hanging="432"/>
        <w:spacing w:after="0"/>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Leger received an award of 4,623 restricted Common Shares in February 2021 with one-third of the award vesting in each of 2021, 2023 and 2024.</w:t>
      </w:r>
    </w:p>
    <w:p>
      <w:pPr>
        <w:spacing w:after="0" w:line="5"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Young received an award of 17,197 restricted Common Shares in August 2021 with one-third of the award vesting in each of 2022, 2023 and 2024.</w:t>
      </w:r>
    </w:p>
    <w:p>
      <w:pPr>
        <w:spacing w:after="0" w:line="8"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Towers resigned from the Company effective February 5, 2021.</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Shares of $26.40 on April 25,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Options Exercised and Stock Vested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options were exercised in 2021. The number of restricted Common Shares held by the NEOs that vested in the fiscal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are set forth in the table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3"/>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1400" w:type="dxa"/>
            <w:vAlign w:val="bottom"/>
          </w:tcPr>
          <w:p>
            <w:pPr>
              <w:jc w:val="center"/>
              <w:ind w:right="293"/>
              <w:spacing w:after="0" w:line="158" w:lineRule="exact"/>
              <w:rPr>
                <w:sz w:val="20"/>
                <w:szCs w:val="20"/>
                <w:color w:val="auto"/>
              </w:rPr>
            </w:pPr>
            <w:r>
              <w:rPr>
                <w:rFonts w:ascii="Times New Roman" w:cs="Times New Roman" w:eastAsia="Times New Roman" w:hAnsi="Times New Roman"/>
                <w:sz w:val="16"/>
                <w:szCs w:val="16"/>
                <w:b w:val="1"/>
                <w:bCs w:val="1"/>
                <w:color w:val="auto"/>
                <w:w w:val="99"/>
              </w:rPr>
              <w:t>Value realized</w:t>
            </w:r>
          </w:p>
        </w:tc>
        <w:tc>
          <w:tcPr>
            <w:tcW w:w="160" w:type="dxa"/>
            <w:vAlign w:val="bottom"/>
          </w:tcPr>
          <w:p>
            <w:pPr>
              <w:spacing w:after="0"/>
              <w:rPr>
                <w:sz w:val="13"/>
                <w:szCs w:val="13"/>
                <w:color w:val="auto"/>
              </w:rPr>
            </w:pPr>
          </w:p>
        </w:tc>
        <w:tc>
          <w:tcPr>
            <w:tcW w:w="21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Value realized on vesting</w:t>
            </w:r>
          </w:p>
        </w:tc>
        <w:tc>
          <w:tcPr>
            <w:tcW w:w="0" w:type="dxa"/>
            <w:vAlign w:val="bottom"/>
          </w:tcPr>
          <w:p>
            <w:pPr>
              <w:spacing w:after="0"/>
              <w:rPr>
                <w:sz w:val="1"/>
                <w:szCs w:val="1"/>
                <w:color w:val="auto"/>
              </w:rPr>
            </w:pPr>
          </w:p>
        </w:tc>
      </w:tr>
      <w:tr>
        <w:trPr>
          <w:trHeight w:val="162"/>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vMerge w:val="restart"/>
          </w:tcPr>
          <w:p>
            <w:pPr>
              <w:spacing w:after="0"/>
              <w:rPr>
                <w:sz w:val="14"/>
                <w:szCs w:val="14"/>
                <w:color w:val="auto"/>
              </w:rPr>
            </w:pPr>
          </w:p>
        </w:tc>
        <w:tc>
          <w:tcPr>
            <w:tcW w:w="2520" w:type="dxa"/>
            <w:vAlign w:val="bottom"/>
            <w:gridSpan w:val="3"/>
          </w:tcPr>
          <w:p>
            <w:pPr>
              <w:jc w:val="center"/>
              <w:ind w:right="560"/>
              <w:spacing w:after="0" w:line="162" w:lineRule="exact"/>
              <w:rPr>
                <w:sz w:val="20"/>
                <w:szCs w:val="20"/>
                <w:color w:val="auto"/>
              </w:rPr>
            </w:pPr>
            <w:r>
              <w:rPr>
                <w:rFonts w:ascii="Times New Roman" w:cs="Times New Roman" w:eastAsia="Times New Roman" w:hAnsi="Times New Roman"/>
                <w:sz w:val="16"/>
                <w:szCs w:val="16"/>
                <w:b w:val="1"/>
                <w:bCs w:val="1"/>
                <w:color w:val="auto"/>
              </w:rPr>
              <w:t>on exercise</w:t>
            </w:r>
          </w:p>
        </w:tc>
        <w:tc>
          <w:tcPr>
            <w:tcW w:w="1560" w:type="dxa"/>
            <w:vAlign w:val="bottom"/>
            <w:gridSpan w:val="2"/>
          </w:tcPr>
          <w:p>
            <w:pPr>
              <w:jc w:val="center"/>
              <w:ind w:right="5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on exercise</w:t>
            </w:r>
          </w:p>
        </w:tc>
        <w:tc>
          <w:tcPr>
            <w:tcW w:w="2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on vesting</w:t>
            </w: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900" w:type="dxa"/>
            <w:vAlign w:val="bottom"/>
            <w:tcBorders>
              <w:bottom w:val="single" w:sz="8" w:color="auto"/>
            </w:tcBorders>
          </w:tcPr>
          <w:p>
            <w:pPr>
              <w:jc w:val="right"/>
              <w:ind w:right="656"/>
              <w:spacing w:after="0" w:line="216" w:lineRule="exact"/>
              <w:rPr>
                <w:sz w:val="20"/>
                <w:szCs w:val="20"/>
                <w:color w:val="auto"/>
              </w:rPr>
            </w:pPr>
            <w:r>
              <w:rPr>
                <w:rFonts w:ascii="Times New Roman" w:cs="Times New Roman" w:eastAsia="Times New Roman" w:hAnsi="Times New Roman"/>
                <w:sz w:val="25"/>
                <w:szCs w:val="25"/>
                <w:b w:val="1"/>
                <w:bCs w:val="1"/>
                <w:color w:val="auto"/>
                <w:w w:val="86"/>
                <w:vertAlign w:val="subscript"/>
              </w:rPr>
              <w:t>)</w:t>
            </w:r>
            <w:r>
              <w:rPr>
                <w:rFonts w:ascii="Times New Roman" w:cs="Times New Roman" w:eastAsia="Times New Roman" w:hAnsi="Times New Roman"/>
                <w:sz w:val="9"/>
                <w:szCs w:val="9"/>
                <w:b w:val="1"/>
                <w:bCs w:val="1"/>
                <w:color w:val="auto"/>
                <w:w w:val="86"/>
              </w:rPr>
              <w:t>(4)</w:t>
            </w:r>
          </w:p>
        </w:tc>
        <w:tc>
          <w:tcPr>
            <w:tcW w:w="0" w:type="dxa"/>
            <w:vAlign w:val="bottom"/>
          </w:tcPr>
          <w:p>
            <w:pPr>
              <w:spacing w:after="0"/>
              <w:rPr>
                <w:sz w:val="1"/>
                <w:szCs w:val="1"/>
                <w:color w:val="auto"/>
              </w:rPr>
            </w:pPr>
          </w:p>
        </w:tc>
      </w:tr>
      <w:tr>
        <w:trPr>
          <w:trHeight w:val="25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 Sloane</w:t>
            </w:r>
          </w:p>
        </w:tc>
        <w:tc>
          <w:tcPr>
            <w:tcW w:w="252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Downs</w:t>
            </w:r>
          </w:p>
        </w:tc>
        <w:tc>
          <w:tcPr>
            <w:tcW w:w="25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23"/>
                <w:szCs w:val="23"/>
                <w:color w:val="auto"/>
                <w:vertAlign w:val="superscript"/>
              </w:rPr>
              <w:t>(1)</w:t>
            </w:r>
          </w:p>
        </w:tc>
        <w:tc>
          <w:tcPr>
            <w:tcW w:w="252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65,666</w:t>
            </w: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Nicholas Leger</w:t>
            </w:r>
            <w:r>
              <w:rPr>
                <w:rFonts w:ascii="Times New Roman" w:cs="Times New Roman" w:eastAsia="Times New Roman" w:hAnsi="Times New Roman"/>
                <w:sz w:val="23"/>
                <w:szCs w:val="23"/>
                <w:color w:val="auto"/>
                <w:vertAlign w:val="superscript"/>
              </w:rPr>
              <w:t>(2)</w:t>
            </w:r>
          </w:p>
        </w:tc>
        <w:tc>
          <w:tcPr>
            <w:tcW w:w="252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43,768</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Young</w:t>
            </w:r>
          </w:p>
        </w:tc>
        <w:tc>
          <w:tcPr>
            <w:tcW w:w="252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Former NEO</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Towers</w:t>
            </w:r>
            <w:r>
              <w:rPr>
                <w:rFonts w:ascii="Times New Roman" w:cs="Times New Roman" w:eastAsia="Times New Roman" w:hAnsi="Times New Roman"/>
                <w:sz w:val="23"/>
                <w:szCs w:val="23"/>
                <w:color w:val="auto"/>
                <w:vertAlign w:val="superscript"/>
              </w:rPr>
              <w:t>(3)</w:t>
            </w:r>
          </w:p>
        </w:tc>
        <w:tc>
          <w:tcPr>
            <w:tcW w:w="2520" w:type="dxa"/>
            <w:vAlign w:val="bottom"/>
            <w:gridSpan w:val="3"/>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99"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Schwartz received an award of 2,312 restricted Common Shares in February 2021 vesting in April 2021.</w:t>
      </w:r>
    </w:p>
    <w:p>
      <w:pPr>
        <w:spacing w:after="0" w:line="23"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Leger received an award of 4,623 restricted Common Shares in February 2021 with one-third of the award vesting in each of 2021,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25"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Towers resigned from the Company effective February 5, 2021.</w:t>
      </w:r>
    </w:p>
    <w:p>
      <w:pPr>
        <w:spacing w:after="0" w:line="23"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Shares of $27.88 on April 30,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148"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 Company entered into separate employment agreements with the following NEOs during 2021 (each, an “Employment Agreement” and collectively, the “Employment Agreements”):</w:t>
      </w:r>
    </w:p>
    <w:p>
      <w:pPr>
        <w:spacing w:after="0" w:line="94" w:lineRule="exact"/>
        <w:rPr>
          <w:sz w:val="20"/>
          <w:szCs w:val="20"/>
          <w:color w:val="auto"/>
        </w:rPr>
      </w:pPr>
    </w:p>
    <w:p>
      <w:pPr>
        <w:ind w:left="860" w:hanging="420"/>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Sloane, as Chairman, Chief Executive Officer and President;</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Downs, as Chief Lending Officer and President of Newtek Small Business Finance, LLC;</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Schwartz, as Chief Legal Officer, Chief Compliance Officer and Corporate Secretary;</w:t>
      </w:r>
    </w:p>
    <w:p>
      <w:pPr>
        <w:sectPr>
          <w:pgSz w:w="11900" w:h="16838" w:orient="portrait"/>
          <w:cols w:equalWidth="0" w:num="1">
            <w:col w:w="11220"/>
          </w:cols>
          <w:pgMar w:left="320" w:top="1440" w:right="35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Nicholas Leger, as Chief Accounting Officer and Executive Vice President; and</w:t>
      </w:r>
    </w:p>
    <w:p>
      <w:pPr>
        <w:spacing w:after="0" w:line="38" w:lineRule="exact"/>
        <w:rPr>
          <w:sz w:val="20"/>
          <w:szCs w:val="20"/>
          <w:color w:val="auto"/>
        </w:rPr>
      </w:pPr>
    </w:p>
    <w:p>
      <w:pPr>
        <w:sectPr>
          <w:pgSz w:w="11900" w:h="16838" w:orient="portrait"/>
          <w:cols w:equalWidth="0" w:num="2">
            <w:col w:w="120" w:space="320"/>
            <w:col w:w="1078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40" w:right="359" w:bottom="1440" w:gutter="0" w:footer="0" w:header="0"/>
          <w:type w:val="continuous"/>
        </w:sectPr>
      </w:pPr>
    </w:p>
    <w:p>
      <w:pPr>
        <w:spacing w:after="0" w:line="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Nicolas Young, as Chief Risk Officer.</w:t>
      </w:r>
    </w:p>
    <w:p>
      <w:pPr>
        <w:spacing w:after="0" w:line="139"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Mr. Sloane’s, Mr. Down’s, Mr. Schwartz’s and Mr. Leger’s employment agreements were renewed as of March 1, 2022 for terms through March 1, 2023, at annual base salaries of $700,000, $550,000, $400,000 and $325,000, respectively. Nicolas Young, who was appointed to the Chief Risk Officer position in August 2021, entered into employment agreement with the Company on August 2, 2021 for a term through August 2, 2022 at an annual salary of $500,000 and was awarded $600,000 of restricted Common Shares. Aside from base salaries, the other terms and provisions of Mr. Sloane’s, Mr. Down’s, Mr. Leger’s and Mr. Schwartz’s employment agreements remained substantially the same.</w:t>
      </w:r>
    </w:p>
    <w:p>
      <w:pPr>
        <w:spacing w:after="0" w:line="11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Generally, under the Employment Agreements, Messrs. Sloane, Schwartz, Leger, Young and Downs were entitled to a set base compensation, cash bonuses pursuant to the Company’s Annual Cash Bonus Plan or by the action of the Board of Directors, and incentive compensation at the discretion of the Nominating Committee. In addition, Messrs. Sloane, Schwartz, Leger, Young and Downs are entitled to other benefits, such as participation in retirement and medical and other plans, executive benefits, and vacation and sick leave available to all employees of the Company. The Employment Agreements also provide for severance payments in the case of termination without just cause, as defined therein, or of resignation with good reason, as defined therein, and payment if their Employment Agreements are not renewed for other than just cause. Under the Employment Agreements, during the term of their employment, Messrs. Schwartz, Downs, Leger, Young and Sloane agree to devote substantially all of their business time to the Company and to not engage in any business or activity contrary to the business or affairs of the Company. The Company agrees to indemnify Messrs. Downs, Schwartz, Leger, Young and Sloane for any and all loss, expenses, or liability that he may incur as a result of his services for the Company to the extent permitted by the Company’s Bylaws.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Mr. Sloane’s Employment Agreement provided for:</w:t>
      </w:r>
    </w:p>
    <w:p>
      <w:pPr>
        <w:spacing w:after="0" w:line="158" w:lineRule="exact"/>
        <w:rPr>
          <w:sz w:val="20"/>
          <w:szCs w:val="20"/>
          <w:color w:val="auto"/>
        </w:rPr>
      </w:pPr>
    </w:p>
    <w:p>
      <w:pPr>
        <w:ind w:left="860" w:hanging="420"/>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March 15, 2022 at an annual base salary of $700,000;</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57" w:lineRule="exact"/>
        <w:rPr>
          <w:rFonts w:ascii="Times New Roman" w:cs="Times New Roman" w:eastAsia="Times New Roman" w:hAnsi="Times New Roman"/>
          <w:sz w:val="18"/>
          <w:szCs w:val="18"/>
          <w:color w:val="auto"/>
        </w:rPr>
      </w:pPr>
    </w:p>
    <w:p>
      <w:pPr>
        <w:ind w:left="440" w:right="4540"/>
        <w:spacing w:after="0" w:line="414" w:lineRule="auto"/>
        <w:tabs>
          <w:tab w:leader="none" w:pos="8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 Mr. Downs’ Employment Agreement provided for:</w:t>
      </w:r>
    </w:p>
    <w:p>
      <w:pPr>
        <w:spacing w:after="0" w:line="1"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March 15, 2022 at an annual base salary of $550,000;</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40" w:right="359" w:bottom="1440" w:gutter="0" w:footer="0" w:header="0"/>
          <w:type w:val="continuous"/>
        </w:sectPr>
      </w:pPr>
    </w:p>
    <w:bookmarkStart w:id="33" w:name="page34"/>
    <w:bookmarkEnd w:id="33"/>
    <w:p>
      <w:pPr>
        <w:spacing w:after="0" w:line="126" w:lineRule="exact"/>
        <w:rPr>
          <w:sz w:val="20"/>
          <w:szCs w:val="20"/>
          <w:color w:val="auto"/>
        </w:rPr>
      </w:pPr>
    </w:p>
    <w:p>
      <w:pPr>
        <w:ind w:left="440" w:right="4540"/>
        <w:spacing w:after="0" w:line="414"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 Mr. Schwartz’s Employment Agreement provided for:</w:t>
      </w:r>
    </w:p>
    <w:p>
      <w:pPr>
        <w:spacing w:after="0" w:line="1"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March 15, 2022 at an annual base salary of $360,000;</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57" w:lineRule="exact"/>
        <w:rPr>
          <w:rFonts w:ascii="Times New Roman" w:cs="Times New Roman" w:eastAsia="Times New Roman" w:hAnsi="Times New Roman"/>
          <w:sz w:val="18"/>
          <w:szCs w:val="18"/>
          <w:color w:val="auto"/>
        </w:rPr>
      </w:pPr>
    </w:p>
    <w:p>
      <w:pPr>
        <w:ind w:left="440" w:right="4540"/>
        <w:spacing w:after="0" w:line="414"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 Mr. Leger’s Employment Agreement provided for:</w:t>
      </w:r>
    </w:p>
    <w:p>
      <w:pPr>
        <w:spacing w:after="0" w:line="1"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March 15, 2022 at an annual base salary of $275,000;</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44" w:lineRule="exact"/>
        <w:rPr>
          <w:rFonts w:ascii="Times New Roman" w:cs="Times New Roman" w:eastAsia="Times New Roman" w:hAnsi="Times New Roman"/>
          <w:sz w:val="18"/>
          <w:szCs w:val="18"/>
          <w:color w:val="auto"/>
        </w:rPr>
      </w:pPr>
    </w:p>
    <w:p>
      <w:pPr>
        <w:ind w:left="440" w:right="4540"/>
        <w:spacing w:after="0" w:line="422"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 Mr. Young’s Employment Agreement provided for:</w:t>
      </w:r>
    </w:p>
    <w:p>
      <w:pPr>
        <w:spacing w:after="0" w:line="1"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twelve-month term through August 2, 2022 at an annual base salary of $500,000;</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of $600,000 of restricted Common Shares with three year vesting;</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Change of Control, Non-renewal or Termination</w:t>
      </w:r>
    </w:p>
    <w:p>
      <w:pPr>
        <w:spacing w:after="0" w:line="16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Mr. Sloane’s Employment Agreement provided for a payment in the event of non-renewal of his employment in an amount equal to one (1.0) times the sum of his annual base compensation plus any cash bonus or other incentive compensation paid in the immediately preceding fiscal year, or in the case of a change of control or termination other than for just cause, an amount equal to two (2) times the sum of the his annual base salary in effect at the time of termination, plus the amount of any incentive compensation paid with respect to the immediately preceding fiscal year. The Company’s proposal to convert to a bank holding company would not qualify as a change of control under the terms of Mr. Sloane’s Employment Agreement. In addition, in the case of termination other than for just cause, all outstanding and unvested equity awards are to be accelerated in full.</w:t>
      </w:r>
    </w:p>
    <w:p>
      <w:pPr>
        <w:spacing w:after="0" w:line="10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Messrs. Downs’, Schwartz’ and Leger’s Employment Agreements provided for a payment in the case of termination other than for just cause or a change in control, equal to one (1.0) times the sum of their current annual base compensation plus any cash bonuses or other incentive compensation paid in the prior year. In addition, in the case of termination other than for cause, all outstanding and unvested equity awards are to be accelerated in full. In addition, in the event of non-renewal of their employment agreements, Messrs. Downs, Leger and Schwartz would be entitled to amounts equal to 50% of the sum of their respective current annual base compensation plus any cash bonus or other incentive compensation paid in the immediately preceding fiscal year.</w:t>
      </w:r>
    </w:p>
    <w:p>
      <w:pPr>
        <w:spacing w:after="0" w:line="21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Mr. Young’s Employment Agreement provides for a payment in the case of termination other than for just cause or a change in control, equal to one (1.0) times his annual base compensation. In addition, in the case of termination other than for cause, 50% of all outstanding and unvested equity awards are to be accelerated. In addition, in the event of non-renewal of his Employment Agreement, Mr. Young would be entitled to an amount equal to 100% of his annual base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26"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Each Employment Agreement contained a non-competition provision that requires Messrs. Sloane, Schwartz, Leger, Young and Downs to devote substantially their full business time and efforts to the performance of their duties under the Employment Agreements.</w:t>
      </w:r>
    </w:p>
    <w:p>
      <w:pPr>
        <w:spacing w:after="0" w:line="81"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Messrs. Sloane, Schwartz, Leger, Young and Downs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08"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Under each of the Employment Agreements, the Company may terminate Messrs. Sloane, Schwartz, Leger, Young or Downs employment for “just cause” as defined in the respective Employment Agreement, and upon the termination, no severance benefits are available. If Messrs. Sloane, Schwartz, Leger, Young or Downs voluntarily terminates his employment for “good reason” as defined in the Employment Agreement, the executive is entitled to the same payment as in the case of termination other than for cause. If the executive’s employment terminates during the term of the agreement due to death, disability, or retirement after age 62, the executive shall receive only his compensation, vested rights, and executive benefits up to the date of executive’s last day of employment. The executive is able to terminate voluntarily his agreement by providing prior written notice to the Board of Directors, in which case the executive is entitled to receive only his compensation, vested rights and benefits up to the date of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 Termination Payments</w:t>
      </w:r>
    </w:p>
    <w:p>
      <w:pPr>
        <w:spacing w:after="0" w:line="162"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table below reflects the amount of compensation that would have been payable to the executive officers under these arrangements if the hypothetical termination of employment events described above had occurred on December 31, 2021, given their compensation and service levels as of such date. All payments are payable by the Company in a lump sum unless otherwise noted.</w:t>
      </w:r>
    </w:p>
    <w:p>
      <w:pPr>
        <w:spacing w:after="0" w:line="9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Nominating Committee deems appropriate.</w:t>
      </w:r>
    </w:p>
    <w:p>
      <w:pPr>
        <w:spacing w:after="0" w:line="11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actual amounts that would be paid upon Mr. Sloane’s termination of employment can be determined only at the time of his separation from the Company.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Post Termination Payments</w:t>
            </w: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63"/>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Change in Control</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Non-Renewal</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Termination without cause</w:t>
            </w:r>
          </w:p>
        </w:tc>
      </w:tr>
      <w:tr>
        <w:trPr>
          <w:trHeight w:val="25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2021 NEOs</w:t>
            </w:r>
          </w:p>
        </w:tc>
        <w:tc>
          <w:tcPr>
            <w:tcW w:w="38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r>
      <w:tr>
        <w:trPr>
          <w:trHeight w:val="27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Barry Sloane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8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p>
        </w:tc>
      </w:tr>
      <w:tr>
        <w:trPr>
          <w:trHeight w:val="2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Downs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7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Schwartz</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8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Leger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Nicolas Young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did not have any nonqualified deferred compensation in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no obligation under pension benefit plans to the Named Executive Officers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60"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with the exception of Mr. Sloane,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4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Beginning on January 1, 2006, the Company began accounting for stock-based payments under its three incentive stock plans in accordance with the requirements of ASC Topic — 718.</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A VOTE FOR THE PROPOSAL TO ELECT EACH OF THE DIRECTORS OF THE COMPANY AS DESCRIBED ABOVE IS IN THE BEST INTEREST OF OUR SHAREHOLDERS AND RECOMMENDS A VOTE “FOR” EACH OF THE DIRECTORS INCLUDED IN SUCH PROPOSAL</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II — RATIFICATION OF INDEPENDENT AUDITORS</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and our non-interested directors, has reappointed RSM as our independent accountants to audit our consolidated financial statements for the fiscal year ending December 31, 2022, and the Audit Committee has asked that this selection be ratified by our shareholders.</w:t>
      </w:r>
    </w:p>
    <w:p>
      <w:pPr>
        <w:spacing w:after="0" w:line="108" w:lineRule="exact"/>
        <w:rPr>
          <w:sz w:val="20"/>
          <w:szCs w:val="20"/>
          <w:color w:val="auto"/>
        </w:rPr>
      </w:pPr>
    </w:p>
    <w:p>
      <w:pPr>
        <w:ind w:right="60" w:firstLine="432"/>
        <w:spacing w:after="0" w:line="272" w:lineRule="auto"/>
        <w:rPr>
          <w:sz w:val="20"/>
          <w:szCs w:val="20"/>
          <w:color w:val="auto"/>
        </w:rPr>
      </w:pPr>
      <w:r>
        <w:rPr>
          <w:rFonts w:ascii="Times New Roman" w:cs="Times New Roman" w:eastAsia="Times New Roman" w:hAnsi="Times New Roman"/>
          <w:sz w:val="17"/>
          <w:szCs w:val="17"/>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w:t>
      </w:r>
    </w:p>
    <w:p>
      <w:pPr>
        <w:spacing w:after="0" w:line="2" w:lineRule="exact"/>
        <w:rPr>
          <w:sz w:val="20"/>
          <w:szCs w:val="20"/>
          <w:color w:val="auto"/>
        </w:rPr>
      </w:pPr>
    </w:p>
    <w:p>
      <w:pPr>
        <w:ind w:right="540" w:firstLine="8"/>
        <w:spacing w:after="0" w:line="260" w:lineRule="auto"/>
        <w:tabs>
          <w:tab w:leader="none" w:pos="3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304(a)(1)(v), respectively, of Regulation S-K promulgated under the Exchange Act. RSM has advised us that neither the firm nor any present member or associate of it has any material financial interest, direct or indirect, in us or our affiliates.</w:t>
      </w:r>
    </w:p>
    <w:p>
      <w:pPr>
        <w:spacing w:after="0" w:line="10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Annual Meeting. They will have an opportunity to make a statement if they so desire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right="320" w:firstLine="432"/>
        <w:spacing w:after="0" w:line="258" w:lineRule="auto"/>
        <w:rPr>
          <w:sz w:val="20"/>
          <w:szCs w:val="20"/>
          <w:color w:val="auto"/>
        </w:rPr>
      </w:pPr>
      <w:r>
        <w:rPr>
          <w:rFonts w:ascii="Times New Roman" w:cs="Times New Roman" w:eastAsia="Times New Roman" w:hAnsi="Times New Roman"/>
          <w:sz w:val="18"/>
          <w:szCs w:val="18"/>
          <w:color w:val="auto"/>
        </w:rPr>
        <w:t>The ratification of the selection of RSM as our independent accountants for the fiscal year ending December 31, 2022 will require the affirmative vote of the holders of a majority of the outstanding Common Shares voted at the Annual Meeting, electronically via the live webcast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2022, but the Audit Committee is not bound by the outcome of the vote.</w:t>
      </w:r>
    </w:p>
    <w:p>
      <w:pPr>
        <w:spacing w:after="0" w:line="112"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A VOTE FOR THE PROPOSAL TO RATIFY THE SELECTION OF THE INDEPENDENT AUDITORS AS DESCRIBED ABOVE IS IN THE BEST INTERESTS OF OUR SHAREHOLDERS AND RECOMMENDS A VOTE “FOR” SUCH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986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 2021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fees</w:t>
            </w:r>
          </w:p>
        </w:tc>
        <w:tc>
          <w:tcPr>
            <w:tcW w:w="8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70"/>
        </w:trPr>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related fees</w:t>
            </w:r>
          </w:p>
        </w:tc>
        <w:tc>
          <w:tcPr>
            <w:tcW w:w="8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fees</w:t>
            </w:r>
          </w:p>
        </w:tc>
        <w:tc>
          <w:tcPr>
            <w:tcW w:w="8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0"/>
        </w:trPr>
        <w:tc>
          <w:tcPr>
            <w:tcW w:w="9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All other fees</w:t>
            </w:r>
          </w:p>
        </w:tc>
        <w:tc>
          <w:tcPr>
            <w:tcW w:w="8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9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fees</w:t>
            </w:r>
          </w:p>
        </w:tc>
        <w:tc>
          <w:tcPr>
            <w:tcW w:w="8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 2020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fees</w:t>
            </w:r>
          </w:p>
        </w:tc>
        <w:tc>
          <w:tcPr>
            <w:tcW w:w="7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70"/>
        </w:trPr>
        <w:tc>
          <w:tcPr>
            <w:tcW w:w="9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related fees</w:t>
            </w:r>
          </w:p>
        </w:tc>
        <w:tc>
          <w:tcPr>
            <w:tcW w:w="7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fees</w:t>
            </w:r>
          </w:p>
        </w:tc>
        <w:tc>
          <w:tcPr>
            <w:tcW w:w="7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0"/>
        </w:trPr>
        <w:tc>
          <w:tcPr>
            <w:tcW w:w="9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All other fees</w:t>
            </w:r>
          </w:p>
        </w:tc>
        <w:tc>
          <w:tcPr>
            <w:tcW w:w="7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9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fees</w:t>
            </w: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bl>
    <w:p>
      <w:pPr>
        <w:spacing w:after="0" w:line="209" w:lineRule="exact"/>
        <w:rPr>
          <w:sz w:val="20"/>
          <w:szCs w:val="20"/>
          <w:color w:val="auto"/>
        </w:rPr>
      </w:pPr>
    </w:p>
    <w:p>
      <w:pPr>
        <w:jc w:val="both"/>
        <w:ind w:right="2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 audit fees for the fiscal years ended December 31, 2021 and 2020 were for professional services rendered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audits of the Company’s annual financial statements, assistance with review of documents filed with the SEC, consents and other services required to be performed by our independent registered public accounting firm.</w:t>
      </w:r>
    </w:p>
    <w:p>
      <w:pPr>
        <w:spacing w:after="0" w:line="106"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All other fees billed to the Company by RSM during the fiscal years ended December 31, 2021 and 2020 for non-audit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assurance and related services for attestations not required by law.</w:t>
      </w:r>
    </w:p>
    <w:p>
      <w:pPr>
        <w:spacing w:after="0" w:line="91" w:lineRule="exact"/>
        <w:rPr>
          <w:sz w:val="20"/>
          <w:szCs w:val="20"/>
          <w:color w:val="auto"/>
        </w:rPr>
      </w:pPr>
    </w:p>
    <w:p>
      <w:pPr>
        <w:ind w:left="4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Tax Fees:</w:t>
      </w:r>
      <w:r>
        <w:rPr>
          <w:sz w:val="20"/>
          <w:szCs w:val="20"/>
          <w:color w:val="auto"/>
        </w:rPr>
        <w:tab/>
      </w:r>
      <w:r>
        <w:rPr>
          <w:rFonts w:ascii="Times New Roman" w:cs="Times New Roman" w:eastAsia="Times New Roman" w:hAnsi="Times New Roman"/>
          <w:sz w:val="17"/>
          <w:szCs w:val="17"/>
          <w:color w:val="auto"/>
        </w:rPr>
        <w:t>Tax fees were for professional services rendered in connection with tax compliance, tax advice, and tax planning.</w:t>
      </w:r>
    </w:p>
    <w:p>
      <w:pPr>
        <w:spacing w:after="0" w:line="144"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8"/>
          <w:szCs w:val="18"/>
          <w:i w:val="1"/>
          <w:iCs w:val="1"/>
          <w:color w:val="auto"/>
        </w:rPr>
        <w:t>All Other Fees:</w:t>
      </w:r>
      <w:r>
        <w:rPr>
          <w:sz w:val="20"/>
          <w:szCs w:val="20"/>
          <w:color w:val="auto"/>
        </w:rPr>
        <w:tab/>
      </w:r>
      <w:r>
        <w:rPr>
          <w:rFonts w:ascii="Times New Roman" w:cs="Times New Roman" w:eastAsia="Times New Roman" w:hAnsi="Times New Roman"/>
          <w:sz w:val="17"/>
          <w:szCs w:val="17"/>
          <w:color w:val="auto"/>
        </w:rPr>
        <w:t>Non-audit related services billed by RSM were primarily related to the Company’s Form N-2 and other SEC filings.</w:t>
      </w:r>
    </w:p>
    <w:p>
      <w:pPr>
        <w:spacing w:after="0" w:line="160"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the Audit Committee Charter, all of the foregoing audit and non-audit fees paid to, and the related services provided by, RSM were pre-approved by the Audit Committee after consulting with the Company’s Chief Accounting Officer.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2021, the Audit Committee convened 4 times to discuss with management and the independent auditors their respective accounting, auditing and financial reporting responsibilities with respect to the fiscal years 2021 and 2020.</w:t>
      </w:r>
    </w:p>
    <w:p>
      <w:pPr>
        <w:spacing w:after="0" w:line="9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December 31, 2021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In discharging these oversight responsibilities as to the audit process, the Audit Committee obtained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0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2021,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2021, for filing with the Securities and Exchange Commission.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 Salute, Chairman</w:t>
      </w:r>
    </w:p>
    <w:p>
      <w:pPr>
        <w:spacing w:after="0" w:line="219" w:lineRule="auto"/>
        <w:rPr>
          <w:sz w:val="20"/>
          <w:szCs w:val="20"/>
          <w:color w:val="auto"/>
        </w:rPr>
      </w:pPr>
      <w:r>
        <w:rPr>
          <w:rFonts w:ascii="Times New Roman" w:cs="Times New Roman" w:eastAsia="Times New Roman" w:hAnsi="Times New Roman"/>
          <w:sz w:val="18"/>
          <w:szCs w:val="18"/>
          <w:color w:val="auto"/>
        </w:rPr>
        <w:t>Salvatore Mulia</w:t>
      </w:r>
    </w:p>
    <w:p>
      <w:pPr>
        <w:spacing w:after="0"/>
        <w:rPr>
          <w:sz w:val="20"/>
          <w:szCs w:val="20"/>
          <w:color w:val="auto"/>
        </w:rPr>
      </w:pPr>
      <w:r>
        <w:rPr>
          <w:rFonts w:ascii="Times New Roman" w:cs="Times New Roman" w:eastAsia="Times New Roman" w:hAnsi="Times New Roman"/>
          <w:sz w:val="18"/>
          <w:szCs w:val="18"/>
          <w:color w:val="auto"/>
        </w:rPr>
        <w:t>Gregory Zink</w:t>
      </w:r>
    </w:p>
    <w:p>
      <w:pPr>
        <w:spacing w:after="0" w:line="200" w:lineRule="exact"/>
        <w:rPr>
          <w:sz w:val="20"/>
          <w:szCs w:val="20"/>
          <w:color w:val="auto"/>
        </w:rPr>
      </w:pPr>
    </w:p>
    <w:p>
      <w:pPr>
        <w:sectPr>
          <w:pgSz w:w="11900" w:h="16838" w:orient="portrait"/>
          <w:cols w:equalWidth="0" w:num="2">
            <w:col w:w="4820" w:space="720"/>
            <w:col w:w="5680"/>
          </w:cols>
          <w:pgMar w:left="320" w:top="1440" w:right="359"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 — ADVISORY VOTE ON COMPENSATION OF NAMED EXECUTIVE OFFICERS</w:t>
      </w:r>
    </w:p>
    <w:p>
      <w:pPr>
        <w:spacing w:after="0" w:line="1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 rules adopted under the Dodd-Frank Act, we are conducting a shareholder advisory vote on the compensation paid to our named executive officers. Although the vote is advisory and is not binding on the Board of Directors, the Company or the Nominating Committee, the Nominating Committee will take into account the outcome of the vote when considering future executive compensation decisions.</w:t>
      </w:r>
    </w:p>
    <w:p>
      <w:pPr>
        <w:spacing w:after="0" w:line="108"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1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At our 2021 Annual Meeting, we provided our shareholders with the opportunity to cast an advisory vote on say-on-pay with respect to the NEO compensation disclosed in our proxy statement. Approximately ninety-four percent of the votes cast by our shareholders were in favor of our advisory vote on say-on-pay at the 2021 Annual Meeting.</w:t>
      </w:r>
    </w:p>
    <w:p>
      <w:pPr>
        <w:spacing w:after="0" w:line="9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112"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You are encouraged to read the detailed information under “Executive Compensation” of this Proxy Statement for additional details about our executive compensation programs.</w:t>
      </w:r>
    </w:p>
    <w:p>
      <w:pPr>
        <w:spacing w:after="0" w:line="9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Board of Directors strongly endorses the Company’s executive compensation program and recommends that shareholders vote in favor of the following resolution:</w:t>
      </w:r>
    </w:p>
    <w:p>
      <w:pPr>
        <w:spacing w:after="0" w:line="8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RESOLVED, that the shareholders of Newtek Business Services Corp. hereby approve on an advisory basis, the compensation paid to the Company’s Named Executive Officers, as disclosed pursuant to Item 402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440" w:right="359" w:bottom="1440" w:gutter="0" w:footer="0" w:header="0"/>
          <w:type w:val="continuous"/>
        </w:sectPr>
      </w:pPr>
    </w:p>
    <w:bookmarkStart w:id="38" w:name="page39"/>
    <w:bookmarkEnd w:id="38"/>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Regulation S-K to the Company’s Proxy Statement for the 2021 Annual Meeting of Shareholders, including the Compensation Discussion and Analysis compensation tables and narrative discussion.</w:t>
      </w:r>
    </w:p>
    <w:p>
      <w:pPr>
        <w:spacing w:after="0" w:line="77"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APPROVAL OF THE RESOLUTION RELATED TO 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320" w:top="1440" w:right="619" w:bottom="1440" w:gutter="0" w:footer="0" w:header="0"/>
        </w:sectPr>
      </w:pPr>
    </w:p>
    <w:bookmarkStart w:id="39" w:name="page40"/>
    <w:bookmarkEnd w:id="3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TO BE HELD ON JUNE 15, 2022</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Proxy Statement and Annual Report for the year ended December 31, 2021 are available at the special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http://www.astproxyportal.com/ast/19720.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at 100 F Street, N.E., Washington, D.C. 20549. Our SEC filings are also available to the public from commercial document retrieval services and on the web 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Such information will also be furnished upon written request to Newtek Business Services Corp., 1981 Marcus Avenue, Suite 130, Lake Success, New York 11042, Attention: Corporate Secretary, and can also be accessed through our website at </w:t>
      </w:r>
      <w:r>
        <w:rPr>
          <w:rFonts w:ascii="Times New Roman" w:cs="Times New Roman" w:eastAsia="Times New Roman" w:hAnsi="Times New Roman"/>
          <w:sz w:val="18"/>
          <w:szCs w:val="18"/>
          <w:i w:val="1"/>
          <w:iCs w:val="1"/>
          <w:color w:val="auto"/>
        </w:rPr>
        <w:t>www.newtekone.com</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 OF PROXIES</w:t>
      </w:r>
    </w:p>
    <w:p>
      <w:pPr>
        <w:spacing w:after="0" w:line="148" w:lineRule="exact"/>
        <w:rPr>
          <w:sz w:val="20"/>
          <w:szCs w:val="20"/>
          <w:color w:val="auto"/>
        </w:rPr>
      </w:pPr>
    </w:p>
    <w:p>
      <w:pPr>
        <w:jc w:val="both"/>
        <w:ind w:right="80" w:firstLine="432"/>
        <w:spacing w:after="0" w:line="312" w:lineRule="auto"/>
        <w:rPr>
          <w:sz w:val="20"/>
          <w:szCs w:val="20"/>
          <w:color w:val="auto"/>
        </w:rPr>
      </w:pPr>
      <w:r>
        <w:rPr>
          <w:rFonts w:ascii="Times New Roman" w:cs="Times New Roman" w:eastAsia="Times New Roman" w:hAnsi="Times New Roman"/>
          <w:sz w:val="17"/>
          <w:szCs w:val="17"/>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COSTS OF PROXY SOLICITATIONS; SHAREHOLDER COMMUNICATIONS</w:t>
      </w:r>
    </w:p>
    <w:p>
      <w:pPr>
        <w:spacing w:after="0" w:line="162"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10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Shareholders may send written communications to the Board of Directors to the attention of the Board of Directors, c/o Newtek Business Services Corp., 1981 Marcus Avenue, Suite 130, Lake Success, New York 11042.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48" w:lineRule="exact"/>
        <w:rPr>
          <w:sz w:val="20"/>
          <w:szCs w:val="20"/>
          <w:color w:val="auto"/>
        </w:rPr>
      </w:pPr>
    </w:p>
    <w:p>
      <w:pPr>
        <w:ind w:right="80" w:firstLine="432"/>
        <w:spacing w:after="0" w:line="277" w:lineRule="auto"/>
        <w:rPr>
          <w:sz w:val="20"/>
          <w:szCs w:val="20"/>
          <w:color w:val="auto"/>
        </w:rPr>
      </w:pPr>
      <w:r>
        <w:rPr>
          <w:rFonts w:ascii="Times New Roman" w:cs="Times New Roman" w:eastAsia="Times New Roman" w:hAnsi="Times New Roman"/>
          <w:sz w:val="17"/>
          <w:szCs w:val="17"/>
          <w:color w:val="auto"/>
        </w:rPr>
        <w:t>The Company expects that the 2023 Annual Meeting of Shareholders will be held on or about June 9, 2023, but the exact date, time, and location of such meeting may change. A shareholder who intends to present a proposal at the 2023 Annual Meeting of Shareholders pursuant to the SEC’s Rule 14a-8 must submit the proposal in writing to the Corporate Secretary of the Company at 1981 Marcus Avenue, Suite 130, Lake Success, New York 11042. The Company must receive the proposal no later than January 15, 2023, in order for the proposal to be considered for inclusion in the Company’s proxy statement for that meeting. The submission of a proposal does not guarantee its inclusion in the Company’s proxy statement or presentation at the meeting.</w:t>
      </w:r>
    </w:p>
    <w:p>
      <w:pPr>
        <w:spacing w:after="0" w:line="100"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Shareholder proposals or director nominations to be presented at the 2023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first anniversary of the date of this proxy statement nor later than 5:00 p.m., Eastern Time, on the 120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first anniversary of the date of this proxy statement. As a result, for the Company’s 2022 Annual Meeting of Shareholders, a shareholder’s notice pursuant to these provisions of our bylaws must be received no earlier than December 19, 2022 and no later than 5:00 p.m., Eastern Time, on January 16, 2023; provided, however, that in the event that the date of the 2023 Annual Meeting of Shareholders is advanced or delayed by more than 30 days from the first anniversary of this Annual Meeting, notice by the shareholder to be timely must be so delivered not earlier than the 150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date of the 2023 Annual Meeting of Shareholders and not later than 5:00 p.m., Eastern Time, on the later of the 120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date of the 2023 Annual Meeting of Shareholders, as originally convened, or the tenth day following the day on which public announcement of the date of the 2022 Annual Meeting of Shareholders is first made. The public announcement of a postponement or adjournment of an annual meeting shall not commence a new time period for the giving of a shareholder’s notice.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489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A. Schwartz,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139"/>
          </w:cols>
          <w:pgMar w:left="320" w:top="1440" w:right="1440"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5349240" cy="6917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139"/>
          </w:cols>
          <w:pgMar w:left="320" w:top="1440" w:right="1440"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5349240" cy="6917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S"/>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8"/>
    </w:lvl>
    <w:lvl w:ilvl="1">
      <w:lvlJc w:val="left"/>
      <w:lvlText w:val="(%2)"/>
      <w:numFmt w:val="decimal"/>
      <w:start w:val="9"/>
    </w:lvl>
  </w:abstractNum>
  <w:abstractNum w:abstractNumId="31">
    <w:nsid w:val="3804823E"/>
    <w:multiLevelType w:val="hybridMultilevel"/>
    <w:lvl w:ilvl="0">
      <w:lvlJc w:val="left"/>
      <w:lvlText w:val="(%1)"/>
      <w:numFmt w:val="decimal"/>
      <w:start w:val="10"/>
    </w:lvl>
  </w:abstractNum>
  <w:abstractNum w:abstractNumId="32">
    <w:nsid w:val="77465F01"/>
    <w:multiLevelType w:val="hybridMultilevel"/>
    <w:lvl w:ilvl="0">
      <w:lvlJc w:val="left"/>
      <w:lvlText w:val="(%1)"/>
      <w:numFmt w:val="decimal"/>
      <w:start w:val="12"/>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3"/>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2022-05-02T08:30:05Z</dcterms:created>
  <dcterms:modified xsi:type="dcterms:W3CDTF">2022-05-02T08:30:05Z</dcterms:modified>
</cp:coreProperties>
</file>