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June 15,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NEWTEKONE,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Company as Specified in its Charter)</w:t>
      </w:r>
    </w:p>
    <w:tbl>
      <w:tblPr>
        <w:tblW w:w="8925" w:type="dxa"/>
        <w:jc w:val="center"/>
        <w:tblInd w:w="0" w:type="dxa"/>
        <w:tblLayout w:type="fixed"/>
        <w:tblCellMar>
          <w:top w:w="28" w:type="dxa"/>
          <w:left w:w="28" w:type="dxa"/>
          <w:bottom w:w="28" w:type="dxa"/>
          <w:right w:w="28" w:type="dxa"/>
        </w:tblCellMar>
      </w:tblPr>
      <w:tblGrid>
        <w:gridCol w:w="1607"/>
        <w:gridCol w:w="1418"/>
        <w:gridCol w:w="1430"/>
        <w:gridCol w:w="583"/>
        <w:gridCol w:w="583"/>
        <w:gridCol w:w="589"/>
        <w:gridCol w:w="793"/>
        <w:gridCol w:w="793"/>
        <w:gridCol w:w="1129"/>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7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814-01035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4800 T Rex Avenue, Suite 120, Boca Raton, Florida 33431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(212) 356-9500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(Company’s telephone number, including area code)</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from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5.07.</w:t>
      </w:r>
      <w:r>
        <w:rPr>
          <w:color w:val="000000"/>
        </w:rPr>
        <w:t xml:space="preserve">     </w:t>
      </w:r>
      <w:r>
        <w:rPr>
          <w:rFonts w:ascii="Times New Roman;serif" w:hAnsi="Times New Roman;serif"/>
          <w:b/>
          <w:color w:val="000000"/>
          <w:sz w:val="20"/>
        </w:rPr>
        <w:t>Submission of Matters to a Vote of Security Holders.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NewtekOne, Inc. (the “Company”) held its Annual Meeting of Shareholders on June 12, 2026 (the “Annual Meeting”). The proposals considered at the Annual Meeting are described in detail in the Company’s definitive proxy statement for the Annual Meeting as filed with the Securities and Exchange Commission on April 24, 2026 (the “Annual Meeting Proxy”).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Annual Meeting, the Company’s shareholders approved Proposals I and II, as described in the Annual Meeting Proxy, and provided an advisory vote with respect to Proposal III.</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total of 23,238,465 shares of the Company’s common stock were present or represented by proxy at the Annual Meeting.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tabulation of votes was: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Proposal I: To elect two directors of the Company to serve on the Board of Directors until the Company’s annual meeting of shareholders in 2029 and until their successors are duly elected and qualified: </w:t>
      </w:r>
      <w:r>
        <w:rPr>
          <w:color w:val="000000"/>
        </w:rPr>
        <w:t>    </w:t>
      </w:r>
    </w:p>
    <w:tbl>
      <w:tblPr>
        <w:tblW w:w="4733" w:type="dxa"/>
        <w:jc w:val="center"/>
        <w:tblInd w:w="0" w:type="dxa"/>
        <w:tblLayout w:type="fixed"/>
        <w:tblCellMar>
          <w:top w:w="28" w:type="dxa"/>
          <w:left w:w="28" w:type="dxa"/>
          <w:bottom w:w="28" w:type="dxa"/>
          <w:right w:w="28" w:type="dxa"/>
        </w:tblCellMar>
      </w:tblPr>
      <w:tblGrid>
        <w:gridCol w:w="124"/>
        <w:gridCol w:w="109"/>
        <w:gridCol w:w="109"/>
        <w:gridCol w:w="529"/>
        <w:gridCol w:w="529"/>
        <w:gridCol w:w="531"/>
        <w:gridCol w:w="344"/>
        <w:gridCol w:w="344"/>
        <w:gridCol w:w="348"/>
        <w:gridCol w:w="464"/>
        <w:gridCol w:w="464"/>
        <w:gridCol w:w="4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Director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Withheld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Salute</w:t>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14,023,627</w:t>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3,048,829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Times New Roman;serif" w:hAnsi="Times New Roman;serif"/>
                <w:b w:val="false"/>
                <w:color w:val="000000"/>
                <w:sz w:val="20"/>
              </w:rPr>
            </w:pPr>
            <w:r>
              <w:rPr>
                <w:rFonts w:ascii="Times New Roman;serif" w:hAnsi="Times New Roman;serif"/>
                <w:b w:val="false"/>
                <w:color w:val="000000"/>
                <w:sz w:val="20"/>
              </w:rPr>
              <w:t>Craig “CJ” Brunet</w:t>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16,547,173</w:t>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525,283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Proposal II: To ratify the selection of RSM US LLP as the Company’s independent registered accounting firm (independent auditors) for the fiscal year ended December 31, 2026: </w:t>
      </w:r>
    </w:p>
    <w:tbl>
      <w:tblPr>
        <w:tblW w:w="4090" w:type="dxa"/>
        <w:jc w:val="center"/>
        <w:tblInd w:w="0" w:type="dxa"/>
        <w:tblLayout w:type="fixed"/>
        <w:tblCellMar>
          <w:top w:w="28" w:type="dxa"/>
          <w:left w:w="28" w:type="dxa"/>
          <w:bottom w:w="28" w:type="dxa"/>
          <w:right w:w="28" w:type="dxa"/>
        </w:tblCellMar>
      </w:tblPr>
      <w:tblGrid>
        <w:gridCol w:w="124"/>
        <w:gridCol w:w="109"/>
        <w:gridCol w:w="109"/>
        <w:gridCol w:w="344"/>
        <w:gridCol w:w="344"/>
        <w:gridCol w:w="34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21,574,480</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1,584,995</w:t>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78,990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III: To approve, on an advisory basis, the compensation of the Company’s named executive officers:</w:t>
      </w:r>
    </w:p>
    <w:tbl>
      <w:tblPr>
        <w:tblW w:w="4090" w:type="dxa"/>
        <w:jc w:val="center"/>
        <w:tblInd w:w="0" w:type="dxa"/>
        <w:tblLayout w:type="fixed"/>
        <w:tblCellMar>
          <w:top w:w="28" w:type="dxa"/>
          <w:left w:w="28" w:type="dxa"/>
          <w:bottom w:w="28" w:type="dxa"/>
          <w:right w:w="28" w:type="dxa"/>
        </w:tblCellMar>
      </w:tblPr>
      <w:tblGrid>
        <w:gridCol w:w="124"/>
        <w:gridCol w:w="109"/>
        <w:gridCol w:w="109"/>
        <w:gridCol w:w="344"/>
        <w:gridCol w:w="344"/>
        <w:gridCol w:w="34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15,032,457</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1,824,592</w:t>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215,407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Exchange Act of 1934, the registrant has caused this report to be signed on its behalf by the undersigned, thereunto duly authorized.</w:t>
      </w:r>
    </w:p>
    <w:p>
      <w:pPr>
        <w:pStyle w:val="TextBody"/>
        <w:bidi w:val="0"/>
        <w:spacing w:before="0" w:after="0"/>
        <w:jc w:val="left"/>
        <w:rPr/>
      </w:pPr>
      <w:r>
        <w:rPr/>
      </w:r>
    </w:p>
    <w:tbl>
      <w:tblPr>
        <w:tblW w:w="7322" w:type="dxa"/>
        <w:jc w:val="center"/>
        <w:tblInd w:w="0" w:type="dxa"/>
        <w:tblLayout w:type="fixed"/>
        <w:tblCellMar>
          <w:top w:w="28" w:type="dxa"/>
          <w:left w:w="28" w:type="dxa"/>
          <w:bottom w:w="28" w:type="dxa"/>
          <w:right w:w="28" w:type="dxa"/>
        </w:tblCellMar>
      </w:tblPr>
      <w:tblGrid>
        <w:gridCol w:w="629"/>
        <w:gridCol w:w="554"/>
        <w:gridCol w:w="557"/>
        <w:gridCol w:w="301"/>
        <w:gridCol w:w="301"/>
        <w:gridCol w:w="301"/>
        <w:gridCol w:w="1367"/>
        <w:gridCol w:w="1367"/>
        <w:gridCol w:w="194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15,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8"/>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8"/>
              </w:rPr>
              <w:t>LOANE  </w:t>
            </w: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3542</Characters>
  <CharactersWithSpaces>4148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