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33"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(RULE 14a-101)</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NEWTEK BUSINESS SERVICES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West 35th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invite you to attend the Annual Meeting of Shareholders (the “Annual Meeting”) of Newtek Business Services Corp. (the “Company”) to be held at the offices of the Company at 212 West 35th Street, 2nd floor, New York, NY 10001 on June 24, 2015 at 9:00 a.m., local time.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attached Notice of Annual Meeting and Proxy Statement describe the formal business to be transacted at the Annual Meeting. Also enclosed is a Proxy Card and the Company’s Annual Report on Form 10-K for the year ended December 31, 2014.</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7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Board of Directors, we urge you</w:t>
      </w:r>
      <w:r>
        <w:rPr>
          <w:rFonts w:ascii="Arial" w:cs="Arial" w:eastAsia="Arial" w:hAnsi="Arial"/>
          <w:sz w:val="18"/>
          <w:szCs w:val="18"/>
          <w:b w:val="1"/>
          <w:bCs w:val="1"/>
          <w:color w:val="auto"/>
        </w:rPr>
        <w:t xml:space="preserve"> </w:t>
      </w:r>
      <w:r>
        <w:rPr>
          <w:rFonts w:ascii="Arial" w:cs="Arial" w:eastAsia="Arial" w:hAnsi="Arial"/>
          <w:sz w:val="18"/>
          <w:szCs w:val="18"/>
          <w:color w:val="auto"/>
        </w:rPr>
        <w:t>to please sign, date and return the enclosed proxy card in the enclosed postage-prepaid envelope or vote by telephone or Internet as soon as possible even if you currently plan to attend the Annual Meeting. This will not prevent you from voting in person, but will assure that your vote is counted if you are unable to attend the Annual Meeting.</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Annual Meeting of Shareholders to Be Held on June 24, 2015.</w:t>
      </w:r>
    </w:p>
    <w:p>
      <w:pPr>
        <w:spacing w:after="0" w:line="144"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 xml:space="preserve">Our proxy statement and annual report on Form 10-K for the year ended December 31, 2014 are available on the Internet at </w:t>
      </w:r>
      <w:r>
        <w:rPr>
          <w:rFonts w:ascii="Arial" w:cs="Arial" w:eastAsia="Arial" w:hAnsi="Arial"/>
          <w:sz w:val="18"/>
          <w:szCs w:val="18"/>
          <w:u w:val="single" w:color="auto"/>
          <w:color w:val="auto"/>
        </w:rPr>
        <w:t>http://www.astproxyportal.com/ast/19720/.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applicable to the Annual Meeting may be found in the proxy statement and accompanying proxy card:</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control/indentification numbers that you need to access your 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220"/>
          </w:cols>
          <w:pgMar w:left="240" w:top="270" w:right="14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NEWTEK BUSINESS SERVICES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West 35th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June 24,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ind w:right="200" w:firstLine="456"/>
        <w:spacing w:after="0" w:line="347" w:lineRule="auto"/>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the Annual Meeting of Shareholders (the “Annual Meeting”) of Newtek Business Services Corp.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be held at the offices of the Company at 212 West 35th Street, 2nd floor, New York, NY 10001 on June 24, 2015 at 9:00 a.m., local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131"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directors of the Company, each to serve on the Board of Directors until the Company’s Annual Meeting of Shareholders in 2018 and until their successors are duly elected and qualified;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McGladrey LLP as the Company’s independent registered accounting firm (independent auditors) for the fiscal year ended December 31, 2015;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adjournment of the Annual Meeting if needed to solicit additional proxies;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is not aware of any other business to come before the Annual Meeting.</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May 15, 2015 are entitled to vote at the Annual Meeting and any adjournment thereof.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2015</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IMPORTANT: THE PROMPT RETURN OF PROXIES WILL SAVE YOUR COMPANY THE EXPENSE 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ectPr>
          <w:pgSz w:w="11900" w:h="16838" w:orient="portrait"/>
          <w:cols w:equalWidth="0" w:num="1">
            <w:col w:w="11360"/>
          </w:cols>
          <w:pgMar w:left="240" w:top="270"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West 35th Street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Annual Meeting of Shareholders (the “Annual Meeting”) to be held at the offices of the Company at 212 West 35th Street, 2nd floor, New York, NY 10001 on June 24, 2015 at 9:00 a.m., local time. The accompanying Notice of Annual Meeting and this Proxy Statement, together with the enclosed Proxy Card, are first being mailed to shareholders on or about May 16, 2015.</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Proxies solicited by the Board of Directors of the Company will be voted in accordance with the direction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except with respect to the proposal relating to the ratification of the Company’s independent registered accounting firm. Proxies marked as abstentions or as broker no votes, however, will be treated as shares present for purposes of determining whether a quorum is present.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 and Elect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113"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Shareholders of record may submit proxies by completing, signing and dating each proxy card received and returning it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Sign your name exactly as it appears on the proxy. If you return your signed proxy but do not indicate your voting preferences, your shares will be voted on your behalf “FOR” the election of the nominees for director and “FOR” the ratification of McGladrey LLP as the Company’s independent registered public accounting firm for 2015. Shareholders who hold shares beneficially in street name may provide voting instructions by mail by completing, signing and dating the voting instruction forms provided by their brokers, banks or other nominees.</w:t>
      </w:r>
    </w:p>
    <w:p>
      <w:pPr>
        <w:spacing w:after="0" w:line="46"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 Shareholders of record may submit proxies by following the telephone voting instructions on each proxy card. Most</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46" w:lineRule="exact"/>
        <w:rPr>
          <w:sz w:val="20"/>
          <w:szCs w:val="20"/>
          <w:color w:val="auto"/>
        </w:rPr>
      </w:pPr>
    </w:p>
    <w:p>
      <w:pPr>
        <w:jc w:val="both"/>
        <w:ind w:left="920" w:right="12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w:t>
      </w:r>
      <w:r>
        <w:rPr>
          <w:rFonts w:ascii="Arial" w:cs="Arial" w:eastAsia="Arial" w:hAnsi="Arial"/>
          <w:sz w:val="18"/>
          <w:szCs w:val="18"/>
          <w:b w:val="1"/>
          <w:bCs w:val="1"/>
          <w:color w:val="auto"/>
        </w:rPr>
        <w:t xml:space="preserve"> </w:t>
      </w:r>
      <w:r>
        <w:rPr>
          <w:rFonts w:ascii="Arial" w:cs="Arial" w:eastAsia="Arial" w:hAnsi="Arial"/>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6" w:name="page7"/>
    <w:bookmarkEnd w:id="6"/>
    <w:p>
      <w:pPr>
        <w:jc w:val="both"/>
        <w:ind w:left="92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69" w:lineRule="exact"/>
        <w:rPr>
          <w:sz w:val="20"/>
          <w:szCs w:val="20"/>
          <w:color w:val="auto"/>
        </w:rPr>
      </w:pPr>
    </w:p>
    <w:p>
      <w:pPr>
        <w:ind w:left="920" w:right="320"/>
        <w:spacing w:after="0" w:line="303" w:lineRule="auto"/>
        <w:rPr>
          <w:sz w:val="20"/>
          <w:szCs w:val="20"/>
          <w:color w:val="auto"/>
        </w:rPr>
      </w:pPr>
      <w:r>
        <w:rPr>
          <w:rFonts w:ascii="Arial" w:cs="Arial" w:eastAsia="Arial" w:hAnsi="Arial"/>
          <w:sz w:val="16"/>
          <w:szCs w:val="16"/>
          <w:b w:val="1"/>
          <w:bCs w:val="1"/>
          <w:color w:val="auto"/>
        </w:rPr>
        <w:t xml:space="preserve">In Person at the Annual Meeting </w:t>
      </w:r>
      <w:r>
        <w:rPr>
          <w:rFonts w:ascii="Arial" w:cs="Arial" w:eastAsia="Arial" w:hAnsi="Arial"/>
          <w:sz w:val="16"/>
          <w:szCs w:val="16"/>
          <w:color w:val="auto"/>
        </w:rPr>
        <w:t>– Shares held in your name as the shareholder of record may be voted at the Annual Meeting. Shares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voting instructions or vote by telephone or the internet so that your vote will be counted if you later decide not to attend the meeting</w:t>
      </w:r>
      <w:r>
        <w:rPr>
          <w:rFonts w:ascii="Arial" w:cs="Arial" w:eastAsia="Arial" w:hAnsi="Arial"/>
          <w:sz w:val="16"/>
          <w:szCs w:val="16"/>
          <w:color w:val="auto"/>
        </w:rPr>
        <w:t>.</w:t>
      </w:r>
    </w:p>
    <w:p>
      <w:pPr>
        <w:spacing w:after="0" w:line="155"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any of the proposals described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securities which can be voted at the Annual Meeting consist of the Company’s common shares, $0.02 par value per share (“Common Shares”). Shareholders of record as of the close of business on May 15, 2015 (the “Record Date”) are entitled to one vote for each Common Share then held on all matters. As of the Record Date, 10,217,066 Common Shares were issued and outstanding (excluding treasury shares which do not vote). The presence, in person or by proxy, of at least a majority of the total number of Common Shares outstanding and entitled to vote will be necessary to constitute a quorum at the Annual Meeting.</w:t>
      </w:r>
    </w:p>
    <w:p>
      <w:pPr>
        <w:spacing w:after="0" w:line="18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35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number of Common Shares beneficially owned as of the Record Date by:</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or group known by us to beneficially own more than 5% of our outstanding Common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set forth in the “Executive Compensation” section;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of the Company as a group.</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number of shares beneficially owned by each 5% holder, director or executive officer is determined by the rules of the SEC, and the information does not necessarily indicate beneficial ownership for any other purpose. Ownership information for those persons who beneficially own 5% or more of the outstanding shares of the Company’s is based upon reports filed by such persons with the SEC and other information obtained from such persons, if available. Under SEC rules, beneficial ownership includes any shares over which the person or entity has sole or shared voting power or investment power and also any shares that the person or entity can acquire within 60 days of the Record Date through the exercise of any stock option or any other rights. For purposes of computing the percentage of outstanding Common Shares held by each person or entity, any shares that the person or entity has the right to acquire within 60 days after the Record Date are deemed to be outstanding with respect to such person or entity but are not deemed to be outstanding for the purpose of computing the percentage of ownership of any other person or entity. Unless otherwise indicated, each person or entity has sole investment and voting power (or shares such power with his or her spouse) over the shares set forth in the following table. The inclusion in the table below of any shares deemed beneficially owned does not constitute an admission of beneficial ownership of those shares. As of the Record Date there were 10,217,066 Common Shares issued and outstanding.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tbl>
      <w:tblPr>
        <w:tblLayout w:type="fixed"/>
        <w:tblInd w:w="1380" w:type="dxa"/>
        <w:tblCellMar>
          <w:top w:w="0" w:type="dxa"/>
          <w:left w:w="0" w:type="dxa"/>
          <w:bottom w:w="0" w:type="dxa"/>
          <w:right w:w="0" w:type="dxa"/>
        </w:tblCellMar>
      </w:tblP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15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54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jc w:val="right"/>
              <w:ind w:right="122"/>
              <w:spacing w:after="0" w:line="145" w:lineRule="exact"/>
              <w:rPr>
                <w:sz w:val="20"/>
                <w:szCs w:val="20"/>
                <w:color w:val="auto"/>
              </w:rPr>
            </w:pPr>
            <w:r>
              <w:rPr>
                <w:rFonts w:ascii="Arial" w:cs="Arial" w:eastAsia="Arial" w:hAnsi="Arial"/>
                <w:sz w:val="14"/>
                <w:szCs w:val="14"/>
                <w:b w:val="1"/>
                <w:bCs w:val="1"/>
                <w:color w:val="auto"/>
              </w:rPr>
              <w:t>Beneficially</w:t>
            </w: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 xml:space="preserve">Owner </w:t>
            </w:r>
            <w:r>
              <w:rPr>
                <w:rFonts w:ascii="Arial" w:cs="Arial" w:eastAsia="Arial" w:hAnsi="Arial"/>
                <w:sz w:val="11"/>
                <w:szCs w:val="11"/>
                <w:b w:val="1"/>
                <w:bCs w:val="1"/>
                <w:color w:val="auto"/>
              </w:rPr>
              <w:t>(1)</w:t>
            </w:r>
          </w:p>
        </w:tc>
        <w:tc>
          <w:tcPr>
            <w:tcW w:w="3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Owned</w:t>
            </w:r>
            <w:r>
              <w:rPr>
                <w:rFonts w:ascii="Arial" w:cs="Arial" w:eastAsia="Arial" w:hAnsi="Arial"/>
                <w:sz w:val="12"/>
                <w:szCs w:val="12"/>
                <w:b w:val="1"/>
                <w:bCs w:val="1"/>
                <w:color w:val="auto"/>
              </w:rPr>
              <w:t>(2)(3)</w:t>
            </w:r>
          </w:p>
        </w:tc>
        <w:tc>
          <w:tcPr>
            <w:tcW w:w="70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Craig J. Brunet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Sam Kirschner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30,687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F. Mulia</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11,376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Schwartz</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Matt Ash</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23,110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1,000,356</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(9 persons)</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Jeffrey G. Rubin </w:t>
            </w:r>
            <w:r>
              <w:rPr>
                <w:rFonts w:ascii="Arial" w:cs="Arial" w:eastAsia="Arial" w:hAnsi="Arial"/>
                <w:sz w:val="15"/>
                <w:szCs w:val="15"/>
                <w:color w:val="auto"/>
              </w:rPr>
              <w:t>(4)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885,192</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23" w:lineRule="exact"/>
        <w:rPr>
          <w:sz w:val="20"/>
          <w:szCs w:val="20"/>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stated, the address of each person listed is c/o Newtek Business Services Corp., 212 West 35th Street, 2nd floor, New York, New York 10001.</w:t>
      </w:r>
    </w:p>
    <w:p>
      <w:pPr>
        <w:ind w:left="460" w:right="5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options and restricted stock units became fully vested on November 11, 2014, the date Newtek Business Services, Inc. merged with and into Newtek Business Services Corp. (the ‘Merger”).</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April 30, 2015, except with respect to Mr. Rubin as of December 31,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Resigned as President March 7,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38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 of Director</w:t>
            </w:r>
          </w:p>
        </w:tc>
        <w:tc>
          <w:tcPr>
            <w:tcW w:w="2080" w:type="dxa"/>
            <w:vAlign w:val="bottom"/>
          </w:tcPr>
          <w:p>
            <w:pPr>
              <w:spacing w:after="0"/>
              <w:rPr>
                <w:sz w:val="12"/>
                <w:szCs w:val="12"/>
                <w:color w:val="auto"/>
              </w:rPr>
            </w:pP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Equity Securities in Newtek</w:t>
            </w:r>
          </w:p>
        </w:tc>
        <w:tc>
          <w:tcPr>
            <w:tcW w:w="0" w:type="dxa"/>
            <w:vAlign w:val="bottom"/>
          </w:tcPr>
          <w:p>
            <w:pPr>
              <w:spacing w:after="0"/>
              <w:rPr>
                <w:sz w:val="1"/>
                <w:szCs w:val="1"/>
                <w:color w:val="auto"/>
              </w:rPr>
            </w:pPr>
          </w:p>
        </w:tc>
      </w:tr>
      <w:tr>
        <w:trPr>
          <w:trHeight w:val="158"/>
        </w:trPr>
        <w:tc>
          <w:tcPr>
            <w:tcW w:w="3800" w:type="dxa"/>
            <w:vAlign w:val="bottom"/>
            <w:gridSpan w:val="5"/>
            <w:vMerge w:val="continue"/>
          </w:tcPr>
          <w:p>
            <w:pPr>
              <w:spacing w:after="0"/>
              <w:rPr>
                <w:sz w:val="13"/>
                <w:szCs w:val="13"/>
                <w:color w:val="auto"/>
              </w:rPr>
            </w:pPr>
          </w:p>
        </w:tc>
        <w:tc>
          <w:tcPr>
            <w:tcW w:w="396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rPr>
              <w:t xml:space="preserve">Business Services Corp. </w:t>
            </w: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3"/>
              </w:rPr>
              <w:t>Interested Directors</w:t>
            </w:r>
          </w:p>
        </w:tc>
        <w:tc>
          <w:tcPr>
            <w:tcW w:w="2260" w:type="dxa"/>
            <w:vAlign w:val="bottom"/>
            <w:tcBorders>
              <w:bottom w:val="single" w:sz="8" w:color="CCEEFF"/>
            </w:tcBorders>
            <w:gridSpan w:val="2"/>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Barry Sloane</w:t>
            </w:r>
          </w:p>
        </w:tc>
        <w:tc>
          <w:tcPr>
            <w:tcW w:w="208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Peter Downs</w:t>
            </w:r>
          </w:p>
        </w:tc>
        <w:tc>
          <w:tcPr>
            <w:tcW w:w="20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J. Salute</w:t>
            </w:r>
          </w:p>
        </w:tc>
        <w:tc>
          <w:tcPr>
            <w:tcW w:w="20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Salvatore F. Mulia</w:t>
            </w:r>
          </w:p>
        </w:tc>
        <w:tc>
          <w:tcPr>
            <w:tcW w:w="208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Sam Kirschner</w:t>
            </w:r>
          </w:p>
        </w:tc>
        <w:tc>
          <w:tcPr>
            <w:tcW w:w="20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3" w:lineRule="exact"/>
        <w:rPr>
          <w:rFonts w:ascii="Arial" w:cs="Arial" w:eastAsia="Arial" w:hAnsi="Arial"/>
          <w:sz w:val="18"/>
          <w:szCs w:val="18"/>
          <w:color w:val="auto"/>
        </w:rPr>
      </w:pPr>
    </w:p>
    <w:p>
      <w:pPr>
        <w:ind w:left="460" w:right="120" w:hanging="452"/>
        <w:spacing w:after="0" w:line="290"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in us is based on the closing price for our Common Shares of $17.02 on April 24, 2015 on the NASDAQ Capital Market. Beneficial ownership has been determined in accordance with Rule 16a-1(a)(2) of the Exchange Act.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53"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VOTE</w:t>
      </w:r>
    </w:p>
    <w:p>
      <w:pPr>
        <w:spacing w:after="0" w:line="229"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Under “Proposal I—Election of Directors,” each director is required to be elected by a plurality of the votes cast at the Annual Meeting. Abstentions and shares not represented at the Annual Meeting will have no effect on the election of directors. Brokers are not entitled to vote on director elections, and thus broker non-votes are not treated as votes cast and will have no effect on the election of directors. Shareholders may not cumulate their votes.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matters described in “Proposal II—Ratification of Appointment of Independent Auditors” and “Proposal IV—Approval to Adjourn to Solicit Additional Votes” are required to be approved by the affirmative vote of the majority of shares voted in person or by proxy at the Annual Meeting. Abstentions and shares not represented at the Annual Meeting will have no effect on these proposals. Brokers may vote in their discretion on these proposals on behalf of clients who have not furnished voting instructions.</w:t>
      </w:r>
    </w:p>
    <w:p>
      <w:pPr>
        <w:spacing w:after="0" w:line="18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With respect to “Proposal III- Advisory Vote on Compensation of Named Executive Officers,” the affirmative vote of a majority of shares present and voted in person or by proxy at the Annual Meeting and entitled to vote on this matter will be taken as the consensus of shareholders on the compensation of our named executive officers. Voting for Proposal III is being conducted on an advisory basis and, therefore, the voting results will not be binding on the Company, the Board of Directors or the Compensation, Corporate Governance and Nominating Committee. Abstentions will have no effect on the voting for this proposal and brokers may not vote shares for which they have not received instructions.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 – ELECTION OF DIRECTORS</w:t>
      </w:r>
    </w:p>
    <w:p>
      <w:pPr>
        <w:spacing w:after="0" w:line="12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full Board of Directors currently consists of five directors serving in three classes. Messrs. Barry Sloane and Peter Downs serve in class I, with terms expiring at the 2015 Annual Meeting of shareholders; Mr. Sam Kirschner serves in class II, with a term expiring at the 2016 Annual Meeting of shareholder; and Messrs. Richard J. Salute (see below) and Salvatore F. Mulia serve in class III, with terms expiring at the 2017 Annual Meeting of shareholders.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The nominees for election to the Board of Directors are the class I directors</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Barry Sloane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Peter Downs</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election of these two directors will take place at the Annual Meeting, each of whom will serve until the Company’s Annual Meeting in 2018 and until his successor is duly elected and qualified.</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following is a brief summary of the background of each of the directors and nominees, which includes specific information about each director’s experience, qualifications, attributes or skills that led the board to the conclusion that the individual is qualified to serve on our board, in light of our business and structure.</w:t>
      </w:r>
    </w:p>
    <w:p>
      <w:pPr>
        <w:spacing w:after="0" w:line="28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THE BOARD OF DIRECTORS RECOMMENDS A VOTE “FOR” THE NOMINEES NAMED BELOW AS DIRECTORS OF THE COMPANY.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Nominees for Class I Directors –Term Expiring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9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Other Directorships Held by</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580" w:type="dxa"/>
            <w:vAlign w:val="bottom"/>
            <w:vMerge w:val="restart"/>
          </w:tcPr>
          <w:p>
            <w:pPr>
              <w:jc w:val="center"/>
              <w:ind w:left="419"/>
              <w:spacing w:after="0"/>
              <w:rPr>
                <w:sz w:val="20"/>
                <w:szCs w:val="20"/>
                <w:color w:val="auto"/>
              </w:rPr>
            </w:pPr>
            <w:r>
              <w:rPr>
                <w:rFonts w:ascii="Arial" w:cs="Arial" w:eastAsia="Arial" w:hAnsi="Arial"/>
                <w:sz w:val="14"/>
                <w:szCs w:val="14"/>
                <w:b w:val="1"/>
                <w:bCs w:val="1"/>
                <w:color w:val="auto"/>
                <w:w w:val="93"/>
              </w:rPr>
              <w:t>Position(s) Held with the</w:t>
            </w:r>
          </w:p>
        </w:tc>
        <w:tc>
          <w:tcPr>
            <w:tcW w:w="236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3"/>
              </w:rPr>
              <w:t>Terms of Office and Length</w:t>
            </w:r>
          </w:p>
        </w:tc>
        <w:tc>
          <w:tcPr>
            <w:tcW w:w="2340" w:type="dxa"/>
            <w:vAlign w:val="bottom"/>
            <w:vMerge w:val="continue"/>
          </w:tcPr>
          <w:p>
            <w:pPr>
              <w:spacing w:after="0"/>
              <w:rPr>
                <w:sz w:val="12"/>
                <w:szCs w:val="12"/>
                <w:color w:val="auto"/>
              </w:rPr>
            </w:pPr>
          </w:p>
        </w:tc>
        <w:tc>
          <w:tcPr>
            <w:tcW w:w="19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Director or Nominee for</w:t>
            </w:r>
          </w:p>
        </w:tc>
        <w:tc>
          <w:tcPr>
            <w:tcW w:w="0" w:type="dxa"/>
            <w:vAlign w:val="bottom"/>
          </w:tcPr>
          <w:p>
            <w:pPr>
              <w:spacing w:after="0"/>
              <w:rPr>
                <w:sz w:val="1"/>
                <w:szCs w:val="1"/>
                <w:color w:val="auto"/>
              </w:rPr>
            </w:pPr>
          </w:p>
        </w:tc>
      </w:tr>
      <w:tr>
        <w:trPr>
          <w:trHeight w:val="149"/>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580" w:type="dxa"/>
            <w:vAlign w:val="bottom"/>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Occupation(s)_During Past</w:t>
            </w:r>
          </w:p>
        </w:tc>
        <w:tc>
          <w:tcPr>
            <w:tcW w:w="19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Director During Past 5</w:t>
            </w:r>
          </w:p>
        </w:tc>
        <w:tc>
          <w:tcPr>
            <w:tcW w:w="0" w:type="dxa"/>
            <w:vAlign w:val="bottom"/>
          </w:tcPr>
          <w:p>
            <w:pPr>
              <w:spacing w:after="0"/>
              <w:rPr>
                <w:sz w:val="1"/>
                <w:szCs w:val="1"/>
                <w:color w:val="auto"/>
              </w:rPr>
            </w:pPr>
          </w:p>
        </w:tc>
      </w:tr>
      <w:tr>
        <w:trPr>
          <w:trHeight w:val="186"/>
        </w:trPr>
        <w:tc>
          <w:tcPr>
            <w:tcW w:w="2140" w:type="dxa"/>
            <w:vAlign w:val="bottom"/>
            <w:vMerge w:val="continue"/>
          </w:tcPr>
          <w:p>
            <w:pPr>
              <w:spacing w:after="0"/>
              <w:rPr>
                <w:sz w:val="16"/>
                <w:szCs w:val="16"/>
                <w:color w:val="auto"/>
              </w:rPr>
            </w:pPr>
          </w:p>
        </w:tc>
        <w:tc>
          <w:tcPr>
            <w:tcW w:w="2580" w:type="dxa"/>
            <w:vAlign w:val="bottom"/>
          </w:tcPr>
          <w:p>
            <w:pPr>
              <w:jc w:val="center"/>
              <w:ind w:left="419"/>
              <w:spacing w:after="0"/>
              <w:rPr>
                <w:sz w:val="20"/>
                <w:szCs w:val="20"/>
                <w:color w:val="auto"/>
              </w:rPr>
            </w:pPr>
            <w:r>
              <w:rPr>
                <w:rFonts w:ascii="Arial" w:cs="Arial" w:eastAsia="Arial" w:hAnsi="Arial"/>
                <w:sz w:val="14"/>
                <w:szCs w:val="14"/>
                <w:b w:val="1"/>
                <w:bCs w:val="1"/>
                <w:color w:val="auto"/>
                <w:w w:val="93"/>
              </w:rPr>
              <w:t>Company</w:t>
            </w:r>
          </w:p>
        </w:tc>
        <w:tc>
          <w:tcPr>
            <w:tcW w:w="2360" w:type="dxa"/>
            <w:vAlign w:val="bottom"/>
          </w:tcPr>
          <w:p>
            <w:pPr>
              <w:jc w:val="center"/>
              <w:ind w:left="59"/>
              <w:spacing w:after="0"/>
              <w:rPr>
                <w:sz w:val="20"/>
                <w:szCs w:val="20"/>
                <w:color w:val="auto"/>
              </w:rPr>
            </w:pPr>
            <w:r>
              <w:rPr>
                <w:rFonts w:ascii="Arial" w:cs="Arial" w:eastAsia="Arial" w:hAnsi="Arial"/>
                <w:sz w:val="14"/>
                <w:szCs w:val="14"/>
                <w:b w:val="1"/>
                <w:bCs w:val="1"/>
                <w:color w:val="auto"/>
                <w:w w:val="93"/>
              </w:rPr>
              <w:t>of Time Served</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5 Years</w:t>
            </w:r>
          </w:p>
        </w:tc>
        <w:tc>
          <w:tcPr>
            <w:tcW w:w="190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95"/>
        </w:trPr>
        <w:tc>
          <w:tcPr>
            <w:tcW w:w="21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2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Barry Sloane, 55</w:t>
            </w:r>
          </w:p>
        </w:tc>
        <w:tc>
          <w:tcPr>
            <w:tcW w:w="2580" w:type="dxa"/>
            <w:vAlign w:val="bottom"/>
          </w:tcPr>
          <w:p>
            <w:pPr>
              <w:ind w:left="500"/>
              <w:spacing w:after="0"/>
              <w:rPr>
                <w:sz w:val="20"/>
                <w:szCs w:val="20"/>
                <w:color w:val="auto"/>
              </w:rPr>
            </w:pPr>
            <w:r>
              <w:rPr>
                <w:rFonts w:ascii="Arial" w:cs="Arial" w:eastAsia="Arial" w:hAnsi="Arial"/>
                <w:sz w:val="18"/>
                <w:szCs w:val="18"/>
                <w:color w:val="auto"/>
              </w:rPr>
              <w:t>Director, Chief Executive</w:t>
            </w:r>
          </w:p>
        </w:tc>
        <w:tc>
          <w:tcPr>
            <w:tcW w:w="2360" w:type="dxa"/>
            <w:vAlign w:val="bottom"/>
          </w:tcPr>
          <w:p>
            <w:pPr>
              <w:ind w:left="220"/>
              <w:spacing w:after="0"/>
              <w:rPr>
                <w:sz w:val="20"/>
                <w:szCs w:val="20"/>
                <w:color w:val="auto"/>
              </w:rPr>
            </w:pPr>
            <w:r>
              <w:rPr>
                <w:rFonts w:ascii="Arial" w:cs="Arial" w:eastAsia="Arial" w:hAnsi="Arial"/>
                <w:sz w:val="18"/>
                <w:szCs w:val="18"/>
                <w:color w:val="auto"/>
                <w:w w:val="96"/>
              </w:rPr>
              <w:t>Class I Director since 1999;</w:t>
            </w:r>
          </w:p>
        </w:tc>
        <w:tc>
          <w:tcPr>
            <w:tcW w:w="2340" w:type="dxa"/>
            <w:vAlign w:val="bottom"/>
          </w:tcPr>
          <w:p>
            <w:pPr>
              <w:ind w:left="140"/>
              <w:spacing w:after="0"/>
              <w:rPr>
                <w:sz w:val="20"/>
                <w:szCs w:val="20"/>
                <w:color w:val="auto"/>
              </w:rPr>
            </w:pPr>
            <w:r>
              <w:rPr>
                <w:rFonts w:ascii="Arial" w:cs="Arial" w:eastAsia="Arial" w:hAnsi="Arial"/>
                <w:sz w:val="18"/>
                <w:szCs w:val="18"/>
                <w:color w:val="auto"/>
              </w:rPr>
              <w:t>Chairman of the Board of</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ind w:left="500"/>
              <w:spacing w:after="0"/>
              <w:rPr>
                <w:sz w:val="20"/>
                <w:szCs w:val="20"/>
                <w:color w:val="auto"/>
              </w:rPr>
            </w:pPr>
            <w:r>
              <w:rPr>
                <w:rFonts w:ascii="Arial" w:cs="Arial" w:eastAsia="Arial" w:hAnsi="Arial"/>
                <w:sz w:val="18"/>
                <w:szCs w:val="18"/>
                <w:color w:val="auto"/>
              </w:rPr>
              <w:t>Officer, and President</w:t>
            </w:r>
          </w:p>
        </w:tc>
        <w:tc>
          <w:tcPr>
            <w:tcW w:w="2360" w:type="dxa"/>
            <w:vAlign w:val="bottom"/>
          </w:tcPr>
          <w:p>
            <w:pPr>
              <w:ind w:left="220"/>
              <w:spacing w:after="0"/>
              <w:rPr>
                <w:sz w:val="20"/>
                <w:szCs w:val="20"/>
                <w:color w:val="auto"/>
              </w:rPr>
            </w:pPr>
            <w:r>
              <w:rPr>
                <w:rFonts w:ascii="Arial" w:cs="Arial" w:eastAsia="Arial" w:hAnsi="Arial"/>
                <w:sz w:val="18"/>
                <w:szCs w:val="18"/>
                <w:color w:val="auto"/>
              </w:rPr>
              <w:t>Term expires 2015</w:t>
            </w:r>
          </w:p>
        </w:tc>
        <w:tc>
          <w:tcPr>
            <w:tcW w:w="2340" w:type="dxa"/>
            <w:vAlign w:val="bottom"/>
          </w:tcPr>
          <w:p>
            <w:pPr>
              <w:ind w:left="140"/>
              <w:spacing w:after="0"/>
              <w:rPr>
                <w:sz w:val="20"/>
                <w:szCs w:val="20"/>
                <w:color w:val="auto"/>
              </w:rPr>
            </w:pPr>
            <w:r>
              <w:rPr>
                <w:rFonts w:ascii="Arial" w:cs="Arial" w:eastAsia="Arial" w:hAnsi="Arial"/>
                <w:sz w:val="18"/>
                <w:szCs w:val="18"/>
                <w:color w:val="auto"/>
              </w:rPr>
              <w:t>Directors, Chief Executive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5"/>
              </w:rPr>
              <w:t>President and founder of the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Company; Executive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Officer of each of the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Company’s controlled</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portfolio companies.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of Directors and qualify him to serve on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Peter Downs,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Lending Officer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Class I Director since 2014; Term expires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-387985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97" w:lineRule="auto"/>
        <w:rPr>
          <w:sz w:val="20"/>
          <w:szCs w:val="20"/>
          <w:color w:val="auto"/>
        </w:rPr>
      </w:pPr>
      <w:r>
        <w:rPr>
          <w:rFonts w:ascii="Arial" w:cs="Arial" w:eastAsia="Arial" w:hAnsi="Arial"/>
          <w:sz w:val="16"/>
          <w:szCs w:val="16"/>
          <w:color w:val="auto"/>
        </w:rPr>
        <w:t>Chief Lending Officer of the Company; President of Newtek Small Business Finance, LLC; Chief Credit Officer of Newtek Business Credit.</w:t>
      </w:r>
    </w:p>
    <w:p>
      <w:pPr>
        <w:spacing w:after="0" w:line="158" w:lineRule="exact"/>
        <w:rPr>
          <w:sz w:val="20"/>
          <w:szCs w:val="20"/>
          <w:color w:val="auto"/>
        </w:rPr>
      </w:pPr>
    </w:p>
    <w:p>
      <w:pPr>
        <w:sectPr>
          <w:pgSz w:w="11900" w:h="16838" w:orient="portrait"/>
          <w:cols w:equalWidth="0" w:num="4">
            <w:col w:w="2480" w:space="720"/>
            <w:col w:w="2160" w:space="720"/>
            <w:col w:w="2420" w:space="420"/>
            <w:col w:w="2500"/>
          </w:cols>
          <w:pgMar w:left="240" w:top="274" w:right="239" w:bottom="1440" w:gutter="0" w:footer="0" w:header="0"/>
        </w:sectPr>
      </w:pPr>
    </w:p>
    <w:p>
      <w:pPr>
        <w:spacing w:after="0" w:line="277" w:lineRule="auto"/>
        <w:rPr>
          <w:sz w:val="20"/>
          <w:szCs w:val="20"/>
          <w:color w:val="auto"/>
        </w:rPr>
      </w:pPr>
      <w:r>
        <w:rPr>
          <w:rFonts w:ascii="Arial" w:cs="Arial" w:eastAsia="Arial" w:hAnsi="Arial"/>
          <w:sz w:val="18"/>
          <w:szCs w:val="18"/>
          <w:color w:val="auto"/>
        </w:rPr>
        <w:t>Mr. Down’s history with the Company and extensive experience in developing policies and procedures, portfolios and marketing in the small business lending space provides our Board of Directors with the valuable insight of an experienced lender.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Messers Kirschner, Salute, and Mulia are not “interested persons” of the Company as defined in the 1940 Act.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Directorships Held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by Director or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Terms of Office and</w:t>
            </w:r>
          </w:p>
        </w:tc>
        <w:tc>
          <w:tcPr>
            <w:tcW w:w="19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Principal</w:t>
            </w:r>
          </w:p>
        </w:tc>
        <w:tc>
          <w:tcPr>
            <w:tcW w:w="1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Nominee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320" w:type="dxa"/>
            <w:vAlign w:val="bottom"/>
            <w:vMerge w:val="restart"/>
          </w:tcPr>
          <w:p>
            <w:pPr>
              <w:jc w:val="center"/>
              <w:ind w:left="842"/>
              <w:spacing w:after="0"/>
              <w:rPr>
                <w:sz w:val="20"/>
                <w:szCs w:val="20"/>
                <w:color w:val="auto"/>
              </w:rPr>
            </w:pPr>
            <w:r>
              <w:rPr>
                <w:rFonts w:ascii="Arial" w:cs="Arial" w:eastAsia="Arial" w:hAnsi="Arial"/>
                <w:sz w:val="14"/>
                <w:szCs w:val="14"/>
                <w:b w:val="1"/>
                <w:bCs w:val="1"/>
                <w:color w:val="auto"/>
                <w:w w:val="93"/>
              </w:rPr>
              <w:t>Position(s) Held with the</w:t>
            </w:r>
          </w:p>
        </w:tc>
        <w:tc>
          <w:tcPr>
            <w:tcW w:w="196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7"/>
              </w:rPr>
              <w:t>for Director</w:t>
            </w: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3320" w:type="dxa"/>
            <w:vAlign w:val="bottom"/>
            <w:vMerge w:val="continue"/>
          </w:tcPr>
          <w:p>
            <w:pPr>
              <w:spacing w:after="0"/>
              <w:rPr>
                <w:sz w:val="12"/>
                <w:szCs w:val="12"/>
                <w:color w:val="auto"/>
              </w:rPr>
            </w:pPr>
          </w:p>
        </w:tc>
        <w:tc>
          <w:tcPr>
            <w:tcW w:w="19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Length of Time</w:t>
            </w:r>
          </w:p>
        </w:tc>
        <w:tc>
          <w:tcPr>
            <w:tcW w:w="19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Occupation(s)_During</w:t>
            </w:r>
          </w:p>
        </w:tc>
        <w:tc>
          <w:tcPr>
            <w:tcW w:w="1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During Past</w:t>
            </w:r>
          </w:p>
        </w:tc>
        <w:tc>
          <w:tcPr>
            <w:tcW w:w="0" w:type="dxa"/>
            <w:vAlign w:val="bottom"/>
          </w:tcPr>
          <w:p>
            <w:pPr>
              <w:spacing w:after="0"/>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3320" w:type="dxa"/>
            <w:vAlign w:val="bottom"/>
          </w:tcPr>
          <w:p>
            <w:pPr>
              <w:jc w:val="center"/>
              <w:ind w:left="842"/>
              <w:spacing w:after="0"/>
              <w:rPr>
                <w:sz w:val="20"/>
                <w:szCs w:val="20"/>
                <w:color w:val="auto"/>
              </w:rPr>
            </w:pPr>
            <w:r>
              <w:rPr>
                <w:rFonts w:ascii="Arial" w:cs="Arial" w:eastAsia="Arial" w:hAnsi="Arial"/>
                <w:sz w:val="14"/>
                <w:szCs w:val="14"/>
                <w:b w:val="1"/>
                <w:bCs w:val="1"/>
                <w:color w:val="auto"/>
                <w:w w:val="93"/>
              </w:rPr>
              <w:t>Company</w:t>
            </w:r>
          </w:p>
        </w:tc>
        <w:tc>
          <w:tcPr>
            <w:tcW w:w="1960" w:type="dxa"/>
            <w:vAlign w:val="bottom"/>
          </w:tcPr>
          <w:p>
            <w:pPr>
              <w:ind w:left="860"/>
              <w:spacing w:after="0"/>
              <w:rPr>
                <w:sz w:val="20"/>
                <w:szCs w:val="20"/>
                <w:color w:val="auto"/>
              </w:rPr>
            </w:pPr>
            <w:r>
              <w:rPr>
                <w:rFonts w:ascii="Arial" w:cs="Arial" w:eastAsia="Arial" w:hAnsi="Arial"/>
                <w:sz w:val="14"/>
                <w:szCs w:val="14"/>
                <w:b w:val="1"/>
                <w:bCs w:val="1"/>
                <w:color w:val="auto"/>
              </w:rPr>
              <w:t>Served</w:t>
            </w:r>
          </w:p>
        </w:tc>
        <w:tc>
          <w:tcPr>
            <w:tcW w:w="1960" w:type="dxa"/>
            <w:vAlign w:val="bottom"/>
          </w:tcPr>
          <w:p>
            <w:pPr>
              <w:ind w:left="600"/>
              <w:spacing w:after="0"/>
              <w:rPr>
                <w:sz w:val="20"/>
                <w:szCs w:val="20"/>
                <w:color w:val="auto"/>
              </w:rPr>
            </w:pPr>
            <w:r>
              <w:rPr>
                <w:rFonts w:ascii="Arial" w:cs="Arial" w:eastAsia="Arial" w:hAnsi="Arial"/>
                <w:sz w:val="14"/>
                <w:szCs w:val="14"/>
                <w:b w:val="1"/>
                <w:bCs w:val="1"/>
                <w:color w:val="auto"/>
              </w:rPr>
              <w:t>Past 5 Years</w:t>
            </w: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95"/>
        </w:trPr>
        <w:tc>
          <w:tcPr>
            <w:tcW w:w="2720" w:type="dxa"/>
            <w:vAlign w:val="bottom"/>
          </w:tcPr>
          <w:p>
            <w:pPr>
              <w:spacing w:after="0"/>
              <w:rPr>
                <w:sz w:val="20"/>
                <w:szCs w:val="20"/>
                <w:color w:val="auto"/>
              </w:rPr>
            </w:pPr>
            <w:r>
              <w:rPr>
                <w:rFonts w:ascii="Arial" w:cs="Arial" w:eastAsia="Arial" w:hAnsi="Arial"/>
                <w:sz w:val="18"/>
                <w:szCs w:val="18"/>
                <w:b w:val="1"/>
                <w:bCs w:val="1"/>
                <w:color w:val="auto"/>
              </w:rPr>
              <w:t>Independent Director</w:t>
            </w:r>
          </w:p>
        </w:tc>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Sam Kirschner, [65]</w:t>
            </w:r>
          </w:p>
        </w:tc>
        <w:tc>
          <w:tcPr>
            <w:tcW w:w="33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Class II Director</w:t>
            </w:r>
          </w:p>
        </w:tc>
        <w:tc>
          <w:tcPr>
            <w:tcW w:w="1960" w:type="dxa"/>
            <w:vAlign w:val="bottom"/>
          </w:tcPr>
          <w:p>
            <w:pPr>
              <w:ind w:left="280"/>
              <w:spacing w:after="0"/>
              <w:rPr>
                <w:sz w:val="20"/>
                <w:szCs w:val="20"/>
                <w:color w:val="auto"/>
              </w:rPr>
            </w:pPr>
            <w:r>
              <w:rPr>
                <w:rFonts w:ascii="Arial" w:cs="Arial" w:eastAsia="Arial" w:hAnsi="Arial"/>
                <w:sz w:val="18"/>
                <w:szCs w:val="18"/>
                <w:color w:val="auto"/>
              </w:rPr>
              <w:t>Managing</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ind w:left="460"/>
              <w:spacing w:after="0"/>
              <w:rPr>
                <w:sz w:val="20"/>
                <w:szCs w:val="20"/>
                <w:color w:val="auto"/>
              </w:rPr>
            </w:pPr>
            <w:r>
              <w:rPr>
                <w:rFonts w:ascii="Arial" w:cs="Arial" w:eastAsia="Arial" w:hAnsi="Arial"/>
                <w:sz w:val="18"/>
                <w:szCs w:val="18"/>
                <w:color w:val="auto"/>
              </w:rPr>
              <w:t>since 2010;</w:t>
            </w:r>
          </w:p>
        </w:tc>
        <w:tc>
          <w:tcPr>
            <w:tcW w:w="1960" w:type="dxa"/>
            <w:vAlign w:val="bottom"/>
          </w:tcPr>
          <w:p>
            <w:pPr>
              <w:ind w:left="280"/>
              <w:spacing w:after="0"/>
              <w:rPr>
                <w:sz w:val="20"/>
                <w:szCs w:val="20"/>
                <w:color w:val="auto"/>
              </w:rPr>
            </w:pPr>
            <w:r>
              <w:rPr>
                <w:rFonts w:ascii="Arial" w:cs="Arial" w:eastAsia="Arial" w:hAnsi="Arial"/>
                <w:sz w:val="18"/>
                <w:szCs w:val="18"/>
                <w:color w:val="auto"/>
              </w:rPr>
              <w:t>Member 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ind w:left="460"/>
              <w:spacing w:after="0"/>
              <w:rPr>
                <w:sz w:val="20"/>
                <w:szCs w:val="20"/>
                <w:color w:val="auto"/>
              </w:rPr>
            </w:pPr>
            <w:r>
              <w:rPr>
                <w:rFonts w:ascii="Arial" w:cs="Arial" w:eastAsia="Arial" w:hAnsi="Arial"/>
                <w:sz w:val="18"/>
                <w:szCs w:val="18"/>
                <w:color w:val="auto"/>
              </w:rPr>
              <w:t>Term</w:t>
            </w:r>
          </w:p>
        </w:tc>
        <w:tc>
          <w:tcPr>
            <w:tcW w:w="1960" w:type="dxa"/>
            <w:vAlign w:val="bottom"/>
          </w:tcPr>
          <w:p>
            <w:pPr>
              <w:ind w:left="280"/>
              <w:spacing w:after="0"/>
              <w:rPr>
                <w:sz w:val="20"/>
                <w:szCs w:val="20"/>
                <w:color w:val="auto"/>
              </w:rPr>
            </w:pPr>
            <w:r>
              <w:rPr>
                <w:rFonts w:ascii="Arial" w:cs="Arial" w:eastAsia="Arial" w:hAnsi="Arial"/>
                <w:sz w:val="18"/>
                <w:szCs w:val="18"/>
                <w:color w:val="auto"/>
              </w:rPr>
              <w:t>MayerCap, LLC;</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ind w:left="460"/>
              <w:spacing w:after="0"/>
              <w:rPr>
                <w:sz w:val="20"/>
                <w:szCs w:val="20"/>
                <w:color w:val="auto"/>
              </w:rPr>
            </w:pPr>
            <w:r>
              <w:rPr>
                <w:rFonts w:ascii="Arial" w:cs="Arial" w:eastAsia="Arial" w:hAnsi="Arial"/>
                <w:sz w:val="18"/>
                <w:szCs w:val="18"/>
                <w:color w:val="auto"/>
              </w:rPr>
              <w:t>expires 2016</w:t>
            </w:r>
          </w:p>
        </w:tc>
        <w:tc>
          <w:tcPr>
            <w:tcW w:w="1960" w:type="dxa"/>
            <w:vAlign w:val="bottom"/>
          </w:tcPr>
          <w:p>
            <w:pPr>
              <w:ind w:left="280"/>
              <w:spacing w:after="0"/>
              <w:rPr>
                <w:sz w:val="20"/>
                <w:szCs w:val="20"/>
                <w:color w:val="auto"/>
              </w:rPr>
            </w:pPr>
            <w:r>
              <w:rPr>
                <w:rFonts w:ascii="Arial" w:cs="Arial" w:eastAsia="Arial" w:hAnsi="Arial"/>
                <w:sz w:val="18"/>
                <w:szCs w:val="18"/>
                <w:color w:val="auto"/>
              </w:rPr>
              <w:t>President 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Nexus Family</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Business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Consulting.</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Mr. Kirschner’s experience in the finance industry provides a significant addition to the Board of Directors.</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Richard J. Salute, [69]</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4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Class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since 2015;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expires 2017</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Capital Markets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SEC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Practice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J.H. Cohn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CohnReznick;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Partner at Arthur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Andersen.</w:t>
      </w:r>
    </w:p>
    <w:p>
      <w:pPr>
        <w:spacing w:after="0" w:line="103" w:lineRule="exact"/>
        <w:rPr>
          <w:sz w:val="20"/>
          <w:szCs w:val="20"/>
          <w:color w:val="auto"/>
        </w:rPr>
      </w:pPr>
    </w:p>
    <w:p>
      <w:pPr>
        <w:sectPr>
          <w:pgSz w:w="11900" w:h="16838" w:orient="portrait"/>
          <w:cols w:equalWidth="0" w:num="4">
            <w:col w:w="3040" w:space="720"/>
            <w:col w:w="2020" w:space="720"/>
            <w:col w:w="1060" w:space="720"/>
            <w:col w:w="31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Mr. Salute’s extensive audit, accounting, and tax experience and relationships with industry players is an asset to our Board of Directors.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Salvatore Mulia, [66]</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4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Class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since 2005;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expires 2017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Financial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advisor at RTM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Pitney Bowes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Corp.</w:t>
      </w:r>
    </w:p>
    <w:p>
      <w:pPr>
        <w:spacing w:after="0" w:line="103" w:lineRule="exact"/>
        <w:rPr>
          <w:sz w:val="20"/>
          <w:szCs w:val="20"/>
          <w:color w:val="auto"/>
        </w:rPr>
      </w:pPr>
    </w:p>
    <w:p>
      <w:pPr>
        <w:sectPr>
          <w:pgSz w:w="11900" w:h="16838" w:orient="portrait"/>
          <w:cols w:equalWidth="0" w:num="4">
            <w:col w:w="3040" w:space="720"/>
            <w:col w:w="2020" w:space="720"/>
            <w:col w:w="1060" w:space="720"/>
            <w:col w:w="3140"/>
          </w:cols>
          <w:pgMar w:left="240" w:top="274" w:right="239" w:bottom="1440" w:gutter="0" w:footer="0" w:header="0"/>
          <w:type w:val="continuous"/>
        </w:sectPr>
      </w:pPr>
    </w:p>
    <w:p>
      <w:pPr>
        <w:ind w:right="900"/>
        <w:spacing w:after="0" w:line="277" w:lineRule="auto"/>
        <w:rPr>
          <w:sz w:val="20"/>
          <w:szCs w:val="20"/>
          <w:color w:val="auto"/>
        </w:rPr>
      </w:pPr>
      <w:r>
        <w:rPr>
          <w:rFonts w:ascii="Arial" w:cs="Arial" w:eastAsia="Arial" w:hAnsi="Arial"/>
          <w:sz w:val="18"/>
          <w:szCs w:val="18"/>
          <w:color w:val="auto"/>
        </w:rPr>
        <w:t>Mr. Mulia’s experience in the financial services industry as well as working with smaller to mid-sized companies needing capital and debt and his understanding of these businesses provides a significant addition to the Board of Directors.</w:t>
      </w:r>
    </w:p>
    <w:p>
      <w:pPr>
        <w:spacing w:after="0" w:line="197" w:lineRule="exact"/>
        <w:rPr>
          <w:sz w:val="20"/>
          <w:szCs w:val="20"/>
          <w:color w:val="auto"/>
        </w:rPr>
      </w:pPr>
    </w:p>
    <w:p>
      <w:pPr>
        <w:ind w:left="460" w:right="2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director nominees and other directors is c/o Newtek Business Services Corp. 212 West 35</w:t>
      </w:r>
      <w:r>
        <w:rPr>
          <w:rFonts w:ascii="Arial" w:cs="Arial" w:eastAsia="Arial" w:hAnsi="Arial"/>
          <w:sz w:val="15"/>
          <w:szCs w:val="15"/>
          <w:color w:val="auto"/>
        </w:rPr>
        <w:t>th</w:t>
      </w:r>
      <w:r>
        <w:rPr>
          <w:rFonts w:ascii="Arial" w:cs="Arial" w:eastAsia="Arial" w:hAnsi="Arial"/>
          <w:sz w:val="18"/>
          <w:szCs w:val="18"/>
          <w:color w:val="auto"/>
        </w:rPr>
        <w:t xml:space="preserve"> Street, 2</w:t>
      </w:r>
      <w:r>
        <w:rPr>
          <w:rFonts w:ascii="Arial" w:cs="Arial" w:eastAsia="Arial" w:hAnsi="Arial"/>
          <w:sz w:val="15"/>
          <w:szCs w:val="15"/>
          <w:color w:val="auto"/>
        </w:rPr>
        <w:t>nd</w:t>
      </w:r>
      <w:r>
        <w:rPr>
          <w:rFonts w:ascii="Arial" w:cs="Arial" w:eastAsia="Arial" w:hAnsi="Arial"/>
          <w:sz w:val="18"/>
          <w:szCs w:val="18"/>
          <w:color w:val="auto"/>
        </w:rPr>
        <w:t xml:space="preserve"> Floor, New York, New York 10001.</w:t>
      </w:r>
    </w:p>
    <w:p>
      <w:pPr>
        <w:sectPr>
          <w:pgSz w:w="11900" w:h="16838" w:orient="portrait"/>
          <w:cols w:equalWidth="0" w:num="1">
            <w:col w:w="11420"/>
          </w:cols>
          <w:pgMar w:left="240" w:top="27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The Board and Board Meetings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 Board of Directors and management also regularly evaluate and, when appropriate, revise the Company’s corporate governance policies and practices in accordance with the requirements of the Sarbanes-Oxley Act of 2002 and the rules and listing standards issued by the SEC and The NASDAQ</w:t>
      </w:r>
      <w:r>
        <w:rPr>
          <w:rFonts w:ascii="Arial" w:cs="Arial" w:eastAsia="Arial" w:hAnsi="Arial"/>
          <w:sz w:val="15"/>
          <w:szCs w:val="15"/>
          <w:color w:val="auto"/>
        </w:rPr>
        <w:t>®</w:t>
      </w:r>
      <w:r>
        <w:rPr>
          <w:rFonts w:ascii="Arial" w:cs="Arial" w:eastAsia="Arial" w:hAnsi="Arial"/>
          <w:sz w:val="18"/>
          <w:szCs w:val="18"/>
          <w:color w:val="auto"/>
        </w:rPr>
        <w:t xml:space="preserve"> Stock Market, Inc. (“NASDAQ”) where the Company’s Common Shares are listed and traded.</w:t>
      </w:r>
    </w:p>
    <w:p>
      <w:pPr>
        <w:spacing w:after="0" w:line="189"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During the fiscal year ended December 31, 2014, the Board of Directors held a total of 13 meetings. Each director (with the exception of Mr. Salute) attended at least 75% of the total number of meetings of the Board of Directors and at least 75% of the meetings of all committees on which he served. We require each director to make a diligent effort to attend all meetings of the Board of Directors and of the committees as well as each Annual Meeting of our shareholders.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Guidelines</w:t>
      </w:r>
    </w:p>
    <w:p>
      <w:pPr>
        <w:spacing w:after="0" w:line="121"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The Company has adopted corporate governance guidelines titled “Governance Guidelines” which are available at the Investor Relations page of </w:t>
      </w:r>
      <w:r>
        <w:rPr>
          <w:rFonts w:ascii="Arial" w:cs="Arial" w:eastAsia="Arial" w:hAnsi="Arial"/>
          <w:sz w:val="16"/>
          <w:szCs w:val="16"/>
          <w:u w:val="single" w:color="auto"/>
          <w:color w:val="auto"/>
        </w:rPr>
        <w:t>www.thesba.com</w:t>
      </w:r>
      <w:r>
        <w:rPr>
          <w:rFonts w:ascii="Arial" w:cs="Arial" w:eastAsia="Arial" w:hAnsi="Arial"/>
          <w:sz w:val="16"/>
          <w:szCs w:val="16"/>
          <w:color w:val="auto"/>
        </w:rPr>
        <w:t>. The Governance Guidelines are also available in print to any shareholder who requests them. These principles were adopted by the Board of Directors to best ensure that the Board of Directors is independent from management, that the Board of Directors adequately performs its function as the overseer of management and to help ensure that the interests of the Board and management align with the interests of the shareholders.</w:t>
      </w:r>
    </w:p>
    <w:p>
      <w:pPr>
        <w:spacing w:after="0" w:line="154"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 xml:space="preserve">The Board of Directors currently has two standing committees: the Audit Committee and the Compensation, Corporate Governance and Nominating Committee. Each member of these committees is independent as defined by applicable NASDAQ and SEC rules. Each of the committees has a written charter approved by the Board of Directors, which is available the Investor Relations page of on our website at </w:t>
      </w:r>
      <w:r>
        <w:rPr>
          <w:rFonts w:ascii="Arial" w:cs="Arial" w:eastAsia="Arial" w:hAnsi="Arial"/>
          <w:sz w:val="16"/>
          <w:szCs w:val="16"/>
          <w:u w:val="single" w:color="auto"/>
          <w:color w:val="auto"/>
        </w:rPr>
        <w:t>www.thesba.com</w:t>
      </w:r>
      <w:r>
        <w:rPr>
          <w:rFonts w:ascii="Arial" w:cs="Arial" w:eastAsia="Arial" w:hAnsi="Arial"/>
          <w:sz w:val="16"/>
          <w:szCs w:val="16"/>
          <w:color w:val="auto"/>
        </w:rPr>
        <w:t>.</w:t>
      </w:r>
    </w:p>
    <w:p>
      <w:pPr>
        <w:spacing w:after="0" w:line="14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The Board of Directors’ Audit Committee consists of Messrs. Salute as Chair, Mulia and Kirschner and operates pursuant to its written Charter. The Audit Committee held 4 meetings during the fiscal year ended December 31, 2014. The Audit Committee is authorized to examine and approve the audit report prepared by the independent auditors of the Company, to review and select the independent auditors to be engaged by the Company, to review the internal audit function and internal accounting controls and to review and approve conflict of interest or related party transactions and audit policies.</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Director Salute, Chair of the Audit Committee, has been determined by the Board of Directors to be a “financial expert” and “independent” under applicable rules of the SEC and NASDAQ. In addition, the Board of Directors has determined that all members of the Audit Committee are “financially literate” as that term is defined by applicable NASDAQ and SEC rules.</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Company’s Compensation, Corporate Governance and Nominating Committee consists of Messrs. Mulia, as Chair, Salute and Kirschner, all of whom are “non-employee directors” within the meaning of the SEC and NASDAQ rules. The Compensation, Corporate Governance and Nominating Committee evaluates the compensation and benefits of the directors, officers and employees, recommends changes, and monitors and evaluates employee performance. The Compensation, Corporate Governance and Nominating Committee held 9 meetings during the fiscal year ended December 31, 2014. The Compensation, Corporate Governance and Nominating Committee is generally responsible for identifying corporate governance issues, creating corporate governance policies, identifying and recommending potential candidates for election to the Board and reviewing executive and director compensation and performance.</w:t>
      </w:r>
    </w:p>
    <w:p>
      <w:pPr>
        <w:spacing w:after="0" w:line="18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 and Nominating Committee will take into account, in addition to such other factors as it deems relevant, the desirability of selecting candidates who:</w:t>
      </w:r>
    </w:p>
    <w:p>
      <w:pPr>
        <w:spacing w:after="0" w:line="92"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Has the capacity and desire to represent the balance, best interests of the shareholders.</w:t>
      </w:r>
    </w:p>
    <w:p>
      <w:pPr>
        <w:spacing w:after="0" w:line="22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Independence</w:t>
      </w:r>
    </w:p>
    <w:p>
      <w:pPr>
        <w:spacing w:after="0" w:line="12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The Board of Directors is required by the Governance Guidelines to have a majority of members who meet the applicable independence requirements of the NASDAQ and any applicable rule or law. Each of the following non-employee directors is independent and has no relationship to the Company, except as a director and shareholder.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Richard J. Salute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Salvatore F. Mulia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 Kirschner</w:t>
      </w:r>
    </w:p>
    <w:p>
      <w:pPr>
        <w:spacing w:after="0" w:line="211"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The Board of Directors has determined that each of its directors, with the exception of Messrs. Sloane and Downs, qualifies as “independent” as defined by applicable NASDAQ and SEC rules. In making this determination, the Board of Directors has concluded that none of these members has a relationship which, in the opinion of the Board, would interfere with the exercise of independent judgment in carrying out the responsibilities of a director. It is the policy of the Board of Directors to hold executive sessions of the independent directors meeting without management at regular intervals and as requested by a director. Richard J. Salute shall preside over these meetings of the independent directors. All members of the Board of Directors are encouraged to attend the Annual Meeting of Shareholders. In 2014, all members of the Board of Directors attended the Annual Meeting of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Mr. Sloane has served as Chairman and Chief Executive Officer since 1999 and as President since 2008. As the Company’s President and Chief Executive Officer, Mr. Sloane is an “interested person” under Section 2(a)(19) of the 1940 Act .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The Company has not appointed a lead independent director.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Risk Oversight</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While management is responsible for identifying, assessing and managing risk, our Board is responsible for risk oversight with a focus on the most significant risks facing the Company. The Board’s risk oversight includes, but is not limited to, the following risks:</w:t>
      </w:r>
    </w:p>
    <w:p>
      <w:pPr>
        <w:spacing w:after="0" w:line="7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end of each year, management and the Board jointly develop a list of major risks that the Company prioritizes in the following year. In 2014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focused on the following areas of risk:</w:t>
      </w:r>
    </w:p>
    <w:p>
      <w:pPr>
        <w:spacing w:after="0" w:line="1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strategic and operational planning, including acquisitions and the evaluation of the Company’s capital structure and long term debt financing;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has delegated responsibility for the oversight of specific risks to Board committees. The Audit Committee overseas risks associated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w:t>
      </w:r>
    </w:p>
    <w:p>
      <w:pPr>
        <w:spacing w:after="0" w:line="1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controls over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and liquidity;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reviewing and approving management’s estimates of fair value of the Company’s investment portfolio;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litigation issues.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3" w:name="page14"/>
    <w:bookmarkEnd w:id="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Governance and Nominating Committee considers the risks associated with:</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governance practices and the structure and leadership of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related person transactions and the code of conduct for all employees, officers and directors.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is kept informed of each committee’s risk oversight and any other activities deemed to engender risk via periodic reports from management and the committee chairs. Our Board recognizes the importance of risk oversight, and its role is consistent with the Board’s leadership structure, the CEO and the senior management of the Company. Our senior management is responsible for assessing and managing risk exposure and the Board, and committees of the Board provide the oversight consistent with those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17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Secretary, Newtek Business Services Corp., 212 West 35th Street, 2nd Floor, New York, New York 10001.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6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Shareholders also have the right under our Bylaws to nominate director candidates, without any action or recommendation on the part of the Compensation, Corporate Governance and Nominating Committee or the Board,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All members of the Compensation, Corporate Governance and Nominating Committee are independent directors, and none of them are present or past employees or paid officers of ours or any of our subsidiaries. No member of the Compensation, Corporate Governance and Nominating Committee has had any relationship with us requiring disclosure under Item 404 of Regulation S-K. None of our executive officers has served on the board or compensation committee (or other committee serving an equivalent function) of any other entity, one of whose executive officers has served on our Board or Compensation, Corporate Governance and Nominating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 xml:space="preserve">We have adopted a code of ethics, referred to as our Code of Conduct, which applies to all directors and employees, including the principal executive, financial and accounting officers. A copy of the Code of Conduct will be made available upon request directed to the executive offices of the Company and may be viewed on the Investor Relations page of on our web site </w:t>
      </w:r>
      <w:r>
        <w:rPr>
          <w:rFonts w:ascii="Arial" w:cs="Arial" w:eastAsia="Arial" w:hAnsi="Arial"/>
          <w:sz w:val="16"/>
          <w:szCs w:val="16"/>
          <w:u w:val="single" w:color="auto"/>
          <w:color w:val="auto"/>
        </w:rPr>
        <w:t>www.thesba.com</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we post on our website all disclosures that are required by law or NASDAQ listing standards concerning any amendments to, or waivers from, any provision of the Code. We also post on our website any amendments to, or waivers from, our Code of Conduct that apply to our principal executive officer and principal financial and accounting officer.</w:t>
      </w:r>
    </w:p>
    <w:p>
      <w:pPr>
        <w:spacing w:after="0" w:line="158" w:lineRule="exact"/>
        <w:rPr>
          <w:sz w:val="20"/>
          <w:szCs w:val="20"/>
          <w:color w:val="auto"/>
        </w:rPr>
      </w:pPr>
    </w:p>
    <w:p>
      <w:pPr>
        <w:ind w:right="380" w:firstLine="913"/>
        <w:spacing w:after="0" w:line="257" w:lineRule="auto"/>
        <w:rPr>
          <w:sz w:val="20"/>
          <w:szCs w:val="20"/>
          <w:color w:val="auto"/>
        </w:rPr>
      </w:pPr>
      <w:r>
        <w:rPr>
          <w:rFonts w:ascii="Arial" w:cs="Arial" w:eastAsia="Arial" w:hAnsi="Arial"/>
          <w:sz w:val="18"/>
          <w:szCs w:val="18"/>
          <w:color w:val="auto"/>
        </w:rPr>
        <w:t>The Audit Committee or the Board of Directors reviews all potential related party transactions on an ongoing basis, and all such transactions must be approved by the Audit Committee or the Board of Directors. We have not adopted written procedures for review of, or standards for approval of, these transactions, but instead the Audit Committee or the Board of Directors intends to review such transactions on a case by case basis. In addition, the Compensation, Corporate Governance and Nominating Committee or the Board of Directors reviews and approves all compensation-related policies involving our directors and executive officers.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ind w:right="2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pays gross residuals to an independent sales organization (“ISO”) controlled by a major shareholder and former president of the Company, Jeffrey G. Rubin. The ISO earns gross residual payments on the merchant processing revenue generated for the Company, and in turn pays commissions to its sales representatives as well as other operating expenses. Gross residuals paid by the Company to the ISO for the years ended December 13, 2014, 2013 and 2012 were approximately $3,973,000, $3,636,000 and $3,155,000, respectively. We anticipate that Mr. Rubin and his related entities will continue to earn gross residual profits on the merchant processing revenue he generates for the Company in 2015.</w:t>
      </w:r>
    </w:p>
    <w:p>
      <w:pPr>
        <w:spacing w:after="0" w:line="17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husband of Jennifer Eddelson, the Company’s Chief Accounting Officer, is the controller of the portfolio company Universal Processing Services of Wisconsin, LLC, and receives annual compensation in excess of $120,000.</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Director Salute, a former partner with CohnReznick LLP (“CohnReznick”), receives a pension from CohnReznick and capital payouts from his partnership interests. CohnReznick performs tax work for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and the NASDAQ initial reports of ownership and reports of changes in ownership of Common Shares of the Company. Officers, directors and greater than 10% shareholders are required by SEC regulations to furnish us with copies of all Section 16(a) forms they file.</w:t>
      </w:r>
    </w:p>
    <w:p>
      <w:pPr>
        <w:spacing w:after="0" w:line="14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To the Company’s knowledge, based solely on Forms 3 and 4, and amendments to such forms, provided to the Company by its directors and executive officers and greater than 10% shareholders during 2014, all such required reports were timely filed.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The Board has adopted a plan for compensation of non-employee directors which gives effect to the time and effort required of each of them in the performance of their duties. During 2014 compensation was paid in cash and is set forth in the table below. Since November 10, 2010, directors are paid the following annual fees: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participation on the Board: $50,000;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chair of a Committee: $20,000;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committee member: $5,000.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Summary Compensation Table </w:t>
      </w:r>
      <w:r>
        <w:rPr>
          <w:rFonts w:ascii="Arial" w:cs="Arial" w:eastAsia="Arial" w:hAnsi="Arial"/>
          <w:sz w:val="15"/>
          <w:szCs w:val="15"/>
          <w:b w:val="1"/>
          <w:bCs w:val="1"/>
          <w:color w:val="auto"/>
        </w:rPr>
        <w:t>(1)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Fees earned</w:t>
            </w: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Non-Equity</w:t>
            </w:r>
          </w:p>
        </w:tc>
        <w:tc>
          <w:tcPr>
            <w:tcW w:w="1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Non-qualified Deferred</w:t>
            </w: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9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1840" w:type="dxa"/>
            <w:vAlign w:val="bottom"/>
            <w:vMerge w:val="restart"/>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or Paid in Cash</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(3)</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Compensation Earnings</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96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540" w:type="dxa"/>
            <w:vAlign w:val="bottom"/>
          </w:tcPr>
          <w:p>
            <w:pPr>
              <w:jc w:val="right"/>
              <w:ind w:right="9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Beck (1)</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12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Salvatore F. Mulia</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75,000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 Kirshner</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60,000</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Beck retired from the Board of Directors on April 10, 2015. On April 10, 2015, the Board appointed Richard J. Salute to replace Mr. Beck and serve the remainder of Mr. Beck’s term.</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Messrs. Sloane and Downs are not included in this table as they were employees of the Company in 2014 and thus received no compensation for their services as Directors. The compensation received by Messrs. Sloane and Downs as employees of the Company is shown in the Summary Compensation Table below.</w:t>
      </w:r>
    </w:p>
    <w:p>
      <w:pPr>
        <w:spacing w:after="0" w:line="1"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July 2014, each director was granted an option to acquire 300 Company Shares at an exercise price of $20.00 per share in exchange for the extension of the vesting period of their stock awards from July 2014 to February 2015. These options expired unexercised on the BDC conversion date of November 11, 2014.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 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Newtek, and their ages, as of April 30, 2015,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60" w:type="dxa"/>
            <w:vAlign w:val="bottom"/>
            <w:gridSpan w:val="2"/>
          </w:tcPr>
          <w:p>
            <w:pPr>
              <w:ind w:left="800"/>
              <w:spacing w:after="0"/>
              <w:rPr>
                <w:sz w:val="20"/>
                <w:szCs w:val="20"/>
                <w:color w:val="auto"/>
              </w:rPr>
            </w:pPr>
            <w:r>
              <w:rPr>
                <w:rFonts w:ascii="Arial" w:cs="Arial" w:eastAsia="Arial" w:hAnsi="Arial"/>
                <w:sz w:val="14"/>
                <w:szCs w:val="14"/>
                <w:b w:val="1"/>
                <w:bCs w:val="1"/>
                <w:color w:val="auto"/>
              </w:rPr>
              <w:t>Age</w:t>
            </w:r>
          </w:p>
        </w:tc>
        <w:tc>
          <w:tcPr>
            <w:tcW w:w="4440" w:type="dxa"/>
            <w:vAlign w:val="bottom"/>
          </w:tcPr>
          <w:p>
            <w:pPr>
              <w:ind w:left="19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Barry</w:t>
            </w: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Sloane</w:t>
            </w:r>
          </w:p>
        </w:tc>
        <w:tc>
          <w:tcPr>
            <w:tcW w:w="1840" w:type="dxa"/>
            <w:vAlign w:val="bottom"/>
            <w:tcBorders>
              <w:top w:val="single" w:sz="8" w:color="auto"/>
            </w:tcBorders>
          </w:tcPr>
          <w:p>
            <w:pPr>
              <w:jc w:val="right"/>
              <w:ind w:right="1573"/>
              <w:spacing w:after="0" w:line="189" w:lineRule="exact"/>
              <w:rPr>
                <w:sz w:val="20"/>
                <w:szCs w:val="20"/>
                <w:color w:val="auto"/>
              </w:rPr>
            </w:pPr>
            <w:r>
              <w:rPr>
                <w:rFonts w:ascii="Arial" w:cs="Arial" w:eastAsia="Arial" w:hAnsi="Arial"/>
                <w:sz w:val="18"/>
                <w:szCs w:val="18"/>
                <w:color w:val="auto"/>
                <w:w w:val="79"/>
              </w:rPr>
              <w:t>55</w:t>
            </w:r>
          </w:p>
        </w:tc>
        <w:tc>
          <w:tcPr>
            <w:tcW w:w="220" w:type="dxa"/>
            <w:vAlign w:val="bottom"/>
          </w:tcPr>
          <w:p>
            <w:pPr>
              <w:spacing w:after="0"/>
              <w:rPr>
                <w:sz w:val="16"/>
                <w:szCs w:val="16"/>
                <w:color w:val="auto"/>
              </w:rPr>
            </w:pPr>
          </w:p>
        </w:tc>
        <w:tc>
          <w:tcPr>
            <w:tcW w:w="4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Chief Executive Officer and President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Craig J. Brunet</w:t>
            </w:r>
          </w:p>
        </w:tc>
        <w:tc>
          <w:tcPr>
            <w:tcW w:w="1840" w:type="dxa"/>
            <w:vAlign w:val="bottom"/>
          </w:tcPr>
          <w:p>
            <w:pPr>
              <w:jc w:val="right"/>
              <w:ind w:right="1573"/>
              <w:spacing w:after="0"/>
              <w:rPr>
                <w:sz w:val="20"/>
                <w:szCs w:val="20"/>
                <w:color w:val="auto"/>
              </w:rPr>
            </w:pPr>
            <w:r>
              <w:rPr>
                <w:rFonts w:ascii="Arial" w:cs="Arial" w:eastAsia="Arial" w:hAnsi="Arial"/>
                <w:sz w:val="18"/>
                <w:szCs w:val="18"/>
                <w:color w:val="auto"/>
                <w:w w:val="79"/>
              </w:rPr>
              <w:t>66</w:t>
            </w: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Chief Information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Jennifer Eddelson</w:t>
            </w:r>
          </w:p>
        </w:tc>
        <w:tc>
          <w:tcPr>
            <w:tcW w:w="1840" w:type="dxa"/>
            <w:vAlign w:val="bottom"/>
          </w:tcPr>
          <w:p>
            <w:pPr>
              <w:jc w:val="right"/>
              <w:ind w:right="1573"/>
              <w:spacing w:after="0"/>
              <w:rPr>
                <w:sz w:val="20"/>
                <w:szCs w:val="20"/>
                <w:color w:val="auto"/>
              </w:rPr>
            </w:pPr>
            <w:r>
              <w:rPr>
                <w:rFonts w:ascii="Arial" w:cs="Arial" w:eastAsia="Arial" w:hAnsi="Arial"/>
                <w:sz w:val="18"/>
                <w:szCs w:val="18"/>
                <w:color w:val="auto"/>
                <w:w w:val="79"/>
              </w:rPr>
              <w:t>42</w:t>
            </w: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Chief Accounting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1840" w:type="dxa"/>
            <w:vAlign w:val="bottom"/>
          </w:tcPr>
          <w:p>
            <w:pPr>
              <w:jc w:val="right"/>
              <w:ind w:right="1573"/>
              <w:spacing w:after="0"/>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Lending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Michael A. Schwartz(1)</w:t>
            </w:r>
          </w:p>
        </w:tc>
        <w:tc>
          <w:tcPr>
            <w:tcW w:w="1840" w:type="dxa"/>
            <w:vAlign w:val="bottom"/>
          </w:tcPr>
          <w:p>
            <w:pPr>
              <w:jc w:val="right"/>
              <w:ind w:right="1573"/>
              <w:spacing w:after="0"/>
              <w:rPr>
                <w:sz w:val="20"/>
                <w:szCs w:val="20"/>
                <w:color w:val="auto"/>
              </w:rPr>
            </w:pPr>
            <w:r>
              <w:rPr>
                <w:rFonts w:ascii="Arial" w:cs="Arial" w:eastAsia="Arial" w:hAnsi="Arial"/>
                <w:sz w:val="18"/>
                <w:szCs w:val="18"/>
                <w:color w:val="auto"/>
                <w:w w:val="79"/>
              </w:rPr>
              <w:t>54</w:t>
            </w: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Secretary, Chief Legal Officer</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Matthew G. Ash(2)</w:t>
            </w:r>
          </w:p>
        </w:tc>
        <w:tc>
          <w:tcPr>
            <w:tcW w:w="1840" w:type="dxa"/>
            <w:vAlign w:val="bottom"/>
          </w:tcPr>
          <w:p>
            <w:pPr>
              <w:jc w:val="right"/>
              <w:ind w:right="1573"/>
              <w:spacing w:after="0"/>
              <w:rPr>
                <w:sz w:val="20"/>
                <w:szCs w:val="20"/>
                <w:color w:val="auto"/>
              </w:rPr>
            </w:pPr>
            <w:r>
              <w:rPr>
                <w:rFonts w:ascii="Arial" w:cs="Arial" w:eastAsia="Arial" w:hAnsi="Arial"/>
                <w:sz w:val="18"/>
                <w:szCs w:val="18"/>
                <w:color w:val="auto"/>
                <w:w w:val="79"/>
              </w:rPr>
              <w:t>71</w:t>
            </w:r>
          </w:p>
        </w:tc>
        <w:tc>
          <w:tcPr>
            <w:tcW w:w="2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Chief Compliance Officer</w:t>
            </w:r>
          </w:p>
        </w:tc>
      </w:tr>
    </w:tbl>
    <w:p>
      <w:pPr>
        <w:spacing w:after="0" w:line="22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Mr. Schwartz became Chief Legal Officer and Secretary on January 1, 2015.</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Mr. Ash, formerly the Chief Legal Officer and Secretary, became Chief Compliance Officer in November 2014.</w:t>
      </w:r>
    </w:p>
    <w:p>
      <w:pPr>
        <w:spacing w:after="0" w:line="207" w:lineRule="exact"/>
        <w:rPr>
          <w:sz w:val="20"/>
          <w:szCs w:val="20"/>
          <w:color w:val="auto"/>
        </w:rPr>
      </w:pPr>
    </w:p>
    <w:p>
      <w:pPr>
        <w:jc w:val="both"/>
        <w:ind w:right="160" w:firstLine="913"/>
        <w:spacing w:after="0" w:line="289" w:lineRule="auto"/>
        <w:rPr>
          <w:sz w:val="20"/>
          <w:szCs w:val="20"/>
          <w:color w:val="auto"/>
        </w:rPr>
      </w:pPr>
      <w:r>
        <w:rPr>
          <w:rFonts w:ascii="Arial" w:cs="Arial" w:eastAsia="Arial" w:hAnsi="Arial"/>
          <w:sz w:val="16"/>
          <w:szCs w:val="16"/>
          <w:b w:val="1"/>
          <w:bCs w:val="1"/>
          <w:color w:val="auto"/>
        </w:rPr>
        <w:t xml:space="preserve">Barry Sloane </w:t>
      </w:r>
      <w:r>
        <w:rPr>
          <w:rFonts w:ascii="Arial" w:cs="Arial" w:eastAsia="Arial" w:hAnsi="Arial"/>
          <w:sz w:val="16"/>
          <w:szCs w:val="16"/>
          <w:color w:val="auto"/>
        </w:rPr>
        <w:t>is the Chairman of the Board, Chief Executive Officer, President and a founder of the Company and is and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each of the Company’s controlled portfolio companies. In addition, in April 2015 Mr. Sloane became engaged as a director with AK Capital LLC (“AKC”), a securities brokerage company. Previously, from September 1993 through July 1995, Mr. Sloane was a Managing Director of Smith Barney, Inc.</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While there, he directed the Commercial and Residential Real Estate Securitization Unit and, prior to that time, he was national sales manager for institutional mortgage and asset backed securities sales. From April 1991 through September 1993, he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9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Craig J. Brunet </w:t>
      </w:r>
      <w:r>
        <w:rPr>
          <w:rFonts w:ascii="Arial" w:cs="Arial" w:eastAsia="Arial" w:hAnsi="Arial"/>
          <w:sz w:val="16"/>
          <w:szCs w:val="16"/>
          <w:color w:val="auto"/>
        </w:rPr>
        <w:t>has served as Executive Vice President and Chief Information Officer since January 1, 2012. Mr. Brunet previously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Strategic Planning and Marketing since July 2006 and as Chairman and Chief Executive Officer of the Company’s Harvest Strategies subsidiary since June, 2001. From 1984 through 1989, Mr. Brunet served as Director of Strategic Planning for AT&amp;T, where he managed all special development and modifications to standard AT&amp;T products to include non-standard pricing, terms and conditions, hardware and software strategic initiatives, FCC Tariffs, as well as joint venture and/or integration requirements for the top 50 AT&amp;T accounts. In 1989, Mr. Brunet joined Entergy Corporation as Executive Vice President responsible for managing and directing the overall Entergy System retail and wholesale marketing effort including strategy development, policy preparation and administration, market development and market analysis and research. During his tenure with Entergy, he served as Chairman of the Strategic Planning Committee of the Electric Power Research Institute (EPRI) and served on the Board of Directors of Entergy Enterprises guiding decisions on unregulated activities including strategic acquisition and investments in generation, distribution and new technology assets domestically and internationally. From 1993 through 1996, Mr. Brunet served as Chairman, CEO and President of First Pacific Networks, a leader in the initial development and deployment of broadband technologies in the United States and Europe. During this period, he was also Chairman of the Board of Credit Depot Corporation, a publicly traded multi-state mortgage company and served as Chairman of both the Audit Committee and Compensation Committee.</w:t>
      </w:r>
    </w:p>
    <w:p>
      <w:pPr>
        <w:spacing w:after="0" w:line="169"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Jennifer Eddelson </w:t>
      </w:r>
      <w:r>
        <w:rPr>
          <w:rFonts w:ascii="Arial" w:cs="Arial" w:eastAsia="Arial" w:hAnsi="Arial"/>
          <w:sz w:val="18"/>
          <w:szCs w:val="18"/>
          <w:color w:val="auto"/>
        </w:rPr>
        <w:t>is a certified public accountant licensed in the state of New York and has served as Executive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of the Company since July 1, 2011. Previously Ms. Eddelson was employed by the Company since 2004 as Corporate Controller, Vice President of Financial Reporting since 2006, and in these and her current capacities has had a principal responsibility for the development and implementation of the Company’s accounting policies and practices. Previously, Ms. Eddelson practiced as a certified public accountant for eight years with Janover, LLC, a public accounting firm located in New York, primarily in the audit and tax area. Ms. Eddelson is a member of the NYS Society of CPAs and a member of the AICPA.</w:t>
      </w:r>
    </w:p>
    <w:p>
      <w:pPr>
        <w:spacing w:after="0" w:line="188" w:lineRule="exact"/>
        <w:rPr>
          <w:sz w:val="20"/>
          <w:szCs w:val="20"/>
          <w:color w:val="auto"/>
        </w:rPr>
      </w:pPr>
    </w:p>
    <w:p>
      <w:pPr>
        <w:ind w:right="160" w:firstLine="913"/>
        <w:spacing w:after="0" w:line="292" w:lineRule="auto"/>
        <w:rPr>
          <w:sz w:val="20"/>
          <w:szCs w:val="20"/>
          <w:color w:val="auto"/>
        </w:rPr>
      </w:pPr>
      <w:r>
        <w:rPr>
          <w:rFonts w:ascii="Arial" w:cs="Arial" w:eastAsia="Arial" w:hAnsi="Arial"/>
          <w:sz w:val="16"/>
          <w:szCs w:val="16"/>
          <w:b w:val="1"/>
          <w:bCs w:val="1"/>
          <w:color w:val="auto"/>
        </w:rPr>
        <w:t xml:space="preserve">Peter Downs </w:t>
      </w:r>
      <w:r>
        <w:rPr>
          <w:rFonts w:ascii="Arial" w:cs="Arial" w:eastAsia="Arial" w:hAnsi="Arial"/>
          <w:sz w:val="16"/>
          <w:szCs w:val="16"/>
          <w:color w:val="auto"/>
        </w:rPr>
        <w:t>is the Company’s Chief Lending Officer and was appointed as director in connection with the BDC Conversion on November 12,</w:t>
      </w:r>
      <w:r>
        <w:rPr>
          <w:rFonts w:ascii="Arial" w:cs="Arial" w:eastAsia="Arial" w:hAnsi="Arial"/>
          <w:sz w:val="16"/>
          <w:szCs w:val="16"/>
          <w:b w:val="1"/>
          <w:bCs w:val="1"/>
          <w:color w:val="auto"/>
        </w:rPr>
        <w:t xml:space="preserve"> </w:t>
      </w:r>
      <w:r>
        <w:rPr>
          <w:rFonts w:ascii="Arial" w:cs="Arial" w:eastAsia="Arial" w:hAnsi="Arial"/>
          <w:sz w:val="16"/>
          <w:szCs w:val="16"/>
          <w:color w:val="auto"/>
        </w:rPr>
        <w:t>2014. Mr. Downs joined the Company in 2003 and has been the President of Newtek Small Business Finance, LLC (“NSBF”) and a member of both Credit and Risk Committees for NSBF. He has had primary responsibility for the development of the Company’s lending policies and procedures, portfolio and marketing, from its inception. In 2008, Mr. Downs took on the additional responsibility as the Chief Credit Officer of Newtek Business Credit, with the primary responsibility to grow and manage the Company’s accounts receivable finance and management business.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6" w:name="page17"/>
    <w:bookmarkEnd w:id="1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 of Retail Small Business Lending which encompassed the underwriting and servicing of the bank’s small business loan portfolio. With EAB’s acquisition by Citibank, Mr. Downs was asked to run the bank’s SBA lending portfolio in New York and was eventually named the National Director of SBA lending,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84" w:lineRule="exact"/>
        <w:rPr>
          <w:sz w:val="20"/>
          <w:szCs w:val="20"/>
          <w:color w:val="auto"/>
        </w:rPr>
      </w:pPr>
    </w:p>
    <w:p>
      <w:pPr>
        <w:ind w:right="300" w:firstLine="913"/>
        <w:spacing w:after="0" w:line="281" w:lineRule="auto"/>
        <w:rPr>
          <w:sz w:val="20"/>
          <w:szCs w:val="20"/>
          <w:color w:val="auto"/>
        </w:rPr>
      </w:pPr>
      <w:r>
        <w:rPr>
          <w:rFonts w:ascii="Arial" w:cs="Arial" w:eastAsia="Arial" w:hAnsi="Arial"/>
          <w:sz w:val="17"/>
          <w:szCs w:val="17"/>
          <w:b w:val="1"/>
          <w:bCs w:val="1"/>
          <w:color w:val="auto"/>
        </w:rPr>
        <w:t xml:space="preserve">Michael A. Schwartz </w:t>
      </w:r>
      <w:r>
        <w:rPr>
          <w:rFonts w:ascii="Arial" w:cs="Arial" w:eastAsia="Arial" w:hAnsi="Arial"/>
          <w:sz w:val="17"/>
          <w:szCs w:val="17"/>
          <w:color w:val="auto"/>
        </w:rPr>
        <w:t>has served as Chief Legal Officer and Corporate Secretary since January 1, 2015. Previously, Mr. Schwartz was Senior</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to the Company since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7"/>
          <w:szCs w:val="17"/>
          <w:b w:val="1"/>
          <w:bCs w:val="1"/>
          <w:color w:val="auto"/>
        </w:rPr>
        <w:t>.</w:t>
      </w:r>
    </w:p>
    <w:p>
      <w:pPr>
        <w:spacing w:after="0" w:line="165" w:lineRule="exact"/>
        <w:rPr>
          <w:sz w:val="20"/>
          <w:szCs w:val="20"/>
          <w:color w:val="auto"/>
        </w:rPr>
      </w:pPr>
    </w:p>
    <w:p>
      <w:pPr>
        <w:ind w:right="300" w:firstLine="913"/>
        <w:spacing w:after="0" w:line="289" w:lineRule="auto"/>
        <w:rPr>
          <w:sz w:val="20"/>
          <w:szCs w:val="20"/>
          <w:color w:val="auto"/>
        </w:rPr>
      </w:pPr>
      <w:r>
        <w:rPr>
          <w:rFonts w:ascii="Arial" w:cs="Arial" w:eastAsia="Arial" w:hAnsi="Arial"/>
          <w:sz w:val="17"/>
          <w:szCs w:val="17"/>
          <w:b w:val="1"/>
          <w:bCs w:val="1"/>
          <w:color w:val="auto"/>
        </w:rPr>
        <w:t xml:space="preserve">Matthew G. Ash </w:t>
      </w:r>
      <w:r>
        <w:rPr>
          <w:rFonts w:ascii="Arial" w:cs="Arial" w:eastAsia="Arial" w:hAnsi="Arial"/>
          <w:sz w:val="17"/>
          <w:szCs w:val="17"/>
          <w:color w:val="auto"/>
        </w:rPr>
        <w:t>has served as Chief Compliance Officer since November 2014. From 2007 through December 31, 2014, Mr. Ash was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Legal Officer of the Company, and previously served as outside general counsel for the Company since its formation in 1998. Mr. Ash has also been responsible for the day-to-day management of the current Capcos and serves as Director of Capco Investment and Compliance.</w:t>
      </w:r>
    </w:p>
    <w:p>
      <w:pPr>
        <w:spacing w:after="0" w:line="162"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The individuals who served as the Company’s Chief Executive Officer, Chief Accounting Officer and Chief Information Officer during 2014, as well as the other individuals included in the Summary Compensation Table below, are referred to below as the “named executive officers.”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All of 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Executive compensation programs impact all employees by setting general levels of compensation and helping to create an environment of goals, rewards and expectations. Because we believe the performance of every employee is important to our success, we are mindful of the effect of executive compensation and incentive programs on all of our employees.</w:t>
      </w:r>
    </w:p>
    <w:p>
      <w:pPr>
        <w:spacing w:after="0" w:line="18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believe that the compensation of our executives should reflect their success as a management team, rather than just as individuals, in attaining key operating objectives, such as growth of sales, growth of operating earnings and earnings per share and growth or maintenance of market share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stock, whether favorable or unfavorable, but rather that the price of our stock will, in the long-term, reflect our operating performance and, ultimately, the management of the Company by our executives. We seek to have the long-term performance of our stock reflected in executive compensation through our equity incentive programs, including stock options and restricted stock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Compensation, Corporate Governance and Nominating Committee (sometimes referred to in this Compensation Discussion and Analysis Section of the Proxy Statement as the “Committee”) supervises the design and implementation of compensation policies for all executive officers (which include the named executive officers) and overall incentive equity awards to all employees of the Company. Decisions regarding the non-equity compensation of executive officers, other than named executive officers, are made by the Chief Executive Officer within the compensation philosophy set by the Committee. Decisions regarding the non-equity compensation of named executive officers are made by the Chief Executive Officer and the Committee for consistency with the Company’s compensation policies.</w:t>
      </w:r>
    </w:p>
    <w:p>
      <w:pPr>
        <w:spacing w:after="0" w:line="193"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The Chief Executive Officer semi-annually reviews the performance of each member of the senior executive team, including named executive officers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21"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named executive officers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189"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We choose to pay each element of compensation in order to attract and retain the necessary executive talent, reward annual performance and provide incentive for balanced focus on long-term strategic goals as well as short-term performance. The amount of each element of compensation is determined by or under the direction of our Committee, which uses the following factors to determine the amount of salary and other benefits to pay each named executive officer:</w:t>
      </w:r>
    </w:p>
    <w:p>
      <w:pPr>
        <w:spacing w:after="0" w:line="92" w:lineRule="exact"/>
        <w:rPr>
          <w:sz w:val="20"/>
          <w:szCs w:val="20"/>
          <w:color w:val="auto"/>
        </w:rPr>
      </w:pPr>
    </w:p>
    <w:p>
      <w:pPr>
        <w:ind w:left="1920" w:hanging="318"/>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against corporate for the year;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of achieving desired results in the coming year;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their general management responsibilities;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contribution as a member of the executive management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225"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Based on the foregoing objectives, we have structured the Company’s annual and long-term incentive-based cash and non- cash executive compensation to motivate executives to achieve the business goals set by the Company and reward the executives for achieving such goals.</w:t>
      </w:r>
    </w:p>
    <w:p>
      <w:pPr>
        <w:spacing w:after="0" w:line="124"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2014, the principal components of compensation for named executive officers were:</w:t>
      </w:r>
    </w:p>
    <w:p>
      <w:pPr>
        <w:spacing w:after="0" w:line="131" w:lineRule="exact"/>
        <w:rPr>
          <w:sz w:val="20"/>
          <w:szCs w:val="20"/>
          <w:color w:val="auto"/>
        </w:rPr>
      </w:pPr>
    </w:p>
    <w:p>
      <w:pPr>
        <w:ind w:left="1920" w:hanging="318"/>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The Company provides named executive officers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targeted to market levels based on reviews of published salary surveys and the closest related peer company compensation since we do not believe that Newtek has any peer companies. Base salary ranges for named executive officers are determined for each executive based on his or her position and responsibility by using market data from published salary surveys such as Equilar, and the Company generally attempts to fix each named executive officer’s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review of base salaries for senior level executives, including the named executive officers, we primarily consider:</w:t>
      </w:r>
    </w:p>
    <w:p>
      <w:pPr>
        <w:spacing w:after="0" w:line="131" w:lineRule="exact"/>
        <w:rPr>
          <w:sz w:val="20"/>
          <w:szCs w:val="20"/>
          <w:color w:val="auto"/>
        </w:rPr>
      </w:pPr>
    </w:p>
    <w:p>
      <w:pPr>
        <w:ind w:left="1920" w:hanging="318"/>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130" w:lineRule="exact"/>
        <w:rPr>
          <w:rFonts w:ascii="Arial" w:cs="Arial" w:eastAsia="Arial" w:hAnsi="Arial"/>
          <w:sz w:val="18"/>
          <w:szCs w:val="18"/>
          <w:color w:val="auto"/>
        </w:rPr>
      </w:pPr>
    </w:p>
    <w:p>
      <w:pPr>
        <w:ind w:left="1920" w:right="60" w:hanging="318"/>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the Company’s revenue growth, net income and cash flow metrics relative to the Company’s annual plan as established by the Board.</w:t>
      </w:r>
    </w:p>
    <w:p>
      <w:pPr>
        <w:spacing w:after="0" w:line="170"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Salary levels are typically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named executive officers other than the Chief Executive Officer are recommended by the Chief Executive Officer and confirmed by the Committee and those for the Chief Executive officer are determined by the Committee.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Bonus</w:t>
      </w:r>
    </w:p>
    <w:p>
      <w:pPr>
        <w:spacing w:after="0" w:line="12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revenue growth, net income and cash flow relative to the Company’s annual plans as established by the Board. The Chief Executive Officer in consultation with the Committee with respect to the named executive officers, or in consultation with the named executive officers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From time to time, at the discretion of the Committee, the Company may grant stock options to the named executive officers and other employees to create a clear and strong alignment between compensation and shareholder return and to enable the named executive officers and other employees to develop and maintain a stock ownership position in the Company that will vest over time and act as an incentive for the employee to remain with the Company. During the Company’s early years of operation, through approximately 2005, we relied more frequently than at present on equity-based awards due to the limited resources available to the Company to attract and retain qualified employees and executives.</w:t>
      </w:r>
    </w:p>
    <w:p>
      <w:pPr>
        <w:spacing w:after="0" w:line="17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During that period, the Company paid very little in the form of cash bonuses using instead equity-based awards. Currently, the cash flow of the Company permits a more balanced approach, allowing a combination of cash and equity awards to implement the Company’s compensation policies. The Company’s 2000 Incentive Stock and Deferred Compensation Plans were terminated in connection with the BDC conversion and were replaced with a new equity compensation plan approved by our Shareholders in 2014 (the “2014 Stock Plan”). The 2014 Stock Plan differs from the prior Plans in that it reflects certain restrictions imposed on BDCs by the 1940 Act. Specifically, the 2014 Stock Plan does not provide for awards of restricted stock or any awards to non-employees. It will, however, provide for the issuance of options to officers of the Company without regard to whether they are employees of the Company. The options granted under the 2014 Stock Plan will be qualified “performance-based compensation” under Section 162(m) of the Code. The 2014 Stock Plan therefore imposes a limit on the amount of shares subject to any option that may be granted to a participant in any calendar year.</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Under applicable accounting rules, we are required to measure the value of equity awards based on the fair value of the award on the grant date. The cost is recognized in our statement of operations over the period during which an employee is required to provide service in exchange for the award, which is usually the vesting period.</w:t>
      </w:r>
    </w:p>
    <w:p>
      <w:pPr>
        <w:spacing w:after="0" w:line="18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Options are awarded at the average of the highest and lowest sale price of the Company’s Common Shares on the NASDAQ market on the date of the grant (the “Market Value”). In certain limited circumstances, the Committee may grant options to an executive at an exercise price in excess of the Market Value of the Company’s Common Shares on the grant date. The Committee has never granted options with an exercise price that is less than the Market Value of the Company’s common shares on the grant date, nor has it granted options which are priced on a date other than the grant date.</w:t>
      </w:r>
    </w:p>
    <w:p>
      <w:pPr>
        <w:spacing w:after="0" w:line="154"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Pursuant to the 2014 Stock Plan, the Committee may, in its discretion, determine the vesting schedule of awards, the circumstances that will result in forfeiture of the awards, the post-termination exercise periods of awards, and the events that will result in acceleration of the ability to exercise and the lapse of restrictions on any award. Prior to the exercise of an option, the holder has no rights as a shareholder with respect to the shares subject to such option, including voting rights and the right to receive dividends or dividend equivalents.</w:t>
      </w:r>
    </w:p>
    <w:p>
      <w:pPr>
        <w:spacing w:after="0" w:line="17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Upon a change of control, or if earlier, the execution of an agreement to effect a change of control, all options under the 2014 Stock Plan become fully vested and immediately exercisable, notwithstanding any other provision of the plan or any agreement</w:t>
      </w:r>
    </w:p>
    <w:p>
      <w:pPr>
        <w:spacing w:after="0" w:line="170" w:lineRule="exact"/>
        <w:rPr>
          <w:sz w:val="20"/>
          <w:szCs w:val="20"/>
          <w:color w:val="auto"/>
        </w:rPr>
      </w:pPr>
    </w:p>
    <w:p>
      <w:pPr>
        <w:jc w:val="both"/>
        <w:ind w:right="440" w:firstLine="913"/>
        <w:spacing w:after="0" w:line="312" w:lineRule="auto"/>
        <w:rPr>
          <w:sz w:val="20"/>
          <w:szCs w:val="20"/>
          <w:color w:val="auto"/>
        </w:rPr>
      </w:pPr>
      <w:r>
        <w:rPr>
          <w:rFonts w:ascii="Arial" w:cs="Arial" w:eastAsia="Arial" w:hAnsi="Arial"/>
          <w:sz w:val="16"/>
          <w:szCs w:val="16"/>
          <w:color w:val="auto"/>
        </w:rPr>
        <w:t>As a BDC, we may not make grants of restricted stock awards, or make any awards to non-employees (other than officers of the Company) without exemptive relief from the SEC. We have filed a request with the SEC for exemptive relief to allow us to amend the 2014 Stock Plan, subject to shareholder approval, and make such grants and awards, although we cannot provide any assurance that we will receive any such exemptive relief.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9" w:name="page20"/>
    <w:bookmarkEnd w:id="19"/>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event, under the 1940 Act, a BDC is subject to restrictions on the amount of warrants, options, restricted stock or rights to purchase shares of capital stock that it may have outstanding at any time.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executives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named executive officers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At the Company’ discretion the match may be in the form of cash or Company Common Shares. In 2014, a match of $153,837 in cash was approved and paid in March 2015.</w:t>
      </w:r>
    </w:p>
    <w:p>
      <w:pPr>
        <w:spacing w:after="0" w:line="16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The perquisites we provided in fiscal 2014 consist of premiums on life insurance policies for and certain travel costs for Mr. Sloane, the Company’s Chief Executive Officer, in the amount of $5,442.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 (Share data adjusted for 1 for 5 Reverse Stock Split effectuated on October 22, 2014)</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Committee determined the compensation for Barry Sloane, Chairman, Chief Executive Officer and President for 2014. While recognizing the Chief Executive Officer’s leadership in building a highly talented management team and in driving the Company forward, Mr. Sloane’s salary was increased to $400,000 in March 2014. Mr. Sloane earned a $100,000 bonus for 2014 (paid in March 2015), a $100,000 bonus earned in 2013 and paid in 2014 and a $300,000 bonus earned in 2012 and paid in 2012. Mr. Sloane did not receive a grant of Common Shares or options in 2014; he received a grant of 15,000 Common Shares in 2013 with an original vest date of May 2016 (which vested in November 2014 as a result of the merger of Newtek Business Services, Inc. with and into Newtek Business Services Corp. (the ‘Merger”)), and he received 80,000 Common Shares in 2011 with an original vest date of July 2014, which was extended to February 1, 2015 (which vested in November 2014 as a result of the Merger), with values as of date of award of $139,500 and $680,000 respectively. The Committee has determined that this salary and bonus package is competitive with the labor market median for someone with his skills and talents and is reflective of the Company’s current cash and financial position and the status of the Company’s Common Shares. Mr. Sloane’s base compensation had previously remained unchanged from 2005 through 2012.</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the Other Named Executive Officers (Share data adjusted for 1 for 5 Reverse Stock Split effectuated on October 22, 2014)</w:t>
      </w:r>
    </w:p>
    <w:p>
      <w:pPr>
        <w:spacing w:after="0" w:line="13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Committee approved the 2014 compensation for Craig J. Brunet, Executive Vice President and Chief Information Officer, Jennifer Eddelson, Executive Vice President and Chief Accounting Officer, Peter Downs, Chief Lending Officer, and Matthew Ash, Chief Legal Officer, as recommended to it by the Chief Executive Officer.</w:t>
      </w:r>
    </w:p>
    <w:p>
      <w:pPr>
        <w:spacing w:after="0" w:line="18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Mr. Brunet’s base salary was at $200,000 in 2014, and was $276,000 in 2012 and 2011. Mr. Brunet earned a $30,000 cash bonus for 2014 (paid in March 2015). In 2013 Mr. Brunet received an award of 2,000 Common Shares for services performed in 2012 which vested in 2014 in connection with the Merger, valued at $18,600 and a cash bonus of $41,400 in 2012. In 2011, Mr. Brunet was awarded 2,000 Common Shares for services performed in 2010 which vested in 2014 in connection with the Merger, valued at $85,000, and did not receive a cash bonus in 2011.</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Ms. Eddelson’s base salary for 2014 and 2013 was $240,000, and was $230,833, in 2012. Ms. Eddelson received a $90,000 cash bonus in 2014 (paid in 2015), and a $50,000 cash bonus for 2013 (paid in March 2014) and received 2,000 Common Shares which vested in 2014 in connection with the Merger, valued at $18,600, for services performed in 2012. In 2012 Ms. Eddelson received a cash bonus of $50,000 and an award of 7,000 Common Shares for services performed in 2011, which vested in July 2014, valued at $56,000.</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Down’s base salary for 2014 was $290,000, and he received an $85,000 cash bonus in 2014 (paid in 2015).</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Mr. Ash’s base salary for 2014 and 2013 was $238,000 and was $233,833, in 2012. Mr. Ash received a $50,000 cash bonus in 2014 (paid in 2015), and a $55,000 cash bonus for 2013 (paid in March 2014) and received 2,000 Common Shares which vested in 2014 in connection with the Merger, valued at $18,600, for services performed in 2012. In 2012 Mr. Ash received a cash bonus of $50,000.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Conclusion</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shareholders. We believe that the Company’s 2014 compensation program met those objectives.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its review, among other factors, the Committee considered the following:</w:t>
      </w:r>
    </w:p>
    <w:p>
      <w:pPr>
        <w:spacing w:after="0" w:line="131" w:lineRule="exact"/>
        <w:rPr>
          <w:sz w:val="20"/>
          <w:szCs w:val="20"/>
          <w:color w:val="auto"/>
        </w:rPr>
      </w:pPr>
    </w:p>
    <w:p>
      <w:pPr>
        <w:ind w:left="900" w:right="5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revenue model and our cash incentive plan encourage our employees to focus on creating a stable, predictable stream of revenue over multiple years, rather than focusing on current year revenue at the expense of succeeding years.</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and equity-based incentive awards in conjunction with management efforts focus on both near-term and long-term goals.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62"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COMPENSATION COMMITTEE REPORT</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Compensation, Corporate Governance and Nominating Committee of the Company has reviewed and discussed the foregoing Compensation Discussion and Analysis for fiscal 2014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Salvatore F. Mulia, Chairman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Richard J. Salute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 Kirschner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tables set forth the aggregate compensation earned by the Company’s Chief Executive Officer, Chief Accounting Officer, and next three most highly compensated executive officers during 2014 and the two previous years which we refer to as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1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323"/>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Awards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 excess of</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1780" w:type="dxa"/>
            <w:vAlign w:val="bottom"/>
            <w:tcBorders>
              <w:bottom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1"/>
              </w:rPr>
              <w:t>(4) (10)</w:t>
            </w:r>
          </w:p>
        </w:tc>
        <w:tc>
          <w:tcPr>
            <w:tcW w:w="260" w:type="dxa"/>
            <w:vAlign w:val="bottom"/>
          </w:tcPr>
          <w:p>
            <w:pPr>
              <w:spacing w:after="0"/>
              <w:rPr>
                <w:sz w:val="14"/>
                <w:szCs w:val="14"/>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 ($)</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$10,000) ($)</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Barry Sloane, CEO</w:t>
            </w: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2014</w:t>
            </w: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6"/>
              </w:rPr>
              <w:t>400,000</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100,000</w:t>
            </w:r>
          </w:p>
        </w:tc>
        <w:tc>
          <w:tcPr>
            <w:tcW w:w="260" w:type="dxa"/>
            <w:vAlign w:val="bottom"/>
            <w:tcBorders>
              <w:top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2</w:t>
            </w:r>
          </w:p>
        </w:tc>
        <w:tc>
          <w:tcPr>
            <w:tcW w:w="66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00"/>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20"/>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500,000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391,667</w:t>
            </w:r>
            <w:r>
              <w:rPr>
                <w:rFonts w:ascii="Arial" w:cs="Arial" w:eastAsia="Arial" w:hAnsi="Arial"/>
                <w:sz w:val="15"/>
                <w:szCs w:val="15"/>
                <w:color w:val="auto"/>
              </w:rPr>
              <w:t>1</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w w:val="98"/>
              </w:rPr>
              <w:t>100,000</w:t>
            </w:r>
            <w:r>
              <w:rPr>
                <w:rFonts w:ascii="Arial" w:cs="Arial" w:eastAsia="Arial" w:hAnsi="Arial"/>
                <w:sz w:val="15"/>
                <w:szCs w:val="15"/>
                <w:color w:val="auto"/>
                <w:w w:val="98"/>
              </w:rPr>
              <w:t>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139,500</w:t>
            </w:r>
            <w:r>
              <w:rPr>
                <w:rFonts w:ascii="Arial" w:cs="Arial" w:eastAsia="Arial" w:hAnsi="Arial"/>
                <w:sz w:val="15"/>
                <w:szCs w:val="15"/>
                <w:color w:val="auto"/>
                <w:w w:val="98"/>
              </w:rPr>
              <w:t>5</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350,000</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w w:val="98"/>
              </w:rPr>
              <w:t>300,000</w:t>
            </w:r>
            <w:r>
              <w:rPr>
                <w:rFonts w:ascii="Arial" w:cs="Arial" w:eastAsia="Arial" w:hAnsi="Arial"/>
                <w:sz w:val="15"/>
                <w:szCs w:val="15"/>
                <w:color w:val="auto"/>
                <w:w w:val="98"/>
              </w:rPr>
              <w:t>3</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Craig J. Brunet, EVP, CIO</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2014</w:t>
            </w:r>
          </w:p>
        </w:tc>
        <w:tc>
          <w:tcPr>
            <w:tcW w:w="9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200,000</w:t>
            </w:r>
          </w:p>
        </w:tc>
        <w:tc>
          <w:tcPr>
            <w:tcW w:w="920" w:type="dxa"/>
            <w:vAlign w:val="bottom"/>
            <w:gridSpan w:val="2"/>
          </w:tcPr>
          <w:p>
            <w:pPr>
              <w:jc w:val="right"/>
              <w:ind w:right="103"/>
              <w:spacing w:after="0" w:line="201" w:lineRule="exact"/>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2</w:t>
            </w:r>
          </w:p>
        </w:tc>
        <w:tc>
          <w:tcPr>
            <w:tcW w:w="9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4"/>
          </w:tcPr>
          <w:p>
            <w:pPr>
              <w:ind w:left="220"/>
              <w:spacing w:after="0"/>
              <w:rPr>
                <w:sz w:val="20"/>
                <w:szCs w:val="20"/>
                <w:color w:val="auto"/>
              </w:rPr>
            </w:pPr>
            <w:r>
              <w:rPr>
                <w:rFonts w:ascii="Arial" w:cs="Arial" w:eastAsia="Arial" w:hAnsi="Arial"/>
                <w:sz w:val="18"/>
                <w:szCs w:val="18"/>
                <w:color w:val="auto"/>
              </w:rPr>
              <w:t>2013</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276,000</w:t>
            </w:r>
          </w:p>
        </w:tc>
        <w:tc>
          <w:tcPr>
            <w:tcW w:w="92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18,600</w:t>
            </w:r>
            <w:r>
              <w:rPr>
                <w:rFonts w:ascii="Arial" w:cs="Arial" w:eastAsia="Arial" w:hAnsi="Arial"/>
                <w:sz w:val="15"/>
                <w:szCs w:val="15"/>
                <w:color w:val="auto"/>
              </w:rPr>
              <w:t>5</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gridSpan w:val="4"/>
          </w:tcPr>
          <w:p>
            <w:pPr>
              <w:ind w:left="220"/>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276,000</w:t>
            </w:r>
          </w:p>
        </w:tc>
        <w:tc>
          <w:tcPr>
            <w:tcW w:w="920" w:type="dxa"/>
            <w:vAlign w:val="bottom"/>
            <w:gridSpan w:val="2"/>
          </w:tcPr>
          <w:p>
            <w:pPr>
              <w:jc w:val="right"/>
              <w:ind w:right="103"/>
              <w:spacing w:after="0"/>
              <w:rPr>
                <w:sz w:val="20"/>
                <w:szCs w:val="20"/>
                <w:color w:val="auto"/>
              </w:rPr>
            </w:pPr>
            <w:r>
              <w:rPr>
                <w:rFonts w:ascii="Arial" w:cs="Arial" w:eastAsia="Arial" w:hAnsi="Arial"/>
                <w:sz w:val="18"/>
                <w:szCs w:val="18"/>
                <w:color w:val="auto"/>
              </w:rPr>
              <w:t>41,400</w:t>
            </w:r>
            <w:r>
              <w:rPr>
                <w:rFonts w:ascii="Arial" w:cs="Arial" w:eastAsia="Arial" w:hAnsi="Arial"/>
                <w:sz w:val="15"/>
                <w:szCs w:val="15"/>
                <w:color w:val="auto"/>
              </w:rPr>
              <w:t>3</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317,400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Jennifer C. Eddelson, EVP, CAO</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2014</w:t>
            </w:r>
          </w:p>
        </w:tc>
        <w:tc>
          <w:tcPr>
            <w:tcW w:w="9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240,000</w:t>
            </w:r>
          </w:p>
        </w:tc>
        <w:tc>
          <w:tcPr>
            <w:tcW w:w="920" w:type="dxa"/>
            <w:vAlign w:val="bottom"/>
            <w:gridSpan w:val="2"/>
            <w:shd w:val="clear" w:color="auto" w:fill="CCEEFF"/>
          </w:tcPr>
          <w:p>
            <w:pPr>
              <w:jc w:val="right"/>
              <w:ind w:right="103"/>
              <w:spacing w:after="0" w:line="201" w:lineRule="exact"/>
              <w:rPr>
                <w:sz w:val="20"/>
                <w:szCs w:val="20"/>
                <w:color w:val="auto"/>
              </w:rPr>
            </w:pPr>
            <w:r>
              <w:rPr>
                <w:rFonts w:ascii="Arial" w:cs="Arial" w:eastAsia="Arial" w:hAnsi="Arial"/>
                <w:sz w:val="18"/>
                <w:szCs w:val="18"/>
                <w:color w:val="auto"/>
              </w:rPr>
              <w:t>90,000</w:t>
            </w:r>
            <w:r>
              <w:rPr>
                <w:rFonts w:ascii="Arial" w:cs="Arial" w:eastAsia="Arial" w:hAnsi="Arial"/>
                <w:sz w:val="15"/>
                <w:szCs w:val="15"/>
                <w:color w:val="auto"/>
              </w:rPr>
              <w:t>2</w:t>
            </w:r>
          </w:p>
        </w:tc>
        <w:tc>
          <w:tcPr>
            <w:tcW w:w="9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240,000</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18,600</w:t>
            </w:r>
            <w:r>
              <w:rPr>
                <w:rFonts w:ascii="Arial" w:cs="Arial" w:eastAsia="Arial" w:hAnsi="Arial"/>
                <w:sz w:val="15"/>
                <w:szCs w:val="15"/>
                <w:color w:val="auto"/>
              </w:rPr>
              <w:t>5</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230,833</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r>
              <w:rPr>
                <w:rFonts w:ascii="Arial" w:cs="Arial" w:eastAsia="Arial" w:hAnsi="Arial"/>
                <w:sz w:val="15"/>
                <w:szCs w:val="15"/>
                <w:color w:val="auto"/>
              </w:rPr>
              <w:t>6</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336,833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w w:val="98"/>
              </w:rPr>
              <w:t xml:space="preserve">Peter Downs, Chief Lending Officer </w:t>
            </w:r>
            <w:r>
              <w:rPr>
                <w:rFonts w:ascii="Arial" w:cs="Arial" w:eastAsia="Arial" w:hAnsi="Arial"/>
                <w:sz w:val="15"/>
                <w:szCs w:val="15"/>
                <w:color w:val="auto"/>
                <w:w w:val="98"/>
              </w:rPr>
              <w:t>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2014</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290,000</w:t>
            </w:r>
          </w:p>
        </w:tc>
        <w:tc>
          <w:tcPr>
            <w:tcW w:w="920" w:type="dxa"/>
            <w:vAlign w:val="bottom"/>
            <w:gridSpan w:val="2"/>
          </w:tcPr>
          <w:p>
            <w:pPr>
              <w:jc w:val="right"/>
              <w:ind w:right="103"/>
              <w:spacing w:after="0"/>
              <w:rPr>
                <w:sz w:val="20"/>
                <w:szCs w:val="20"/>
                <w:color w:val="auto"/>
              </w:rPr>
            </w:pPr>
            <w:r>
              <w:rPr>
                <w:rFonts w:ascii="Arial" w:cs="Arial" w:eastAsia="Arial" w:hAnsi="Arial"/>
                <w:sz w:val="18"/>
                <w:szCs w:val="18"/>
                <w:color w:val="auto"/>
              </w:rPr>
              <w:t>85,000</w:t>
            </w:r>
            <w:r>
              <w:rPr>
                <w:rFonts w:ascii="Arial" w:cs="Arial" w:eastAsia="Arial" w:hAnsi="Arial"/>
                <w:sz w:val="15"/>
                <w:szCs w:val="15"/>
                <w:color w:val="auto"/>
              </w:rPr>
              <w:t>2</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G Ash, Chief Compliance</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2014</w:t>
            </w:r>
          </w:p>
        </w:tc>
        <w:tc>
          <w:tcPr>
            <w:tcW w:w="9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238,000</w:t>
            </w:r>
          </w:p>
        </w:tc>
        <w:tc>
          <w:tcPr>
            <w:tcW w:w="920" w:type="dxa"/>
            <w:vAlign w:val="bottom"/>
            <w:gridSpan w:val="2"/>
            <w:shd w:val="clear" w:color="auto" w:fill="CCEEFF"/>
          </w:tcPr>
          <w:p>
            <w:pPr>
              <w:jc w:val="right"/>
              <w:ind w:right="103"/>
              <w:spacing w:after="0" w:line="201" w:lineRule="exact"/>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2</w:t>
            </w:r>
          </w:p>
        </w:tc>
        <w:tc>
          <w:tcPr>
            <w:tcW w:w="9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288,000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238,000</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55,000</w:t>
            </w:r>
            <w:r>
              <w:rPr>
                <w:rFonts w:ascii="Arial" w:cs="Arial" w:eastAsia="Arial" w:hAnsi="Arial"/>
                <w:sz w:val="15"/>
                <w:szCs w:val="15"/>
                <w:color w:val="auto"/>
              </w:rPr>
              <w:t>8</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18,600</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233,833</w:t>
            </w:r>
          </w:p>
        </w:tc>
        <w:tc>
          <w:tcPr>
            <w:tcW w:w="9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3</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283,833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Sloane received an increase in base salary on March 1, 2013.</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bonus awarded for 2014 performance and paid in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bonus awarded for 2012 performance and paid in 2012.</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reported for Stock and Option Awards is the aggregate grant date fair value of options or stock awards granted to the named executive officers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 K for the fiscal year ended December 31, 2014.</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grant awarded for 2012 performance, granted in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grants awarded for 2011 performance, granted in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Downs became a named executive officer in November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bonus awarded for 2013 performance and paid in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Matthew G. Ash has served as Chief Compliance Officer since November 2014.</w:t>
      </w:r>
    </w:p>
    <w:p>
      <w:pPr>
        <w:spacing w:after="0" w:line="9" w:lineRule="exact"/>
        <w:rPr>
          <w:rFonts w:ascii="Arial" w:cs="Arial" w:eastAsia="Arial" w:hAnsi="Arial"/>
          <w:sz w:val="18"/>
          <w:szCs w:val="18"/>
          <w:color w:val="auto"/>
        </w:rPr>
      </w:pPr>
    </w:p>
    <w:p>
      <w:pPr>
        <w:jc w:val="both"/>
        <w:ind w:left="460" w:right="38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Messrs. Sloane, Brunet, Downs and Ash were each granted an option to acquire 300 Company Shares with an exercise price of $20.00 per share in exchange for the extension of the vesting period on their stock awards from July 2014, to February 2015. These options expired unexercised on the BDC conversion date of November 11, 2014.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information as of December 31, 2014 with respect to our Common Shares that may be issued under our equity compensation plans.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6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w:t>
            </w: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upon</w:t>
            </w: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58"/>
        </w:trPr>
        <w:tc>
          <w:tcPr>
            <w:tcW w:w="5760" w:type="dxa"/>
            <w:vAlign w:val="bottom"/>
            <w:gridSpan w:val="2"/>
            <w:vMerge w:val="continue"/>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6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660" w:type="dxa"/>
            <w:vAlign w:val="bottom"/>
          </w:tcPr>
          <w:p>
            <w:pPr>
              <w:spacing w:after="0"/>
              <w:rPr>
                <w:sz w:val="13"/>
                <w:szCs w:val="13"/>
                <w:color w:val="auto"/>
              </w:rPr>
            </w:pP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Shareholders </w:t>
            </w:r>
            <w:r>
              <w:rPr>
                <w:rFonts w:ascii="Arial" w:cs="Arial" w:eastAsia="Arial" w:hAnsi="Arial"/>
                <w:sz w:val="15"/>
                <w:szCs w:val="15"/>
                <w:color w:val="auto"/>
              </w:rPr>
              <w:t>(1)</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3,000,000 common shares under the Company’s 2014 Stock Incentive and Deferred Compensation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reflects all grants to our named executive officers awarded in the fiscal year ended December 31, 2014, all with an original vest dated of March 1, 2016, but which vested on or before November 11, 2014 as a result of the Merger.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Estimated Future Payouts Under</w:t>
            </w:r>
          </w:p>
        </w:tc>
        <w:tc>
          <w:tcPr>
            <w:tcW w:w="2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Estimated Future Payments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25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 Base</w:t>
            </w: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28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28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Shares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980" w:type="dxa"/>
            <w:vAlign w:val="bottom"/>
            <w:vMerge w:val="restart"/>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or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208"/>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6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208"/>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6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Unites (#)</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($/Sh)</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Barry Sloane, CEO</w:t>
            </w:r>
          </w:p>
        </w:tc>
        <w:tc>
          <w:tcPr>
            <w:tcW w:w="380" w:type="dxa"/>
            <w:vAlign w:val="bottom"/>
            <w:tcBorders>
              <w:top w:val="single" w:sz="8" w:color="auto"/>
            </w:tcBorders>
            <w:shd w:val="clear" w:color="auto" w:fill="CCEEFF"/>
          </w:tcPr>
          <w:p>
            <w:pPr>
              <w:ind w:left="16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85"/>
              </w:rPr>
              <w:t>300</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color w:val="auto"/>
                <w:w w:val="85"/>
              </w:rPr>
              <w:t>20.00</w:t>
            </w: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Craig J. Brunet, EVP, CIO</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ind w:left="480"/>
              <w:spacing w:after="0" w:line="149" w:lineRule="exact"/>
              <w:rPr>
                <w:sz w:val="20"/>
                <w:szCs w:val="20"/>
                <w:color w:val="auto"/>
              </w:rPr>
            </w:pPr>
            <w:r>
              <w:rPr>
                <w:rFonts w:ascii="Arial" w:cs="Arial" w:eastAsia="Arial" w:hAnsi="Arial"/>
                <w:sz w:val="14"/>
                <w:szCs w:val="14"/>
                <w:color w:val="auto"/>
                <w:w w:val="85"/>
              </w:rPr>
              <w:t>300</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20.00</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Jennifer C. Eddelson, EVP, CAO</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Peter Downs, Chief Lending Officer</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ind w:left="480"/>
              <w:spacing w:after="0" w:line="149" w:lineRule="exact"/>
              <w:rPr>
                <w:sz w:val="20"/>
                <w:szCs w:val="20"/>
                <w:color w:val="auto"/>
              </w:rPr>
            </w:pPr>
            <w:r>
              <w:rPr>
                <w:rFonts w:ascii="Arial" w:cs="Arial" w:eastAsia="Arial" w:hAnsi="Arial"/>
                <w:sz w:val="14"/>
                <w:szCs w:val="14"/>
                <w:color w:val="auto"/>
                <w:w w:val="85"/>
              </w:rPr>
              <w:t>300</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20.00</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Matthew G Ash, CCO</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300</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20.00</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2014 YEAR 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all outstanding equity awards held by our named executive officers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Option Awards (1)</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Awards (1)</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Plan</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Number</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Units</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Shares,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4"/>
              </w:rPr>
              <w:t>Units or</w:t>
            </w:r>
          </w:p>
        </w:tc>
        <w:tc>
          <w:tcPr>
            <w:tcW w:w="9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Shares or</w:t>
            </w: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that</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Rights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Units that</w:t>
            </w: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have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that have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Unearned</w:t>
            </w: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have not</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not</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not</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14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Vested</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9"/>
        </w:trPr>
        <w:tc>
          <w:tcPr>
            <w:tcW w:w="1800" w:type="dxa"/>
            <w:vAlign w:val="bottom"/>
            <w:gridSpan w:val="3"/>
            <w:vMerge w:val="continue"/>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Barry Sloane, Chief</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Executive Officer</w:t>
            </w:r>
          </w:p>
        </w:tc>
        <w:tc>
          <w:tcPr>
            <w:tcW w:w="10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800" w:type="dxa"/>
            <w:vAlign w:val="bottom"/>
            <w:gridSpan w:val="3"/>
          </w:tcPr>
          <w:p>
            <w:pPr>
              <w:spacing w:after="0"/>
              <w:rPr>
                <w:sz w:val="20"/>
                <w:szCs w:val="20"/>
                <w:color w:val="auto"/>
              </w:rPr>
            </w:pPr>
            <w:r>
              <w:rPr>
                <w:rFonts w:ascii="Arial" w:cs="Arial" w:eastAsia="Arial" w:hAnsi="Arial"/>
                <w:sz w:val="14"/>
                <w:szCs w:val="14"/>
                <w:color w:val="auto"/>
              </w:rPr>
              <w:t>Jennifer Eddelson, Chief</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color w:val="auto"/>
              </w:rPr>
              <w:t>Accounting Officer</w:t>
            </w:r>
          </w:p>
        </w:tc>
        <w:tc>
          <w:tcPr>
            <w:tcW w:w="10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Craig J. Brunet, Chief</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Information Officer</w:t>
            </w:r>
          </w:p>
        </w:tc>
        <w:tc>
          <w:tcPr>
            <w:tcW w:w="10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800" w:type="dxa"/>
            <w:vAlign w:val="bottom"/>
            <w:gridSpan w:val="3"/>
          </w:tcPr>
          <w:p>
            <w:pPr>
              <w:spacing w:after="0"/>
              <w:rPr>
                <w:sz w:val="20"/>
                <w:szCs w:val="20"/>
                <w:color w:val="auto"/>
              </w:rPr>
            </w:pPr>
            <w:r>
              <w:rPr>
                <w:rFonts w:ascii="Arial" w:cs="Arial" w:eastAsia="Arial" w:hAnsi="Arial"/>
                <w:sz w:val="14"/>
                <w:szCs w:val="14"/>
                <w:color w:val="auto"/>
              </w:rPr>
              <w:t>Peter Downs, Chief</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color w:val="auto"/>
              </w:rPr>
              <w:t>Lending Officer</w:t>
            </w:r>
          </w:p>
        </w:tc>
        <w:tc>
          <w:tcPr>
            <w:tcW w:w="10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Matthew G Ash, Chief</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Compliance Officer</w:t>
            </w:r>
          </w:p>
        </w:tc>
        <w:tc>
          <w:tcPr>
            <w:tcW w:w="10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right="60" w:hanging="332"/>
        <w:spacing w:after="0" w:line="25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a result of the Merger, all outstanding awards of stock options and restricted Common Shares vested, were exercised and were converted into Common Shares of the Company on or before November 11, 2014. To date, there have been no grants of Option Awards under the 2014 Stock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EXERCISED AND STOCK VESTED</w:t>
      </w:r>
    </w:p>
    <w:p>
      <w:pPr>
        <w:spacing w:after="0" w:line="229"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As a result of the Merger, on or before November 11, 2014, all outstanding awards of stock options and restricted Common Shares vested, were exercised and were converted into Common Shares of the Company. The following table reflects the named executive officers’ options exercised and stock vested as a result of the Merger.</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8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rPr>
              <w:t>Option Awards (1)</w:t>
            </w:r>
          </w:p>
        </w:tc>
        <w:tc>
          <w:tcPr>
            <w:tcW w:w="27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Stock Awards (1)</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60" w:type="dxa"/>
            <w:vAlign w:val="bottom"/>
            <w:tcBorders>
              <w:top w:val="single" w:sz="8" w:color="auto"/>
            </w:tcBorders>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2"/>
              </w:rPr>
              <w:t>Number of Shares</w:t>
            </w:r>
          </w:p>
        </w:tc>
        <w:tc>
          <w:tcPr>
            <w:tcW w:w="9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3"/>
              </w:rPr>
              <w:t>Value Realized</w:t>
            </w: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vMerge w:val="restart"/>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20" w:type="dxa"/>
            <w:vAlign w:val="bottom"/>
            <w:gridSpan w:val="2"/>
            <w:vMerge w:val="continue"/>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on Exercise (1)</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17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1"/>
              </w:rPr>
              <w:t>Exercise (#)</w:t>
            </w:r>
          </w:p>
        </w:tc>
        <w:tc>
          <w:tcPr>
            <w:tcW w:w="162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92"/>
              </w:rPr>
              <w:t xml:space="preserve">On Exercise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106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w w:val="92"/>
              </w:rPr>
              <w:t xml:space="preserve">On Exercise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Barry Sloane</w:t>
            </w:r>
          </w:p>
        </w:tc>
        <w:tc>
          <w:tcPr>
            <w:tcW w:w="11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48,783</w:t>
            </w: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1,239,750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Jennifer Eddelson</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6,000</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32,600</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11,261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J. Brunet</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13,889</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215,000</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9,538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184,266</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2,552</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33,300</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8,824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182,700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G Ash</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5,184</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85,300</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7,926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the Merger, all outstanding awards of stock options and restricted Common Shares vested, were exercised and were converted into Common Shares of the Company on or before November 11, 2014. The amounts in the table above reflect the net shares issued after exchange of shares for payment of taxes.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entered into separate employment agreements with the following named executive officers during 2014:</w:t>
      </w:r>
    </w:p>
    <w:p>
      <w:pPr>
        <w:spacing w:after="0" w:line="131" w:lineRule="exact"/>
        <w:rPr>
          <w:sz w:val="20"/>
          <w:szCs w:val="20"/>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Secretary;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Craig J. Brunet, as Executive Vice President and Chief Information Officer;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Jennifer Eddelson, as Executive Vice President and Chief Accounting Officer;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Matthew G. Ash, Executive Vice President and Chief Compliance Officer.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Barry Sloane, as Chairman and Chief Executive Officer, is responsible for implementing the policies adopted by the Company’s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Sloane’s employment agreement provides for:</w:t>
      </w:r>
    </w:p>
    <w:p>
      <w:pPr>
        <w:spacing w:after="0" w:line="131" w:lineRule="exact"/>
        <w:rPr>
          <w:sz w:val="20"/>
          <w:szCs w:val="20"/>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twelve month term through March 31, 2015 at an annual base salary of $400,000;</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million of split-dollar life insurance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Brunet’s employment agreement provides for:</w:t>
      </w:r>
    </w:p>
    <w:p>
      <w:pPr>
        <w:spacing w:after="0" w:line="131" w:lineRule="exact"/>
        <w:rPr>
          <w:sz w:val="20"/>
          <w:szCs w:val="20"/>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twelve month term through March 31, 2015 at an annual base salary of $200,000;</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Eddelson’s employment agreement provides for:</w:t>
      </w:r>
    </w:p>
    <w:p>
      <w:pPr>
        <w:spacing w:after="0" w:line="131" w:lineRule="exact"/>
        <w:rPr>
          <w:sz w:val="20"/>
          <w:szCs w:val="20"/>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twelve month term through May 31, 2015 at an annual base salary of $240,000;</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Ash’s employment agreement provides for:</w:t>
      </w:r>
    </w:p>
    <w:p>
      <w:pPr>
        <w:spacing w:after="0" w:line="131" w:lineRule="exact"/>
        <w:rPr>
          <w:sz w:val="20"/>
          <w:szCs w:val="20"/>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twelve month term through December 31, 2014 at an annual base salary of $238,000;</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of Control</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Mr. Sloane’s employment agreement provides for a payment in the event of non-renewal of his employment in an amount equal to one and one half (1.5) times, or in the case of a change of control or termination other than for cause of the agreement an amount equal to two (2) times, the sum of (i) the executive’s base salary in effect at the time of termination, plus (ii) the amount of any incentive compensation paid with respect to the immediately preceding fiscal year.</w:t>
      </w:r>
    </w:p>
    <w:p>
      <w:pPr>
        <w:spacing w:after="0" w:line="18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Mr. Brunet’s, Ms. Eddelson’s and Mr. Ash’s employment agreements provide for a payment in the case of termination other than for cause or in connection with a change in control of the agreement equal to one (1) times the sum of (i) the executive’s base salary in effect at the time of termination, plus</w:t>
      </w:r>
    </w:p>
    <w:p>
      <w:pPr>
        <w:ind w:right="80" w:firstLine="8"/>
        <w:spacing w:after="0" w:line="255"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any incentive compensation paid with respect to the immediately preceding fiscal year. Mr. Brunet’s employment agreement also provides for a payment in the case of non-renewal equal to one (1) times the sum of (i) the executive’s base salary in effect at the time of termination, plus (ii) the amount of any incentive compensation paid with respect to the immediately preceding fiscal year.</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0" w:right="319" w:bottom="1440" w:gutter="0" w:footer="0" w:header="0"/>
        </w:sectPr>
      </w:pPr>
    </w:p>
    <w:bookmarkStart w:id="25" w:name="page26"/>
    <w:bookmarkEnd w:id="25"/>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employment agreement contains a non-competition provision that requires the employee to devote substantially his full business time and efforts to the performance of the employee’s duties under the agreement.</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employee is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each of the employment agreements, the Company may terminate an employee’s employment for “just cause” as defined in the agreement, and upon the termination, no severance benefits are available. If the employee voluntarily terminates his employment for “good reason” as defined in the agreement, or the employee’s employment terminates during the term of the agreement due to death, disability, or retirement after age 62, the employee will be entitled to a continuation of his salary and benefits from the date of termination through the remaining term of the agreement. The employee is able to terminate voluntarily his agreement by providing 60 days written notice to the Board of Directors, in which case the employee is entitled to receive only his compensation, vested rights and benefits up to the date of termination.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Termination Payments</w:t>
      </w:r>
    </w:p>
    <w:p>
      <w:pPr>
        <w:spacing w:after="0" w:line="12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table below reflects the amount of compensation that would be payable to the executive officers under existing arrangements if the hypothetical termination of employment events described above had occurred on December 31, 2014, given their compensation and service levels as of such date. All payments are payable by the Company in a lump sum unless otherwise noted.</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188"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actual amounts that would be paid upon Mr. Sloane’s and Mr. Brunet’s termination of employment can be determined only at the time of their separation from the Company.</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Post Termination Payments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Change in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Non-</w:t>
            </w:r>
          </w:p>
        </w:tc>
        <w:tc>
          <w:tcPr>
            <w:tcW w:w="680" w:type="dxa"/>
            <w:vAlign w:val="bottom"/>
          </w:tcPr>
          <w:p>
            <w:pPr>
              <w:spacing w:after="0"/>
              <w:rPr>
                <w:sz w:val="10"/>
                <w:szCs w:val="10"/>
                <w:color w:val="auto"/>
              </w:rPr>
            </w:pPr>
          </w:p>
        </w:tc>
        <w:tc>
          <w:tcPr>
            <w:tcW w:w="12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Termination without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Control</w:t>
            </w:r>
          </w:p>
        </w:tc>
        <w:tc>
          <w:tcPr>
            <w:tcW w:w="480" w:type="dxa"/>
            <w:vAlign w:val="bottom"/>
          </w:tcPr>
          <w:p>
            <w:pPr>
              <w:spacing w:after="0"/>
              <w:rPr>
                <w:sz w:val="15"/>
                <w:szCs w:val="15"/>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Renewal</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cause</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Barry Sloane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750,000</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Craig J. Brunet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200,000</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Matthew 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293,000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293,000</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not have any nonqualified deferred compensation in the year ended December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had no obligation under pension benefit plans to the named executive officers as of December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for Stock-Based Compensation</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FASB Statement 123(R).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229"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The Audit Committee of the Board of directors has reappointed McGladrey LLP as our independent accountants to audit our consolidated financial statements for the fiscal year ending December 31, 2015, and the Audit Committee has asked that this selection be ratified by our shareholders.</w:t>
      </w:r>
    </w:p>
    <w:p>
      <w:pPr>
        <w:spacing w:after="0" w:line="12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Representatives of McGladrey LLP are expected to be present at the Annual Meeting. They will have an opportunity to make a statement if they so desire and will be available to respond to appropriate questions. The ratification of the selection of McGladrey LLP as our independent accountants for the fiscal year ending December 31, 2015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2015 but the Audit Committee is not bound by the outcome of the vote.</w:t>
      </w:r>
    </w:p>
    <w:p>
      <w:pPr>
        <w:spacing w:after="0" w:line="161"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THE BOARD BELIEVES THAT A VOTE FOR THE PROPOSAL TO RATIFY THE APPOINTMENT OF THE INDEPENDENT ACCOUNTANTS AS DESCRIBED ABOVE IS IN THE BEST INTERESTS OF OUR SHAREHOLDERS AND RECOMMENDS A VOTE “FOR” SUCH PROPOSAL</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Fees for professional services rendered to the Company by McGladrey LLP during the fiscal year ended December 31, 2014 were as follows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Audit related fees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 other fees</w:t>
            </w:r>
          </w:p>
        </w:tc>
        <w:tc>
          <w:tcPr>
            <w:tcW w:w="2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Fees for professional services rendered to the Company by McGladrey LLP during the fiscal year ended December 31, 2013 were as follows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Audit related fees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All other fees</w:t>
            </w:r>
          </w:p>
        </w:tc>
        <w:tc>
          <w:tcPr>
            <w:tcW w:w="30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2014 and 2013 were for professional services rendered in connection with the audits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financial statements, assistance with review of documents filed with the SEC, consents and other services required to be performed by our independent registered public accounting firm.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7" w:name="page28"/>
    <w:bookmarkEnd w:id="27"/>
    <w:p>
      <w:pPr>
        <w:ind w:right="32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Audit-Related Fees: </w:t>
      </w:r>
      <w:r>
        <w:rPr>
          <w:rFonts w:ascii="Arial" w:cs="Arial" w:eastAsia="Arial" w:hAnsi="Arial"/>
          <w:sz w:val="18"/>
          <w:szCs w:val="18"/>
          <w:color w:val="auto"/>
        </w:rPr>
        <w:t>All other fees billed to the Company by McGladrey LLP during the fiscal years ended December 31, 2014 and 2013 for non-audit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assurance and related services for attestations not required by law. In 2014 the amount represented fees for stand-alone audits required by the Company’s lender.</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No fees were billed to the Company by McGladrey LLP during the fiscal years ended December 31, 2014 and 2013 for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rendered in connection with tax compliance, tax advice, and tax planning.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Non-audit related services billed by McGladrey LLP were primarily related to the Company’s Form N-2 and N-14 filings.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McGladrey LLP were pre-approved by the Audit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Securities and Exchange Commission and the NASDAQ Stock Market. In 2014, the Audit Committee convened 4 times to discuss with management and the independent auditors their respective accounting, auditing and financial reporting responsibilities with respect to the fiscal years 2014 and 2013.</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connection with the December 31, 2014 financial statements of the Company, the Audit Committee: (1) reviewed and discussed the audited and interim unaudited financial statements with management; (2) discussed with the auditors the matters required by the Statement on Auditing Standards No. 61, as amended (Codification of statements on Auditing Standards, AU 380) as adopted by the Public Company Accounting Oversight Board (PCAOB) in Rule 3200T; and (3) received and discussed with the auditors the matters required by Independence Standards Board Statement No. 1. In discharging these oversight responsibilities as to the audit process, the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McGladrey LLP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Committee also discussed with management and the independent auditors the quality and adequacy of the Company’s internal controls.</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2014, with management and the independent auditors. Based upon these reviews and the resulting discussions, the Audit Committee recommended to the Board that the Company’s audited financial statements be included in its Annual Report on Form 10-K for the fiscal year ended December 31, 2014, for filing with the Securities and Exchange Commission.</w:t>
      </w:r>
    </w:p>
    <w:p>
      <w:pPr>
        <w:sectPr>
          <w:pgSz w:w="11900" w:h="16838" w:orient="portrait"/>
          <w:cols w:equalWidth="0" w:num="1">
            <w:col w:w="11420"/>
          </w:cols>
          <w:pgMar w:left="240" w:top="274" w:right="239" w:bottom="1440" w:gutter="0" w:footer="0" w:header="0"/>
        </w:sectPr>
      </w:pP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 April 27, 2015</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Richard J. Salute,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Salvatore F. Mulia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 Kirschner</w:t>
      </w:r>
    </w:p>
    <w:p>
      <w:pPr>
        <w:spacing w:after="0" w:line="200" w:lineRule="exact"/>
        <w:rPr>
          <w:sz w:val="20"/>
          <w:szCs w:val="20"/>
          <w:color w:val="auto"/>
        </w:rPr>
      </w:pPr>
    </w:p>
    <w:p>
      <w:pPr>
        <w:sectPr>
          <w:pgSz w:w="11900" w:h="16838" w:orient="portrait"/>
          <w:cols w:equalWidth="0" w:num="2">
            <w:col w:w="7180" w:space="720"/>
            <w:col w:w="3520"/>
          </w:cols>
          <w:pgMar w:left="240" w:top="274" w:right="2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22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Pursuant to the Securities and Exchange Commission rules adopted under the Dodd-Frank Wall Street Reform and Consumer Protection Act (the “Dodd-Frank Act”), we are conducting a shareholder advisory vote on the compensation paid to our named executive officers. Although the vote is advisory and is not binding on the Board,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154"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type w:val="continuous"/>
        </w:sectPr>
      </w:pPr>
    </w:p>
    <w:bookmarkStart w:id="28" w:name="page29"/>
    <w:bookmarkEnd w:id="28"/>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described in the Compensation Discussion and Analysis section,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187"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beginning on page 10 of this proxy statement for additional details about our executive compensation programs.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strongly endorses the Company’s executive compensation program and recommends that shareholders vote in favor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resolution:</w:t>
      </w:r>
    </w:p>
    <w:p>
      <w:pPr>
        <w:spacing w:after="0" w:line="21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RESOLVED, that the shareholders of Newtek Business Services, Inc. hereby approve on an advisory basis, the compensation paid to the Company’s named executive officers, as disclosed pursuant to Item 402 of Regulation S-K to the Company’s Proxy Statement for the 2015 Annual Meeting of Shareholders, including the Compensation Discussion and Analysis compensation tables and narrative discussion.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 RELATED TO COMPENSATION OF NAMED EXECUTIVE OFFICERS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IV – APPROVAL TO ADJOURN TO SOLICIT ADDITIONAL VOTES</w:t>
      </w:r>
    </w:p>
    <w:p>
      <w:pPr>
        <w:spacing w:after="0" w:line="229"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The Company’s shareholders may be asked to consider and act upon one or more adjournments of the Annual Meeting, if necessary or appropriate, to solicit additional proxies in favor of any or all of the other proposals set forth in this proxy statement.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 quorum is not present at the Annual Meeting, the Company’s shareholders may be asked to vote on the proposal to adjourn the Annual Meeting to solicit additional proxies. If a quorum is present at the Annual Meeting, but there are not sufficient votes at the time of the Annual Meeting to approve one or more of the proposals, the Company’s shareholders may also be asked to vote on the proposal to adjourn the Annual Meeting to permit further solicitation of proxies in favor of the other proposals. However, a shareholder vote may be taken on one or more of the proposals in this proxy statement prior to any such adjournment if there are sufficient votes for approval on such proposal(s).</w:t>
      </w:r>
    </w:p>
    <w:p>
      <w:pPr>
        <w:spacing w:after="0" w:line="18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If the adjournment proposal is approved, and the Annual Meeting is adjourned, the Board will use the additional time to solicit additional proxies in favor of any of the proposals to be presented at the Annual Meeting, including the solicitation of proxies from shareholders that have previously voted against the relevant proposal. Among other things, approval of the adjournment proposal could mean that, even though the Company may have received proxies representing a sufficient number of votes against a proposal to defeat it, the Company’s management could present the adjournment proposal for a vote of the Company’s shareholders and thereby cause the Annual Meeting to be adjourned without a vote on the proposal and seek during that period to convince the holders of those Shares to change their votes to vote in favor of the proposal. Therefore, if a shareholder voted against any or all of the other proposals set forth in this proxy statement, then such shareholder may not want to vote for this adjournment proposal.</w:t>
      </w:r>
    </w:p>
    <w:p>
      <w:pPr>
        <w:spacing w:after="0" w:line="16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Board believes that, if the number of the Company’s common shares voting in favor of any of the proposals presented at the Annual Meeting is insufficient to approve a proposal, it is in the best interests of the Company’s shareholders to enable the Board, for a limited period of time, to continue to seek to obtain a sufficient number of additional votes in favor of the proposal.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 TO APPROVE AN ADJOURNMENT.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TO BE HELD ON June 24, 2015</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Proxy Statement and Annual Report for the year ended December 31, 2014 are available at the special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http://www.astproxyportal.com/ast/19720/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Inc., 212 West 35th Street, 2nd floor, New York, NY 10001, Attention: Secretary, and can also be accessed through our website at www.Thesba.com.</w:t>
      </w:r>
    </w:p>
    <w:p>
      <w:pPr>
        <w:spacing w:after="0" w:line="193"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212 West 35th Street, 2nd floor, New York, NY 10001,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14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212 West 35th Street, 2nd floor, New York, New York 10001.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order to be eligible for inclusion in the proxy statement and proxy relating to the 2016 Annual Meeting of Shareholders of the Company, which will be held on or about June 15, 2016, any shareholder proposal to take action at such meeting must be received by the Secretary of the Company at 212 West 35th Street, 2nd floor, New York, New York 10001 no later than March 15, 2016. Nothing in this paragraph shall be deemed to require the Company to include in its proxy statement and proxy relating to the 2015 Annual Meeting of Shareholders, or to consider and vote upon at any such meeting, any shareholder proposal which does not meet all of the requirements established by the Securities and Exchange Commission (“SEC”) or the Company’s Restated Certificate of Incorporation or Bylaws in effect at the time such proposal is received.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A. Schwartz,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SHAREHOLDERS OF</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NEWTEK BUSINESS SERVICES CORP.</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June 24, 2015</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GO GREEN</w:t>
      </w:r>
    </w:p>
    <w:p>
      <w:pPr>
        <w:spacing w:after="0" w:line="19" w:lineRule="exact"/>
        <w:rPr>
          <w:sz w:val="20"/>
          <w:szCs w:val="20"/>
          <w:color w:val="auto"/>
        </w:rPr>
      </w:pPr>
    </w:p>
    <w:p>
      <w:pPr>
        <w:jc w:val="both"/>
        <w:ind w:left="2760" w:right="2860"/>
        <w:spacing w:after="0" w:line="250" w:lineRule="auto"/>
        <w:rPr>
          <w:sz w:val="20"/>
          <w:szCs w:val="20"/>
          <w:color w:val="auto"/>
        </w:rPr>
      </w:pPr>
      <w:r>
        <w:rPr>
          <w:rFonts w:ascii="Arial" w:cs="Arial" w:eastAsia="Arial" w:hAnsi="Arial"/>
          <w:sz w:val="14"/>
          <w:szCs w:val="14"/>
          <w:color w:val="auto"/>
        </w:rPr>
        <w:t>e-Consent makes it easy to go paperless. With e-Consent, you can quickly access your proxy material, statements and other eligible documents online, while reducing costs, clutter and paper waste. Enroll today via www.amstock.com to enjoy online access.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jc w:val="center"/>
        <w:ind w:right="20"/>
        <w:spacing w:after="0"/>
        <w:rPr>
          <w:sz w:val="20"/>
          <w:szCs w:val="20"/>
          <w:color w:val="auto"/>
        </w:rPr>
      </w:pPr>
      <w:r>
        <w:rPr>
          <w:rFonts w:ascii="Arial" w:cs="Arial" w:eastAsia="Arial" w:hAnsi="Arial"/>
          <w:sz w:val="18"/>
          <w:szCs w:val="18"/>
          <w:color w:val="auto"/>
        </w:rPr>
        <w:t>are available at http://www.astproxyportal.com/ast/19720/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80" w:type="dxa"/>
            <w:vAlign w:val="bottom"/>
            <w:gridSpan w:val="2"/>
          </w:tcPr>
          <w:p>
            <w:pPr>
              <w:jc w:val="center"/>
              <w:ind w:right="1446"/>
              <w:spacing w:after="0"/>
              <w:rPr>
                <w:sz w:val="20"/>
                <w:szCs w:val="20"/>
                <w:color w:val="auto"/>
              </w:rPr>
            </w:pPr>
            <w:r>
              <w:rPr>
                <w:rFonts w:ascii="Arial" w:cs="Arial" w:eastAsia="Arial" w:hAnsi="Arial"/>
                <w:sz w:val="32"/>
                <w:szCs w:val="32"/>
                <w:color w:val="auto"/>
              </w:rPr>
              <w:t>Please sign, date and mail</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80" w:type="dxa"/>
            <w:vAlign w:val="bottom"/>
            <w:gridSpan w:val="2"/>
          </w:tcPr>
          <w:p>
            <w:pPr>
              <w:jc w:val="center"/>
              <w:ind w:right="1446"/>
              <w:spacing w:after="0"/>
              <w:rPr>
                <w:sz w:val="20"/>
                <w:szCs w:val="20"/>
                <w:color w:val="auto"/>
              </w:rPr>
            </w:pPr>
            <w:r>
              <w:rPr>
                <w:rFonts w:ascii="Arial" w:cs="Arial" w:eastAsia="Arial" w:hAnsi="Arial"/>
                <w:sz w:val="32"/>
                <w:szCs w:val="32"/>
                <w:color w:val="auto"/>
              </w:rPr>
              <w:t>your proxy card in the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80" w:type="dxa"/>
            <w:vAlign w:val="bottom"/>
            <w:gridSpan w:val="2"/>
          </w:tcPr>
          <w:p>
            <w:pPr>
              <w:jc w:val="center"/>
              <w:ind w:right="1446"/>
              <w:spacing w:after="0"/>
              <w:rPr>
                <w:sz w:val="20"/>
                <w:szCs w:val="20"/>
                <w:color w:val="auto"/>
              </w:rPr>
            </w:pPr>
            <w:r>
              <w:rPr>
                <w:rFonts w:ascii="Arial" w:cs="Arial" w:eastAsia="Arial" w:hAnsi="Arial"/>
                <w:sz w:val="32"/>
                <w:szCs w:val="32"/>
                <w:color w:val="auto"/>
              </w:rPr>
              <w:t>envelope provided as soon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780" w:type="dxa"/>
            <w:vAlign w:val="bottom"/>
          </w:tcPr>
          <w:p>
            <w:pPr>
              <w:jc w:val="center"/>
              <w:ind w:right="2766"/>
              <w:spacing w:after="0"/>
              <w:rPr>
                <w:sz w:val="20"/>
                <w:szCs w:val="20"/>
                <w:color w:val="auto"/>
              </w:rPr>
            </w:pPr>
            <w:r>
              <w:rPr>
                <w:rFonts w:ascii="Arial" w:cs="Arial" w:eastAsia="Arial" w:hAnsi="Arial"/>
                <w:sz w:val="32"/>
                <w:szCs w:val="32"/>
                <w:color w:val="auto"/>
              </w:rPr>
              <w:t>as possible.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ind w:left="1500"/>
              <w:spacing w:after="0"/>
              <w:rPr>
                <w:sz w:val="20"/>
                <w:szCs w:val="20"/>
                <w:color w:val="auto"/>
              </w:rPr>
            </w:pPr>
            <w:r>
              <w:rPr>
                <w:rFonts w:ascii="Arial" w:cs="Arial" w:eastAsia="Arial" w:hAnsi="Arial"/>
                <w:sz w:val="25"/>
                <w:szCs w:val="25"/>
                <w:color w:val="auto"/>
              </w:rPr>
              <w:t>i</w:t>
            </w:r>
          </w:p>
        </w:tc>
        <w:tc>
          <w:tcPr>
            <w:tcW w:w="6080" w:type="dxa"/>
            <w:vAlign w:val="bottom"/>
            <w:gridSpan w:val="2"/>
          </w:tcPr>
          <w:p>
            <w:pPr>
              <w:ind w:left="40"/>
              <w:spacing w:after="0"/>
              <w:rPr>
                <w:sz w:val="20"/>
                <w:szCs w:val="20"/>
                <w:color w:val="auto"/>
              </w:rPr>
            </w:pPr>
            <w:r>
              <w:rPr>
                <w:rFonts w:ascii="Arial" w:cs="Arial" w:eastAsia="Arial" w:hAnsi="Arial"/>
                <w:sz w:val="14"/>
                <w:szCs w:val="14"/>
                <w:color w:val="auto"/>
              </w:rPr>
              <w:t xml:space="preserve">Please detach along perforated line and mail in the envelope provided. </w:t>
            </w:r>
            <w:r>
              <w:rPr>
                <w:rFonts w:ascii="Arial" w:cs="Arial" w:eastAsia="Arial" w:hAnsi="Arial"/>
                <w:sz w:val="25"/>
                <w:szCs w:val="25"/>
                <w:color w:val="auto"/>
              </w:rPr>
              <w:t>i</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20233300000000001000 0</w:t>
            </w:r>
          </w:p>
        </w:tc>
        <w:tc>
          <w:tcPr>
            <w:tcW w:w="1300" w:type="dxa"/>
            <w:vAlign w:val="bottom"/>
          </w:tcPr>
          <w:p>
            <w:pPr>
              <w:spacing w:after="0"/>
              <w:rPr>
                <w:sz w:val="24"/>
                <w:szCs w:val="24"/>
                <w:color w:val="auto"/>
              </w:rPr>
            </w:pPr>
          </w:p>
        </w:tc>
        <w:tc>
          <w:tcPr>
            <w:tcW w:w="4780" w:type="dxa"/>
            <w:vAlign w:val="bottom"/>
          </w:tcPr>
          <w:p>
            <w:pPr>
              <w:ind w:left="1320"/>
              <w:spacing w:after="0"/>
              <w:rPr>
                <w:sz w:val="20"/>
                <w:szCs w:val="20"/>
                <w:color w:val="auto"/>
              </w:rPr>
            </w:pPr>
            <w:r>
              <w:rPr>
                <w:rFonts w:ascii="Arial" w:cs="Arial" w:eastAsia="Arial" w:hAnsi="Arial"/>
                <w:sz w:val="18"/>
                <w:szCs w:val="18"/>
                <w:color w:val="auto"/>
              </w:rPr>
              <w:t>062415</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7680" w:type="dxa"/>
            <w:vAlign w:val="bottom"/>
            <w:tcBorders>
              <w:bottom w:val="single" w:sz="8" w:color="auto"/>
            </w:tcBorders>
            <w:gridSpan w:val="3"/>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680" w:type="dxa"/>
            <w:vAlign w:val="bottom"/>
            <w:gridSpan w:val="3"/>
          </w:tcPr>
          <w:p>
            <w:pPr>
              <w:jc w:val="center"/>
              <w:ind w:left="4"/>
              <w:spacing w:after="0" w:line="134" w:lineRule="exact"/>
              <w:rPr>
                <w:sz w:val="20"/>
                <w:szCs w:val="20"/>
                <w:color w:val="auto"/>
              </w:rPr>
            </w:pPr>
            <w:r>
              <w:rPr>
                <w:rFonts w:ascii="Arial" w:cs="Arial" w:eastAsia="Arial" w:hAnsi="Arial"/>
                <w:sz w:val="13"/>
                <w:szCs w:val="13"/>
                <w:b w:val="1"/>
                <w:bCs w:val="1"/>
                <w:color w:val="auto"/>
                <w:w w:val="96"/>
              </w:rPr>
              <w:t>THE BOARD OF DIRECTORS RECOMMENDS A VOTE “FOR” THE ELECTION OF THE TWO DIRECTORS NOMINATED AND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780" w:type="dxa"/>
            <w:vAlign w:val="bottom"/>
          </w:tcPr>
          <w:p>
            <w:pPr>
              <w:jc w:val="center"/>
              <w:ind w:right="2766"/>
              <w:spacing w:after="0" w:line="130" w:lineRule="exact"/>
              <w:rPr>
                <w:sz w:val="20"/>
                <w:szCs w:val="20"/>
                <w:color w:val="auto"/>
              </w:rPr>
            </w:pPr>
            <w:r>
              <w:rPr>
                <w:rFonts w:ascii="Arial" w:cs="Arial" w:eastAsia="Arial" w:hAnsi="Arial"/>
                <w:sz w:val="13"/>
                <w:szCs w:val="13"/>
                <w:b w:val="1"/>
                <w:bCs w:val="1"/>
                <w:color w:val="auto"/>
                <w:w w:val="96"/>
              </w:rPr>
              <w:t>“FOR” PROPOSALS 2, 3 AND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6"/>
          </w:tcPr>
          <w:p>
            <w:pPr>
              <w:jc w:val="center"/>
              <w:ind w:left="178"/>
              <w:spacing w:after="0" w:line="207" w:lineRule="exact"/>
              <w:rPr>
                <w:sz w:val="20"/>
                <w:szCs w:val="20"/>
                <w:color w:val="auto"/>
              </w:rPr>
            </w:pPr>
            <w:r>
              <w:rPr>
                <w:rFonts w:ascii="Arial" w:cs="Arial" w:eastAsia="Arial" w:hAnsi="Arial"/>
                <w:sz w:val="13"/>
                <w:szCs w:val="13"/>
                <w:b w:val="1"/>
                <w:bCs w:val="1"/>
                <w:color w:val="auto"/>
                <w:w w:val="96"/>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w w:val="96"/>
              </w:rPr>
              <w:t>☒</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ind w:left="60"/>
              <w:spacing w:after="0" w:line="102" w:lineRule="exact"/>
              <w:rPr>
                <w:sz w:val="20"/>
                <w:szCs w:val="20"/>
                <w:color w:val="auto"/>
              </w:rPr>
            </w:pPr>
            <w:r>
              <w:rPr>
                <w:rFonts w:ascii="Arial" w:cs="Arial" w:eastAsia="Arial" w:hAnsi="Arial"/>
                <w:sz w:val="11"/>
                <w:szCs w:val="11"/>
                <w:color w:val="auto"/>
              </w:rPr>
              <w:t>FOR   AGAINST</w:t>
            </w:r>
          </w:p>
        </w:tc>
        <w:tc>
          <w:tcPr>
            <w:tcW w:w="520" w:type="dxa"/>
            <w:vAlign w:val="bottom"/>
          </w:tcPr>
          <w:p>
            <w:pPr>
              <w:jc w:val="center"/>
              <w:spacing w:after="0" w:line="102" w:lineRule="exact"/>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83"/>
        </w:trPr>
        <w:tc>
          <w:tcPr>
            <w:tcW w:w="4740" w:type="dxa"/>
            <w:vAlign w:val="bottom"/>
            <w:gridSpan w:val="4"/>
          </w:tcPr>
          <w:p>
            <w:pPr>
              <w:spacing w:after="0"/>
              <w:rPr>
                <w:sz w:val="20"/>
                <w:szCs w:val="20"/>
                <w:color w:val="auto"/>
              </w:rPr>
            </w:pPr>
            <w:r>
              <w:rPr>
                <w:rFonts w:ascii="Arial" w:cs="Arial" w:eastAsia="Arial" w:hAnsi="Arial"/>
                <w:sz w:val="13"/>
                <w:szCs w:val="13"/>
                <w:color w:val="auto"/>
                <w:w w:val="97"/>
              </w:rPr>
              <w:t>1.  Election of two Directors for a three year term (except as marked to the contrary):</w:t>
            </w:r>
          </w:p>
        </w:tc>
        <w:tc>
          <w:tcPr>
            <w:tcW w:w="4780" w:type="dxa"/>
            <w:vAlign w:val="bottom"/>
          </w:tcPr>
          <w:p>
            <w:pPr>
              <w:ind w:left="500"/>
              <w:spacing w:after="0"/>
              <w:rPr>
                <w:sz w:val="20"/>
                <w:szCs w:val="20"/>
                <w:color w:val="auto"/>
              </w:rPr>
            </w:pPr>
            <w:r>
              <w:rPr>
                <w:rFonts w:ascii="Arial" w:cs="Arial" w:eastAsia="Arial" w:hAnsi="Arial"/>
                <w:sz w:val="13"/>
                <w:szCs w:val="13"/>
                <w:color w:val="auto"/>
              </w:rPr>
              <w:t>2.  The  ratification  of  McGladrey  LLP  as  the  independent  registered</w:t>
            </w:r>
          </w:p>
        </w:tc>
        <w:tc>
          <w:tcPr>
            <w:tcW w:w="420" w:type="dxa"/>
            <w:vAlign w:val="bottom"/>
          </w:tcPr>
          <w:p>
            <w:pPr>
              <w:ind w:left="40"/>
              <w:spacing w:after="0"/>
              <w:rPr>
                <w:sz w:val="20"/>
                <w:szCs w:val="20"/>
                <w:color w:val="auto"/>
              </w:rPr>
            </w:pPr>
            <w:r>
              <w:rPr>
                <w:rFonts w:ascii="Arial" w:cs="Arial" w:eastAsia="Arial" w:hAnsi="Arial"/>
                <w:sz w:val="13"/>
                <w:szCs w:val="13"/>
                <w:color w:val="auto"/>
              </w:rPr>
              <w:t>public</w:t>
            </w: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780" w:type="dxa"/>
            <w:vAlign w:val="bottom"/>
            <w:vMerge w:val="restart"/>
          </w:tcPr>
          <w:p>
            <w:pPr>
              <w:ind w:left="720"/>
              <w:spacing w:after="0"/>
              <w:rPr>
                <w:sz w:val="20"/>
                <w:szCs w:val="20"/>
                <w:color w:val="auto"/>
              </w:rPr>
            </w:pPr>
            <w:r>
              <w:rPr>
                <w:rFonts w:ascii="Arial" w:cs="Arial" w:eastAsia="Arial" w:hAnsi="Arial"/>
                <w:sz w:val="13"/>
                <w:szCs w:val="13"/>
                <w:color w:val="auto"/>
              </w:rPr>
              <w:t>accounting firm for the fiscal year ending December 31, 2015.</w:t>
            </w:r>
          </w:p>
        </w:tc>
        <w:tc>
          <w:tcPr>
            <w:tcW w:w="4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7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line="20" w:lineRule="exact"/>
              <w:rPr>
                <w:sz w:val="1"/>
                <w:szCs w:val="1"/>
                <w:color w:val="auto"/>
              </w:rPr>
            </w:pPr>
          </w:p>
        </w:tc>
      </w:tr>
      <w:tr>
        <w:trPr>
          <w:trHeight w:val="186"/>
        </w:trPr>
        <w:tc>
          <w:tcPr>
            <w:tcW w:w="28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w w:val="89"/>
              </w:rPr>
              <w:t>☐</w:t>
            </w:r>
          </w:p>
        </w:tc>
        <w:tc>
          <w:tcPr>
            <w:tcW w:w="1560" w:type="dxa"/>
            <w:vAlign w:val="bottom"/>
          </w:tcPr>
          <w:p>
            <w:pPr>
              <w:spacing w:after="0"/>
              <w:rPr>
                <w:sz w:val="16"/>
                <w:szCs w:val="16"/>
                <w:color w:val="auto"/>
              </w:rPr>
            </w:pPr>
          </w:p>
        </w:tc>
        <w:tc>
          <w:tcPr>
            <w:tcW w:w="1600" w:type="dxa"/>
            <w:vAlign w:val="bottom"/>
          </w:tcPr>
          <w:p>
            <w:pPr>
              <w:ind w:left="240"/>
              <w:spacing w:after="0"/>
              <w:rPr>
                <w:sz w:val="20"/>
                <w:szCs w:val="20"/>
                <w:color w:val="auto"/>
              </w:rPr>
            </w:pPr>
            <w:r>
              <w:rPr>
                <w:rFonts w:ascii="Arial" w:cs="Arial" w:eastAsia="Arial" w:hAnsi="Arial"/>
                <w:sz w:val="13"/>
                <w:szCs w:val="13"/>
                <w:b w:val="1"/>
                <w:bCs w:val="1"/>
                <w:color w:val="auto"/>
              </w:rPr>
              <w:t>NOMINEES:</w:t>
            </w:r>
          </w:p>
        </w:tc>
        <w:tc>
          <w:tcPr>
            <w:tcW w:w="1300" w:type="dxa"/>
            <w:vAlign w:val="bottom"/>
          </w:tcPr>
          <w:p>
            <w:pPr>
              <w:spacing w:after="0"/>
              <w:rPr>
                <w:sz w:val="16"/>
                <w:szCs w:val="16"/>
                <w:color w:val="auto"/>
              </w:rPr>
            </w:pPr>
          </w:p>
        </w:tc>
        <w:tc>
          <w:tcPr>
            <w:tcW w:w="4780" w:type="dxa"/>
            <w:vAlign w:val="bottom"/>
            <w:vMerge w:val="restart"/>
          </w:tcPr>
          <w:p>
            <w:pPr>
              <w:ind w:left="500"/>
              <w:spacing w:after="0"/>
              <w:rPr>
                <w:sz w:val="20"/>
                <w:szCs w:val="20"/>
                <w:color w:val="auto"/>
              </w:rPr>
            </w:pPr>
            <w:r>
              <w:rPr>
                <w:rFonts w:ascii="Arial" w:cs="Arial" w:eastAsia="Arial" w:hAnsi="Arial"/>
                <w:sz w:val="13"/>
                <w:szCs w:val="13"/>
                <w:color w:val="auto"/>
              </w:rPr>
              <w:t>3.  The approval of the compensation of the named executive officers.</w:t>
            </w:r>
          </w:p>
        </w:tc>
        <w:tc>
          <w:tcPr>
            <w:tcW w:w="4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 w:type="dxa"/>
            <w:vAlign w:val="bottom"/>
            <w:vMerge w:val="continue"/>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b w:val="1"/>
                <w:bCs w:val="1"/>
                <w:color w:val="auto"/>
              </w:rPr>
              <w:t>FOR ALL NOMINEES</w:t>
            </w:r>
          </w:p>
        </w:tc>
        <w:tc>
          <w:tcPr>
            <w:tcW w:w="1600" w:type="dxa"/>
            <w:vAlign w:val="bottom"/>
          </w:tcPr>
          <w:p>
            <w:pPr>
              <w:ind w:left="240"/>
              <w:spacing w:after="0" w:line="135" w:lineRule="exact"/>
              <w:rPr>
                <w:sz w:val="20"/>
                <w:szCs w:val="20"/>
                <w:color w:val="auto"/>
              </w:rPr>
            </w:pPr>
            <w:r>
              <w:rPr>
                <w:rFonts w:ascii="Arial" w:cs="Arial" w:eastAsia="Arial" w:hAnsi="Arial"/>
                <w:sz w:val="13"/>
                <w:szCs w:val="13"/>
                <w:color w:val="auto"/>
              </w:rPr>
              <w:t>O Peter Downs</w:t>
            </w:r>
          </w:p>
        </w:tc>
        <w:tc>
          <w:tcPr>
            <w:tcW w:w="1300" w:type="dxa"/>
            <w:vAlign w:val="bottom"/>
          </w:tcPr>
          <w:p>
            <w:pPr>
              <w:spacing w:after="0"/>
              <w:rPr>
                <w:sz w:val="11"/>
                <w:szCs w:val="11"/>
                <w:color w:val="auto"/>
              </w:rPr>
            </w:pPr>
          </w:p>
        </w:tc>
        <w:tc>
          <w:tcPr>
            <w:tcW w:w="4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1600" w:type="dxa"/>
            <w:vAlign w:val="bottom"/>
          </w:tcPr>
          <w:p>
            <w:pPr>
              <w:ind w:left="240"/>
              <w:spacing w:after="0" w:line="114" w:lineRule="exact"/>
              <w:rPr>
                <w:sz w:val="20"/>
                <w:szCs w:val="20"/>
                <w:color w:val="auto"/>
              </w:rPr>
            </w:pPr>
            <w:r>
              <w:rPr>
                <w:rFonts w:ascii="Arial" w:cs="Arial" w:eastAsia="Arial" w:hAnsi="Arial"/>
                <w:sz w:val="13"/>
                <w:szCs w:val="13"/>
                <w:color w:val="auto"/>
              </w:rPr>
              <w:t>O Barry Sloane</w:t>
            </w:r>
          </w:p>
        </w:tc>
        <w:tc>
          <w:tcPr>
            <w:tcW w:w="1300" w:type="dxa"/>
            <w:vAlign w:val="bottom"/>
          </w:tcPr>
          <w:p>
            <w:pPr>
              <w:spacing w:after="0"/>
              <w:rPr>
                <w:sz w:val="9"/>
                <w:szCs w:val="9"/>
                <w:color w:val="auto"/>
              </w:rPr>
            </w:pPr>
          </w:p>
        </w:tc>
        <w:tc>
          <w:tcPr>
            <w:tcW w:w="4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1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WITHHOLD AUTHORITY</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0" w:type="dxa"/>
            <w:vAlign w:val="bottom"/>
            <w:gridSpan w:val="2"/>
          </w:tcPr>
          <w:p>
            <w:pPr>
              <w:ind w:left="500"/>
              <w:spacing w:after="0"/>
              <w:rPr>
                <w:sz w:val="20"/>
                <w:szCs w:val="20"/>
                <w:color w:val="auto"/>
              </w:rPr>
            </w:pPr>
            <w:r>
              <w:rPr>
                <w:rFonts w:ascii="Arial" w:cs="Arial" w:eastAsia="Arial" w:hAnsi="Arial"/>
                <w:sz w:val="13"/>
                <w:szCs w:val="13"/>
                <w:color w:val="auto"/>
                <w:w w:val="98"/>
              </w:rPr>
              <w:t>4.  To approve any adjournment of the Annual Meeting, if necessary or appropriate</w:t>
            </w: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200" w:type="dxa"/>
            <w:vAlign w:val="bottom"/>
            <w:gridSpan w:val="2"/>
            <w:vMerge w:val="restart"/>
          </w:tcPr>
          <w:p>
            <w:pPr>
              <w:ind w:left="720"/>
              <w:spacing w:after="0" w:line="135" w:lineRule="exact"/>
              <w:rPr>
                <w:sz w:val="20"/>
                <w:szCs w:val="20"/>
                <w:color w:val="auto"/>
              </w:rPr>
            </w:pPr>
            <w:r>
              <w:rPr>
                <w:rFonts w:ascii="Arial" w:cs="Arial" w:eastAsia="Arial" w:hAnsi="Arial"/>
                <w:sz w:val="13"/>
                <w:szCs w:val="13"/>
                <w:color w:val="auto"/>
              </w:rPr>
              <w:t>to solicit additional proxies in favor of any of the foregoing proposals, if there</w:t>
            </w:r>
          </w:p>
        </w:tc>
        <w:tc>
          <w:tcPr>
            <w:tcW w:w="9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840" w:type="dxa"/>
            <w:vAlign w:val="bottom"/>
            <w:gridSpan w:val="2"/>
            <w:vMerge w:val="restart"/>
          </w:tcPr>
          <w:p>
            <w:pPr>
              <w:spacing w:after="0" w:line="202"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0"/>
                <w:szCs w:val="10"/>
                <w:b w:val="1"/>
                <w:bCs w:val="1"/>
                <w:color w:val="auto"/>
              </w:rPr>
              <w:t xml:space="preserve"> FOR ALL NOMINEES</w:t>
            </w:r>
          </w:p>
        </w:tc>
        <w:tc>
          <w:tcPr>
            <w:tcW w:w="16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20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4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780" w:type="dxa"/>
            <w:vAlign w:val="bottom"/>
          </w:tcPr>
          <w:p>
            <w:pPr>
              <w:ind w:left="720"/>
              <w:spacing w:after="0" w:line="114" w:lineRule="exact"/>
              <w:rPr>
                <w:sz w:val="20"/>
                <w:szCs w:val="20"/>
                <w:color w:val="auto"/>
              </w:rPr>
            </w:pPr>
            <w:r>
              <w:rPr>
                <w:rFonts w:ascii="Arial" w:cs="Arial" w:eastAsia="Arial" w:hAnsi="Arial"/>
                <w:sz w:val="13"/>
                <w:szCs w:val="13"/>
                <w:color w:val="auto"/>
              </w:rPr>
              <w:t>are not sufficient votes for the proposals.</w:t>
            </w:r>
          </w:p>
        </w:tc>
        <w:tc>
          <w:tcPr>
            <w:tcW w:w="4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8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w w:val="89"/>
              </w:rPr>
              <w:t>☐</w:t>
            </w:r>
          </w:p>
        </w:tc>
        <w:tc>
          <w:tcPr>
            <w:tcW w:w="1560" w:type="dxa"/>
            <w:vAlign w:val="bottom"/>
          </w:tcPr>
          <w:p>
            <w:pPr>
              <w:ind w:left="100"/>
              <w:spacing w:after="0"/>
              <w:rPr>
                <w:sz w:val="20"/>
                <w:szCs w:val="20"/>
                <w:color w:val="auto"/>
              </w:rPr>
            </w:pPr>
            <w:r>
              <w:rPr>
                <w:rFonts w:ascii="Arial" w:cs="Arial" w:eastAsia="Arial" w:hAnsi="Arial"/>
                <w:sz w:val="11"/>
                <w:szCs w:val="11"/>
                <w:b w:val="1"/>
                <w:bCs w:val="1"/>
                <w:color w:val="auto"/>
              </w:rPr>
              <w:t>FOR ALL EXCEPT</w:t>
            </w: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(See instructions below)</w:t>
            </w:r>
          </w:p>
        </w:tc>
        <w:tc>
          <w:tcPr>
            <w:tcW w:w="1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680" w:type="dxa"/>
            <w:vAlign w:val="bottom"/>
            <w:gridSpan w:val="4"/>
            <w:vMerge w:val="restart"/>
          </w:tcPr>
          <w:p>
            <w:pPr>
              <w:ind w:left="500"/>
              <w:spacing w:after="0"/>
              <w:rPr>
                <w:sz w:val="20"/>
                <w:szCs w:val="20"/>
                <w:color w:val="auto"/>
              </w:rPr>
            </w:pPr>
            <w:r>
              <w:rPr>
                <w:rFonts w:ascii="Arial" w:cs="Arial" w:eastAsia="Arial" w:hAnsi="Arial"/>
                <w:sz w:val="13"/>
                <w:szCs w:val="13"/>
                <w:color w:val="auto"/>
                <w:w w:val="98"/>
              </w:rPr>
              <w:t>The undersigned acknowledges receipt from the Company before the execution of this proxy of the Notice of</w:t>
            </w:r>
          </w:p>
        </w:tc>
        <w:tc>
          <w:tcPr>
            <w:tcW w:w="0" w:type="dxa"/>
            <w:vAlign w:val="bottom"/>
          </w:tcPr>
          <w:p>
            <w:pPr>
              <w:spacing w:after="0"/>
              <w:rPr>
                <w:sz w:val="1"/>
                <w:szCs w:val="1"/>
                <w:color w:val="auto"/>
              </w:rPr>
            </w:pPr>
          </w:p>
        </w:tc>
      </w:tr>
      <w:tr>
        <w:trPr>
          <w:trHeight w:val="43"/>
        </w:trPr>
        <w:tc>
          <w:tcPr>
            <w:tcW w:w="28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680" w:type="dxa"/>
            <w:vAlign w:val="bottom"/>
            <w:gridSpan w:val="4"/>
          </w:tcPr>
          <w:p>
            <w:pPr>
              <w:ind w:left="500"/>
              <w:spacing w:after="0" w:line="135" w:lineRule="exact"/>
              <w:rPr>
                <w:sz w:val="20"/>
                <w:szCs w:val="20"/>
                <w:color w:val="auto"/>
              </w:rPr>
            </w:pPr>
            <w:r>
              <w:rPr>
                <w:rFonts w:ascii="Arial" w:cs="Arial" w:eastAsia="Arial" w:hAnsi="Arial"/>
                <w:sz w:val="13"/>
                <w:szCs w:val="13"/>
                <w:color w:val="auto"/>
              </w:rPr>
              <w:t>Annual Meeting of Shareholders, a Proxy Statement for the Annual Meeting of Shareholders and the 2014</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780" w:type="dxa"/>
            <w:vAlign w:val="bottom"/>
          </w:tcPr>
          <w:p>
            <w:pPr>
              <w:ind w:left="500"/>
              <w:spacing w:after="0"/>
              <w:rPr>
                <w:sz w:val="20"/>
                <w:szCs w:val="20"/>
                <w:color w:val="auto"/>
              </w:rPr>
            </w:pPr>
            <w:r>
              <w:rPr>
                <w:rFonts w:ascii="Arial" w:cs="Arial" w:eastAsia="Arial" w:hAnsi="Arial"/>
                <w:sz w:val="13"/>
                <w:szCs w:val="13"/>
                <w:color w:val="auto"/>
              </w:rPr>
              <w:t>Annual Report to Shareholders.</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3258820" cy="3353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withhold authority to vote for any individual nominee(s), mark</w:t>
      </w:r>
      <w:r>
        <w:rPr>
          <w:rFonts w:ascii="Arial" w:cs="Arial" w:eastAsia="Arial" w:hAnsi="Arial"/>
          <w:sz w:val="13"/>
          <w:szCs w:val="13"/>
          <w:b w:val="1"/>
          <w:bCs w:val="1"/>
          <w:color w:val="auto"/>
        </w:rPr>
        <w:t xml:space="preserve"> “FOR</w:t>
      </w:r>
    </w:p>
    <w:p>
      <w:pPr>
        <w:ind w:left="1080"/>
        <w:spacing w:after="0" w:line="231" w:lineRule="auto"/>
        <w:rPr>
          <w:sz w:val="20"/>
          <w:szCs w:val="20"/>
          <w:color w:val="auto"/>
        </w:rPr>
      </w:pPr>
      <w:r>
        <w:rPr>
          <w:rFonts w:ascii="Arial" w:cs="Arial" w:eastAsia="Arial" w:hAnsi="Arial"/>
          <w:sz w:val="13"/>
          <w:szCs w:val="13"/>
          <w:b w:val="1"/>
          <w:bCs w:val="1"/>
          <w:color w:val="auto"/>
        </w:rPr>
        <w:t xml:space="preserve">ALL EXCEPT” </w:t>
      </w:r>
      <w:r>
        <w:rPr>
          <w:rFonts w:ascii="Arial" w:cs="Arial" w:eastAsia="Arial" w:hAnsi="Arial"/>
          <w:sz w:val="13"/>
          <w:szCs w:val="13"/>
          <w:color w:val="auto"/>
        </w:rPr>
        <w:t>and fill in the circle next to each nominee you wish to</w:t>
      </w:r>
    </w:p>
    <w:p>
      <w:pPr>
        <w:ind w:left="1080"/>
        <w:spacing w:after="0"/>
        <w:tabs>
          <w:tab w:leader="none" w:pos="2160" w:val="left"/>
        </w:tabs>
        <w:rPr>
          <w:sz w:val="20"/>
          <w:szCs w:val="20"/>
          <w:color w:val="auto"/>
        </w:rPr>
      </w:pPr>
      <w:r>
        <w:rPr>
          <w:rFonts w:ascii="Arial" w:cs="Arial" w:eastAsia="Arial" w:hAnsi="Arial"/>
          <w:sz w:val="13"/>
          <w:szCs w:val="13"/>
          <w:color w:val="auto"/>
        </w:rPr>
        <w:t>withhold,</w:t>
      </w:r>
      <w:r>
        <w:rPr>
          <w:sz w:val="20"/>
          <w:szCs w:val="20"/>
          <w:color w:val="auto"/>
        </w:rPr>
        <w:tab/>
      </w:r>
      <w:r>
        <w:rPr>
          <w:rFonts w:ascii="Arial" w:cs="Arial" w:eastAsia="Arial" w:hAnsi="Arial"/>
          <w:sz w:val="18"/>
          <w:szCs w:val="18"/>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430"/>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300" w:type="dxa"/>
            <w:vAlign w:val="bottom"/>
            <w:gridSpan w:val="2"/>
          </w:tcPr>
          <w:p>
            <w:pPr>
              <w:ind w:left="1020"/>
              <w:spacing w:after="0" w:line="322" w:lineRule="exact"/>
              <w:rPr>
                <w:sz w:val="20"/>
                <w:szCs w:val="20"/>
                <w:color w:val="auto"/>
              </w:rPr>
            </w:pPr>
            <w:r>
              <w:rPr>
                <w:rFonts w:ascii="Arial" w:cs="Arial" w:eastAsia="Arial" w:hAnsi="Arial"/>
                <w:sz w:val="13"/>
                <w:szCs w:val="13"/>
                <w:color w:val="auto"/>
                <w:w w:val="96"/>
              </w:rPr>
              <w:t xml:space="preserve">Check here if you plan to attend the Annual Meeting: </w:t>
            </w:r>
            <w:r>
              <w:rPr>
                <w:rFonts w:ascii="MS PGothic" w:cs="MS PGothic" w:eastAsia="MS PGothic" w:hAnsi="MS PGothic"/>
                <w:sz w:val="28"/>
                <w:szCs w:val="28"/>
                <w:color w:val="auto"/>
                <w:w w:val="96"/>
              </w:rPr>
              <w:t>☐</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60" w:type="dxa"/>
            <w:vAlign w:val="bottom"/>
            <w:gridSpan w:val="5"/>
          </w:tcPr>
          <w:p>
            <w:pPr>
              <w:spacing w:after="0" w:line="123" w:lineRule="exact"/>
              <w:rPr>
                <w:sz w:val="20"/>
                <w:szCs w:val="20"/>
                <w:color w:val="auto"/>
              </w:rPr>
            </w:pPr>
            <w:r>
              <w:rPr>
                <w:rFonts w:ascii="Arial" w:cs="Arial" w:eastAsia="Arial" w:hAnsi="Arial"/>
                <w:sz w:val="13"/>
                <w:szCs w:val="13"/>
                <w:color w:val="auto"/>
              </w:rPr>
              <w:t>To change the address on your account, please check the box at right and</w:t>
            </w:r>
          </w:p>
        </w:tc>
        <w:tc>
          <w:tcPr>
            <w:tcW w:w="460" w:type="dxa"/>
            <w:vAlign w:val="bottom"/>
            <w:gridSpan w:val="2"/>
            <w:vMerge w:val="restart"/>
          </w:tcPr>
          <w:p>
            <w:pPr>
              <w:ind w:left="100"/>
              <w:spacing w:after="0" w:line="291" w:lineRule="exact"/>
              <w:rPr>
                <w:sz w:val="20"/>
                <w:szCs w:val="20"/>
                <w:color w:val="auto"/>
              </w:rPr>
            </w:pPr>
            <w:r>
              <w:rPr>
                <w:rFonts w:ascii="MS PGothic" w:cs="MS PGothic" w:eastAsia="MS PGothic" w:hAnsi="MS PGothic"/>
                <w:sz w:val="29"/>
                <w:szCs w:val="29"/>
                <w:color w:val="auto"/>
              </w:rPr>
              <w:t>☐</w:t>
            </w:r>
          </w:p>
        </w:tc>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80" w:type="dxa"/>
            <w:vAlign w:val="bottom"/>
            <w:gridSpan w:val="6"/>
          </w:tcPr>
          <w:p>
            <w:pPr>
              <w:spacing w:after="0" w:line="135" w:lineRule="exact"/>
              <w:rPr>
                <w:sz w:val="20"/>
                <w:szCs w:val="20"/>
                <w:color w:val="auto"/>
              </w:rPr>
            </w:pPr>
            <w:r>
              <w:rPr>
                <w:rFonts w:ascii="Arial" w:cs="Arial" w:eastAsia="Arial" w:hAnsi="Arial"/>
                <w:sz w:val="13"/>
                <w:szCs w:val="13"/>
                <w:color w:val="auto"/>
                <w:w w:val="99"/>
              </w:rPr>
              <w:t>indicate your new address in the address space above. Please note that changes</w:t>
            </w:r>
          </w:p>
        </w:tc>
        <w:tc>
          <w:tcPr>
            <w:tcW w:w="4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4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w w:val="97"/>
              </w:rPr>
              <w:t>to the registered name(s) on the account may not be submitted via this method.</w:t>
            </w: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Signature of Shareholder</w:t>
            </w:r>
          </w:p>
        </w:tc>
        <w:tc>
          <w:tcPr>
            <w:tcW w:w="3000" w:type="dxa"/>
            <w:vAlign w:val="bottom"/>
            <w:tcBorders>
              <w:top w:val="single" w:sz="8" w:color="auto"/>
              <w:bottom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Date:</w:t>
            </w:r>
          </w:p>
        </w:tc>
        <w:tc>
          <w:tcPr>
            <w:tcW w:w="2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ind w:left="180"/>
              <w:spacing w:after="0"/>
              <w:rPr>
                <w:sz w:val="20"/>
                <w:szCs w:val="20"/>
                <w:color w:val="auto"/>
              </w:rPr>
            </w:pPr>
            <w:r>
              <w:rPr>
                <w:rFonts w:ascii="Arial" w:cs="Arial" w:eastAsia="Arial" w:hAnsi="Arial"/>
                <w:sz w:val="11"/>
                <w:szCs w:val="11"/>
                <w:color w:val="auto"/>
              </w:rPr>
              <w:t>Signature of Shareholder</w:t>
            </w:r>
          </w:p>
        </w:tc>
        <w:tc>
          <w:tcPr>
            <w:tcW w:w="2840" w:type="dxa"/>
            <w:vAlign w:val="bottom"/>
            <w:tcBorders>
              <w:top w:val="single" w:sz="8" w:color="auto"/>
              <w:bottom w:val="single" w:sz="8" w:color="auto"/>
              <w:right w:val="single" w:sz="8" w:color="auto"/>
            </w:tcBorders>
          </w:tcPr>
          <w:p>
            <w:pPr>
              <w:spacing w:after="0"/>
              <w:rPr>
                <w:sz w:val="17"/>
                <w:szCs w:val="17"/>
                <w:color w:val="auto"/>
              </w:rPr>
            </w:pP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Date:</w:t>
            </w:r>
          </w:p>
        </w:tc>
        <w:tc>
          <w:tcPr>
            <w:tcW w:w="6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20" w:type="dxa"/>
            <w:vAlign w:val="bottom"/>
            <w:gridSpan w:val="2"/>
            <w:vMerge w:val="restart"/>
          </w:tcPr>
          <w:p>
            <w:pPr>
              <w:spacing w:after="0"/>
              <w:rPr>
                <w:sz w:val="20"/>
                <w:szCs w:val="20"/>
                <w:color w:val="auto"/>
              </w:rPr>
            </w:pPr>
            <w:r>
              <w:rPr>
                <w:rFonts w:ascii="Arial" w:cs="Arial" w:eastAsia="Arial" w:hAnsi="Arial"/>
                <w:sz w:val="25"/>
                <w:szCs w:val="25"/>
                <w:color w:val="auto"/>
              </w:rPr>
              <w:t>n</w:t>
            </w:r>
          </w:p>
        </w:tc>
        <w:tc>
          <w:tcPr>
            <w:tcW w:w="6920" w:type="dxa"/>
            <w:vAlign w:val="bottom"/>
            <w:gridSpan w:val="8"/>
          </w:tcPr>
          <w:p>
            <w:pPr>
              <w:ind w:left="60"/>
              <w:spacing w:after="0" w:line="112" w:lineRule="exact"/>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9"/>
                <w:szCs w:val="9"/>
                <w:color w:val="auto"/>
              </w:rPr>
              <w:t>Please sign exactly as your name or names appear on this Proxy. When shares are held jointly, each holder should sign. When signing</w:t>
            </w:r>
          </w:p>
        </w:tc>
        <w:tc>
          <w:tcPr>
            <w:tcW w:w="3280" w:type="dxa"/>
            <w:vAlign w:val="bottom"/>
            <w:gridSpan w:val="2"/>
          </w:tcPr>
          <w:p>
            <w:pPr>
              <w:ind w:left="40"/>
              <w:spacing w:after="0" w:line="112" w:lineRule="exact"/>
              <w:rPr>
                <w:sz w:val="20"/>
                <w:szCs w:val="20"/>
                <w:color w:val="auto"/>
              </w:rPr>
            </w:pPr>
            <w:r>
              <w:rPr>
                <w:rFonts w:ascii="Arial" w:cs="Arial" w:eastAsia="Arial" w:hAnsi="Arial"/>
                <w:sz w:val="11"/>
                <w:szCs w:val="11"/>
                <w:color w:val="auto"/>
                <w:w w:val="96"/>
              </w:rPr>
              <w:t>as executor, administrator, attorney, trustee or guardian, please give</w:t>
            </w:r>
          </w:p>
        </w:tc>
        <w:tc>
          <w:tcPr>
            <w:tcW w:w="680" w:type="dxa"/>
            <w:vAlign w:val="bottom"/>
          </w:tcPr>
          <w:p>
            <w:pPr>
              <w:ind w:left="40"/>
              <w:spacing w:after="0" w:line="112" w:lineRule="exact"/>
              <w:rPr>
                <w:sz w:val="20"/>
                <w:szCs w:val="20"/>
                <w:color w:val="auto"/>
              </w:rPr>
            </w:pPr>
            <w:r>
              <w:rPr>
                <w:rFonts w:ascii="Arial" w:cs="Arial" w:eastAsia="Arial" w:hAnsi="Arial"/>
                <w:sz w:val="11"/>
                <w:szCs w:val="11"/>
                <w:color w:val="auto"/>
              </w:rPr>
              <w:t>full title as</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 w:type="dxa"/>
            <w:vAlign w:val="bottom"/>
            <w:gridSpan w:val="2"/>
            <w:vMerge w:val="continue"/>
          </w:tcPr>
          <w:p>
            <w:pPr>
              <w:spacing w:after="0"/>
              <w:rPr>
                <w:sz w:val="11"/>
                <w:szCs w:val="11"/>
                <w:color w:val="auto"/>
              </w:rPr>
            </w:pPr>
          </w:p>
        </w:tc>
        <w:tc>
          <w:tcPr>
            <w:tcW w:w="10880" w:type="dxa"/>
            <w:vAlign w:val="bottom"/>
            <w:gridSpan w:val="11"/>
          </w:tcPr>
          <w:p>
            <w:pPr>
              <w:ind w:left="500"/>
              <w:spacing w:after="0"/>
              <w:rPr>
                <w:sz w:val="20"/>
                <w:szCs w:val="20"/>
                <w:color w:val="auto"/>
              </w:rPr>
            </w:pPr>
            <w:r>
              <w:rPr>
                <w:rFonts w:ascii="Arial" w:cs="Arial" w:eastAsia="Arial" w:hAnsi="Arial"/>
                <w:sz w:val="11"/>
                <w:szCs w:val="11"/>
                <w:color w:val="auto"/>
              </w:rPr>
              <w:t>such. If the signer is a corporation, please sign full corporate name by duly authorized officer, giving full title as such. If signer is a partnership, please sign in partnership name by authorized person.</w:t>
            </w:r>
          </w:p>
        </w:tc>
        <w:tc>
          <w:tcPr>
            <w:tcW w:w="340" w:type="dxa"/>
            <w:vAlign w:val="bottom"/>
            <w:vMerge w:val="restart"/>
          </w:tcPr>
          <w:p>
            <w:pPr>
              <w:ind w:left="180"/>
              <w:spacing w:after="0"/>
              <w:rPr>
                <w:sz w:val="20"/>
                <w:szCs w:val="20"/>
                <w:color w:val="auto"/>
              </w:rPr>
            </w:pPr>
            <w:r>
              <w:rPr>
                <w:rFonts w:ascii="Arial" w:cs="Arial" w:eastAsia="Arial" w:hAnsi="Arial"/>
                <w:sz w:val="25"/>
                <w:szCs w:val="25"/>
                <w:color w:val="auto"/>
                <w:w w:val="85"/>
              </w:rPr>
              <w:t>n</w:t>
            </w:r>
          </w:p>
        </w:tc>
        <w:tc>
          <w:tcPr>
            <w:tcW w:w="0" w:type="dxa"/>
            <w:vAlign w:val="bottom"/>
          </w:tcPr>
          <w:p>
            <w:pPr>
              <w:spacing w:after="0"/>
              <w:rPr>
                <w:sz w:val="1"/>
                <w:szCs w:val="1"/>
                <w:color w:val="auto"/>
              </w:rPr>
            </w:pPr>
          </w:p>
        </w:tc>
      </w:tr>
      <w:tr>
        <w:trPr>
          <w:trHeight w:val="206"/>
        </w:trPr>
        <w:tc>
          <w:tcPr>
            <w:tcW w:w="2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6"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SHAREHOLDERS OF</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42"/>
          <w:szCs w:val="42"/>
          <w:b w:val="1"/>
          <w:bCs w:val="1"/>
          <w:color w:val="auto"/>
        </w:rPr>
        <w:t>NEWTEK BUSINESS SERVICES CORP.</w:t>
      </w:r>
    </w:p>
    <w:p>
      <w:pPr>
        <w:spacing w:after="0" w:line="227"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40005</wp:posOffset>
            </wp:positionV>
            <wp:extent cx="290703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7030" cy="257175"/>
                    </a:xfrm>
                    <a:prstGeom prst="rect">
                      <a:avLst/>
                    </a:prstGeom>
                    <a:noFill/>
                  </pic:spPr>
                </pic:pic>
              </a:graphicData>
            </a:graphic>
          </wp:anchor>
        </w:drawing>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1440"/>
          </w:cols>
          <w:pgMar w:left="240" w:top="256" w:right="219" w:bottom="1440" w:gutter="0" w:footer="0" w:header="0"/>
        </w:sectPr>
      </w:pP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u w:val="single" w:color="auto"/>
          <w:color w:val="auto"/>
        </w:rPr>
        <w:t>INTERNET</w:t>
      </w:r>
      <w:r>
        <w:rPr>
          <w:rFonts w:ascii="Arial" w:cs="Arial" w:eastAsia="Arial" w:hAnsi="Arial"/>
          <w:sz w:val="16"/>
          <w:szCs w:val="16"/>
          <w:b w:val="1"/>
          <w:bCs w:val="1"/>
          <w:color w:val="auto"/>
        </w:rPr>
        <w:t xml:space="preserve"> - </w:t>
      </w:r>
      <w:r>
        <w:rPr>
          <w:rFonts w:ascii="Arial" w:cs="Arial" w:eastAsia="Arial" w:hAnsi="Arial"/>
          <w:sz w:val="16"/>
          <w:szCs w:val="16"/>
          <w:color w:val="auto"/>
        </w:rPr>
        <w:t>Access “</w:t>
      </w:r>
      <w:r>
        <w:rPr>
          <w:rFonts w:ascii="Arial" w:cs="Arial" w:eastAsia="Arial" w:hAnsi="Arial"/>
          <w:sz w:val="16"/>
          <w:szCs w:val="16"/>
          <w:b w:val="1"/>
          <w:bCs w:val="1"/>
          <w:color w:val="auto"/>
        </w:rPr>
        <w:t>www.voteproxy.com</w:t>
      </w:r>
      <w:r>
        <w:rPr>
          <w:rFonts w:ascii="Arial" w:cs="Arial" w:eastAsia="Arial" w:hAnsi="Arial"/>
          <w:sz w:val="16"/>
          <w:szCs w:val="16"/>
          <w:color w:val="auto"/>
        </w:rPr>
        <w:t>” and follow the on-screen</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or scan the QR code with your smartphone. Have your proxy card available when you access the web page.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 </w:t>
      </w:r>
      <w:r>
        <w:rPr>
          <w:rFonts w:ascii="Arial" w:cs="Arial" w:eastAsia="Arial" w:hAnsi="Arial"/>
          <w:sz w:val="16"/>
          <w:szCs w:val="16"/>
          <w:color w:val="auto"/>
        </w:rPr>
        <w:t>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Vote online/phone until 11:59 PM EST the day before the meeting.</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MAIL</w:t>
      </w:r>
      <w:r>
        <w:rPr>
          <w:rFonts w:ascii="Arial" w:cs="Arial" w:eastAsia="Arial" w:hAnsi="Arial"/>
          <w:sz w:val="16"/>
          <w:szCs w:val="16"/>
          <w:b w:val="1"/>
          <w:bCs w:val="1"/>
          <w:color w:val="auto"/>
        </w:rPr>
        <w:t xml:space="preserve"> - </w:t>
      </w:r>
      <w:r>
        <w:rPr>
          <w:rFonts w:ascii="Arial" w:cs="Arial" w:eastAsia="Arial" w:hAnsi="Arial"/>
          <w:sz w:val="16"/>
          <w:szCs w:val="16"/>
          <w:color w:val="auto"/>
        </w:rPr>
        <w:t>Sign, date and mail your proxy card in the envelope provided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possible.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IN PERSON</w:t>
      </w:r>
      <w:r>
        <w:rPr>
          <w:rFonts w:ascii="Arial" w:cs="Arial" w:eastAsia="Arial" w:hAnsi="Arial"/>
          <w:sz w:val="16"/>
          <w:szCs w:val="16"/>
          <w:b w:val="1"/>
          <w:bCs w:val="1"/>
          <w:color w:val="auto"/>
        </w:rPr>
        <w:t xml:space="preserve"> - </w:t>
      </w:r>
      <w:r>
        <w:rPr>
          <w:rFonts w:ascii="Arial" w:cs="Arial" w:eastAsia="Arial" w:hAnsi="Arial"/>
          <w:sz w:val="16"/>
          <w:szCs w:val="16"/>
          <w:color w:val="auto"/>
        </w:rPr>
        <w:t>You may vote your shares in person by attending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u w:val="single" w:color="auto"/>
          <w:color w:val="auto"/>
        </w:rPr>
        <w:t>GO GREEN</w:t>
      </w:r>
      <w:r>
        <w:rPr>
          <w:rFonts w:ascii="Arial" w:cs="Arial" w:eastAsia="Arial" w:hAnsi="Arial"/>
          <w:sz w:val="16"/>
          <w:szCs w:val="16"/>
          <w:b w:val="1"/>
          <w:bCs w:val="1"/>
          <w:color w:val="auto"/>
        </w:rPr>
        <w:t xml:space="preserve"> - </w:t>
      </w:r>
      <w:r>
        <w:rPr>
          <w:rFonts w:ascii="Arial" w:cs="Arial" w:eastAsia="Arial" w:hAnsi="Arial"/>
          <w:sz w:val="16"/>
          <w:szCs w:val="16"/>
          <w:color w:val="auto"/>
        </w:rPr>
        <w:t>e-Consent makes it easy to go paperless. With e-Consent,</w:t>
      </w:r>
      <w:r>
        <w:rPr>
          <w:rFonts w:ascii="Arial" w:cs="Arial" w:eastAsia="Arial" w:hAnsi="Arial"/>
          <w:sz w:val="16"/>
          <w:szCs w:val="16"/>
          <w:b w:val="1"/>
          <w:bCs w:val="1"/>
          <w:color w:val="auto"/>
        </w:rPr>
        <w:t xml:space="preserve"> </w:t>
      </w:r>
      <w:r>
        <w:rPr>
          <w:rFonts w:ascii="Arial" w:cs="Arial" w:eastAsia="Arial" w:hAnsi="Arial"/>
          <w:sz w:val="16"/>
          <w:szCs w:val="16"/>
          <w:color w:val="auto"/>
        </w:rPr>
        <w:t>you can quickly access your proxy material, statements and other eligible documents online, while reducing costs, clutter and paper waste. Enroll today via www.amstock.com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-252095</wp:posOffset>
            </wp:positionV>
            <wp:extent cx="3559175" cy="127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9175" cy="12776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-1426845</wp:posOffset>
            </wp:positionV>
            <wp:extent cx="497205" cy="488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7205" cy="488950"/>
                    </a:xfrm>
                    <a:prstGeom prst="rect">
                      <a:avLst/>
                    </a:prstGeom>
                    <a:noFill/>
                  </pic:spPr>
                </pic:pic>
              </a:graphicData>
            </a:graphic>
          </wp:anchor>
        </w:drawing>
      </w:r>
    </w:p>
    <w:p>
      <w:pPr>
        <w:spacing w:after="0" w:line="38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ACCOUNT NUMBER</w:t>
      </w:r>
    </w:p>
    <w:p>
      <w:pPr>
        <w:spacing w:after="0" w:line="888" w:lineRule="exact"/>
        <w:rPr>
          <w:sz w:val="20"/>
          <w:szCs w:val="20"/>
          <w:color w:val="auto"/>
        </w:rPr>
      </w:pPr>
    </w:p>
    <w:p>
      <w:pPr>
        <w:sectPr>
          <w:pgSz w:w="11900" w:h="16838" w:orient="portrait"/>
          <w:cols w:equalWidth="0" w:num="2">
            <w:col w:w="5480" w:space="700"/>
            <w:col w:w="5260"/>
          </w:cols>
          <w:pgMar w:left="240" w:top="256" w:right="21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-125095</wp:posOffset>
            </wp:positionV>
            <wp:extent cx="6740525"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0525" cy="41148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8"/>
          <w:szCs w:val="18"/>
          <w:b w:val="1"/>
          <w:bCs w:val="1"/>
          <w:color w:val="auto"/>
        </w:rPr>
        <w:t>The Notice of Meeting, Proxy Statement, Proxy Card</w:t>
      </w:r>
    </w:p>
    <w:p>
      <w:pPr>
        <w:jc w:val="center"/>
        <w:ind w:right="100"/>
        <w:spacing w:after="0"/>
        <w:rPr>
          <w:sz w:val="20"/>
          <w:szCs w:val="20"/>
          <w:color w:val="auto"/>
        </w:rPr>
      </w:pPr>
      <w:r>
        <w:rPr>
          <w:rFonts w:ascii="Arial" w:cs="Arial" w:eastAsia="Arial" w:hAnsi="Arial"/>
          <w:sz w:val="18"/>
          <w:szCs w:val="18"/>
          <w:b w:val="1"/>
          <w:bCs w:val="1"/>
          <w:color w:val="auto"/>
        </w:rPr>
        <w:t>are available at http://www.astproxyportal.com/ast/19720/</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4"/>
          <w:szCs w:val="14"/>
          <w:b w:val="1"/>
          <w:bCs w:val="1"/>
          <w:color w:val="auto"/>
        </w:rPr>
        <w:t>Please detach along perforated line and mail in the envelope provided</w:t>
      </w:r>
      <w:r>
        <w:rPr>
          <w:rFonts w:ascii="Arial" w:cs="Arial" w:eastAsia="Arial" w:hAnsi="Arial"/>
          <w:sz w:val="18"/>
          <w:szCs w:val="18"/>
          <w:b w:val="1"/>
          <w:bCs w:val="1"/>
          <w:color w:val="auto"/>
        </w:rPr>
        <w:t xml:space="preserve"> </w:t>
      </w:r>
      <w:r>
        <w:rPr>
          <w:rFonts w:ascii="Arial" w:cs="Arial" w:eastAsia="Arial" w:hAnsi="Arial"/>
          <w:sz w:val="14"/>
          <w:szCs w:val="14"/>
          <w:b w:val="1"/>
          <w:bCs w:val="1"/>
          <w:u w:val="single" w:color="auto"/>
          <w:color w:val="auto"/>
        </w:rPr>
        <w:t>IF</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you are not voting via telephone or the Internet.</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22"/>
                <w:szCs w:val="22"/>
                <w:color w:val="auto"/>
              </w:rPr>
              <w:t>¢</w:t>
            </w:r>
          </w:p>
        </w:tc>
        <w:tc>
          <w:tcPr>
            <w:tcW w:w="4460" w:type="dxa"/>
            <w:vAlign w:val="bottom"/>
            <w:gridSpan w:val="2"/>
          </w:tcPr>
          <w:p>
            <w:pPr>
              <w:ind w:left="20"/>
              <w:spacing w:after="0"/>
              <w:rPr>
                <w:sz w:val="20"/>
                <w:szCs w:val="20"/>
                <w:color w:val="auto"/>
              </w:rPr>
            </w:pPr>
            <w:r>
              <w:rPr>
                <w:rFonts w:ascii="Arial" w:cs="Arial" w:eastAsia="Arial" w:hAnsi="Arial"/>
                <w:sz w:val="22"/>
                <w:szCs w:val="22"/>
                <w:color w:val="auto"/>
              </w:rPr>
              <w:t>20233300000000001000 0</w:t>
            </w:r>
          </w:p>
        </w:tc>
        <w:tc>
          <w:tcPr>
            <w:tcW w:w="5200" w:type="dxa"/>
            <w:vAlign w:val="bottom"/>
          </w:tcPr>
          <w:p>
            <w:pPr>
              <w:ind w:left="3740"/>
              <w:spacing w:after="0"/>
              <w:rPr>
                <w:sz w:val="20"/>
                <w:szCs w:val="20"/>
                <w:color w:val="auto"/>
              </w:rPr>
            </w:pPr>
            <w:r>
              <w:rPr>
                <w:rFonts w:ascii="Arial" w:cs="Arial" w:eastAsia="Arial" w:hAnsi="Arial"/>
                <w:sz w:val="22"/>
                <w:szCs w:val="22"/>
                <w:color w:val="auto"/>
              </w:rPr>
              <w:t>062415</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120" w:type="dxa"/>
            <w:vAlign w:val="bottom"/>
            <w:gridSpan w:val="2"/>
          </w:tcPr>
          <w:p>
            <w:pPr>
              <w:ind w:left="260"/>
              <w:spacing w:after="0" w:line="134" w:lineRule="exact"/>
              <w:rPr>
                <w:sz w:val="20"/>
                <w:szCs w:val="20"/>
                <w:color w:val="auto"/>
              </w:rPr>
            </w:pPr>
            <w:r>
              <w:rPr>
                <w:rFonts w:ascii="Arial" w:cs="Arial" w:eastAsia="Arial" w:hAnsi="Arial"/>
                <w:sz w:val="13"/>
                <w:szCs w:val="13"/>
                <w:b w:val="1"/>
                <w:bCs w:val="1"/>
                <w:color w:val="auto"/>
              </w:rPr>
              <w:t>THE BOARD OF DIRECTORS RECOMMENDS A VOTE “FOR” THE ELECTION OF THE TWO DIRECTORS NOMINATED AND</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200" w:type="dxa"/>
            <w:vAlign w:val="bottom"/>
          </w:tcPr>
          <w:p>
            <w:pPr>
              <w:ind w:left="20"/>
              <w:spacing w:after="0" w:line="130" w:lineRule="exact"/>
              <w:rPr>
                <w:sz w:val="20"/>
                <w:szCs w:val="20"/>
                <w:color w:val="auto"/>
              </w:rPr>
            </w:pPr>
            <w:r>
              <w:rPr>
                <w:rFonts w:ascii="Arial" w:cs="Arial" w:eastAsia="Arial" w:hAnsi="Arial"/>
                <w:sz w:val="13"/>
                <w:szCs w:val="13"/>
                <w:b w:val="1"/>
                <w:bCs w:val="1"/>
                <w:color w:val="auto"/>
              </w:rPr>
              <w:t>“FOR” PROPOSALS 2, 3 AND 4.</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ind w:left="760"/>
              <w:spacing w:after="0" w:line="207"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960" w:type="dxa"/>
            <w:vAlign w:val="bottom"/>
          </w:tcPr>
          <w:p>
            <w:pPr>
              <w:ind w:left="60"/>
              <w:spacing w:after="0" w:line="102" w:lineRule="exact"/>
              <w:rPr>
                <w:sz w:val="20"/>
                <w:szCs w:val="20"/>
                <w:color w:val="auto"/>
              </w:rPr>
            </w:pPr>
            <w:r>
              <w:rPr>
                <w:rFonts w:ascii="Arial" w:cs="Arial" w:eastAsia="Arial" w:hAnsi="Arial"/>
                <w:sz w:val="11"/>
                <w:szCs w:val="11"/>
                <w:color w:val="auto"/>
              </w:rPr>
              <w:t>FOR   AGAINST</w:t>
            </w:r>
          </w:p>
        </w:tc>
        <w:tc>
          <w:tcPr>
            <w:tcW w:w="520" w:type="dxa"/>
            <w:vAlign w:val="bottom"/>
          </w:tcPr>
          <w:p>
            <w:pPr>
              <w:jc w:val="center"/>
              <w:spacing w:after="0" w:line="102" w:lineRule="exact"/>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210"/>
        </w:trPr>
        <w:tc>
          <w:tcPr>
            <w:tcW w:w="4740" w:type="dxa"/>
            <w:vAlign w:val="bottom"/>
            <w:gridSpan w:val="3"/>
          </w:tcPr>
          <w:p>
            <w:pPr>
              <w:spacing w:after="0"/>
              <w:rPr>
                <w:sz w:val="20"/>
                <w:szCs w:val="20"/>
                <w:color w:val="auto"/>
              </w:rPr>
            </w:pPr>
            <w:r>
              <w:rPr>
                <w:rFonts w:ascii="Arial" w:cs="Arial" w:eastAsia="Arial" w:hAnsi="Arial"/>
                <w:sz w:val="13"/>
                <w:szCs w:val="13"/>
                <w:color w:val="auto"/>
                <w:w w:val="97"/>
              </w:rPr>
              <w:t>1.  Election of two Directors for a three year term (except as marked to the contrary):</w:t>
            </w:r>
          </w:p>
        </w:tc>
        <w:tc>
          <w:tcPr>
            <w:tcW w:w="5200" w:type="dxa"/>
            <w:vAlign w:val="bottom"/>
          </w:tcPr>
          <w:p>
            <w:pPr>
              <w:ind w:left="840"/>
              <w:spacing w:after="0"/>
              <w:rPr>
                <w:sz w:val="20"/>
                <w:szCs w:val="20"/>
                <w:color w:val="auto"/>
              </w:rPr>
            </w:pPr>
            <w:r>
              <w:rPr>
                <w:rFonts w:ascii="Arial" w:cs="Arial" w:eastAsia="Arial" w:hAnsi="Arial"/>
                <w:sz w:val="13"/>
                <w:szCs w:val="13"/>
                <w:color w:val="auto"/>
              </w:rPr>
              <w:t>2.  The ratification of McGladrey LLP as the independent registered public</w:t>
            </w: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97"/>
        </w:trPr>
        <w:tc>
          <w:tcPr>
            <w:tcW w:w="1820" w:type="dxa"/>
            <w:vAlign w:val="bottom"/>
            <w:gridSpan w:val="2"/>
            <w:vMerge w:val="restart"/>
          </w:tcPr>
          <w:p>
            <w:pPr>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1"/>
                <w:szCs w:val="11"/>
                <w:b w:val="1"/>
                <w:bCs w:val="1"/>
                <w:color w:val="auto"/>
              </w:rPr>
              <w:t xml:space="preserve"> FOR ALL NOMINEES</w:t>
            </w:r>
          </w:p>
        </w:tc>
        <w:tc>
          <w:tcPr>
            <w:tcW w:w="292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NOMINEES:</w:t>
            </w:r>
          </w:p>
        </w:tc>
        <w:tc>
          <w:tcPr>
            <w:tcW w:w="5200" w:type="dxa"/>
            <w:vAlign w:val="bottom"/>
          </w:tcPr>
          <w:p>
            <w:pPr>
              <w:ind w:left="1060"/>
              <w:spacing w:after="0"/>
              <w:rPr>
                <w:sz w:val="20"/>
                <w:szCs w:val="20"/>
                <w:color w:val="auto"/>
              </w:rPr>
            </w:pPr>
            <w:r>
              <w:rPr>
                <w:rFonts w:ascii="Arial" w:cs="Arial" w:eastAsia="Arial" w:hAnsi="Arial"/>
                <w:sz w:val="13"/>
                <w:szCs w:val="13"/>
                <w:color w:val="auto"/>
              </w:rPr>
              <w:t>accounting firm for the fiscal year ending December 31, 2015.</w:t>
            </w:r>
          </w:p>
        </w:tc>
        <w:tc>
          <w:tcPr>
            <w:tcW w:w="9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1820" w:type="dxa"/>
            <w:vAlign w:val="bottom"/>
            <w:gridSpan w:val="2"/>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5200" w:type="dxa"/>
            <w:vAlign w:val="bottom"/>
            <w:vMerge w:val="restart"/>
          </w:tcPr>
          <w:p>
            <w:pPr>
              <w:ind w:left="840"/>
              <w:spacing w:after="0"/>
              <w:rPr>
                <w:sz w:val="20"/>
                <w:szCs w:val="20"/>
                <w:color w:val="auto"/>
              </w:rPr>
            </w:pPr>
            <w:r>
              <w:rPr>
                <w:rFonts w:ascii="Arial" w:cs="Arial" w:eastAsia="Arial" w:hAnsi="Arial"/>
                <w:sz w:val="13"/>
                <w:szCs w:val="13"/>
                <w:color w:val="auto"/>
              </w:rPr>
              <w:t>3.  The approval of the compensation of the named executive officers.</w:t>
            </w: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35"/>
        </w:trPr>
        <w:tc>
          <w:tcPr>
            <w:tcW w:w="1820" w:type="dxa"/>
            <w:vAlign w:val="bottom"/>
            <w:gridSpan w:val="2"/>
            <w:vMerge w:val="continue"/>
          </w:tcPr>
          <w:p>
            <w:pPr>
              <w:spacing w:after="0"/>
              <w:rPr>
                <w:sz w:val="11"/>
                <w:szCs w:val="11"/>
                <w:color w:val="auto"/>
              </w:rPr>
            </w:pPr>
          </w:p>
        </w:tc>
        <w:tc>
          <w:tcPr>
            <w:tcW w:w="2920" w:type="dxa"/>
            <w:vAlign w:val="bottom"/>
          </w:tcPr>
          <w:p>
            <w:pPr>
              <w:ind w:left="240"/>
              <w:spacing w:after="0" w:line="135" w:lineRule="exact"/>
              <w:rPr>
                <w:sz w:val="20"/>
                <w:szCs w:val="20"/>
                <w:color w:val="auto"/>
              </w:rPr>
            </w:pPr>
            <w:r>
              <w:rPr>
                <w:rFonts w:ascii="Arial" w:cs="Arial" w:eastAsia="Arial" w:hAnsi="Arial"/>
                <w:sz w:val="13"/>
                <w:szCs w:val="13"/>
                <w:color w:val="auto"/>
              </w:rPr>
              <w:t>O Peter Downs</w:t>
            </w:r>
          </w:p>
        </w:tc>
        <w:tc>
          <w:tcPr>
            <w:tcW w:w="5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20" w:type="dxa"/>
            <w:vAlign w:val="bottom"/>
            <w:gridSpan w:val="2"/>
            <w:vMerge w:val="continue"/>
          </w:tcPr>
          <w:p>
            <w:pPr>
              <w:spacing w:after="0"/>
              <w:rPr>
                <w:sz w:val="13"/>
                <w:szCs w:val="13"/>
                <w:color w:val="auto"/>
              </w:rPr>
            </w:pPr>
          </w:p>
        </w:tc>
        <w:tc>
          <w:tcPr>
            <w:tcW w:w="2920" w:type="dxa"/>
            <w:vAlign w:val="bottom"/>
          </w:tcPr>
          <w:p>
            <w:pPr>
              <w:ind w:left="240"/>
              <w:spacing w:after="0"/>
              <w:rPr>
                <w:sz w:val="20"/>
                <w:szCs w:val="20"/>
                <w:color w:val="auto"/>
              </w:rPr>
            </w:pPr>
            <w:r>
              <w:rPr>
                <w:rFonts w:ascii="Arial" w:cs="Arial" w:eastAsia="Arial" w:hAnsi="Arial"/>
                <w:sz w:val="13"/>
                <w:szCs w:val="13"/>
                <w:color w:val="auto"/>
              </w:rPr>
              <w:t>O Barry Sloane</w:t>
            </w:r>
          </w:p>
        </w:tc>
        <w:tc>
          <w:tcPr>
            <w:tcW w:w="5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w w:val="89"/>
              </w:rPr>
              <w:t>☐</w:t>
            </w:r>
          </w:p>
        </w:tc>
        <w:tc>
          <w:tcPr>
            <w:tcW w:w="1540" w:type="dxa"/>
            <w:vAlign w:val="bottom"/>
          </w:tcPr>
          <w:p>
            <w:pPr>
              <w:ind w:left="80"/>
              <w:spacing w:after="0"/>
              <w:rPr>
                <w:sz w:val="20"/>
                <w:szCs w:val="20"/>
                <w:color w:val="auto"/>
              </w:rPr>
            </w:pPr>
            <w:r>
              <w:rPr>
                <w:rFonts w:ascii="Arial" w:cs="Arial" w:eastAsia="Arial" w:hAnsi="Arial"/>
                <w:sz w:val="11"/>
                <w:szCs w:val="11"/>
                <w:b w:val="1"/>
                <w:bCs w:val="1"/>
                <w:color w:val="auto"/>
              </w:rPr>
              <w:t>WITHHOLD AUTHORITY</w:t>
            </w:r>
          </w:p>
        </w:tc>
        <w:tc>
          <w:tcPr>
            <w:tcW w:w="2920" w:type="dxa"/>
            <w:vAlign w:val="bottom"/>
          </w:tcPr>
          <w:p>
            <w:pPr>
              <w:spacing w:after="0"/>
              <w:rPr>
                <w:sz w:val="18"/>
                <w:szCs w:val="18"/>
                <w:color w:val="auto"/>
              </w:rPr>
            </w:pPr>
          </w:p>
        </w:tc>
        <w:tc>
          <w:tcPr>
            <w:tcW w:w="5200" w:type="dxa"/>
            <w:vAlign w:val="bottom"/>
            <w:vMerge w:val="restart"/>
          </w:tcPr>
          <w:p>
            <w:pPr>
              <w:ind w:left="840"/>
              <w:spacing w:after="0"/>
              <w:rPr>
                <w:sz w:val="20"/>
                <w:szCs w:val="20"/>
                <w:color w:val="auto"/>
              </w:rPr>
            </w:pPr>
            <w:r>
              <w:rPr>
                <w:rFonts w:ascii="Arial" w:cs="Arial" w:eastAsia="Arial" w:hAnsi="Arial"/>
                <w:sz w:val="13"/>
                <w:szCs w:val="13"/>
                <w:color w:val="auto"/>
              </w:rPr>
              <w:t>4.  To approve any adjournment of the Annual Meeting, if necessary or</w:t>
            </w:r>
          </w:p>
        </w:tc>
        <w:tc>
          <w:tcPr>
            <w:tcW w:w="960" w:type="dxa"/>
            <w:vAlign w:val="bottom"/>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52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3"/>
        </w:trPr>
        <w:tc>
          <w:tcPr>
            <w:tcW w:w="280" w:type="dxa"/>
            <w:vAlign w:val="bottom"/>
            <w:vMerge w:val="continue"/>
          </w:tcPr>
          <w:p>
            <w:pPr>
              <w:spacing w:after="0"/>
              <w:rPr>
                <w:sz w:val="5"/>
                <w:szCs w:val="5"/>
                <w:color w:val="auto"/>
              </w:rPr>
            </w:pPr>
          </w:p>
        </w:tc>
        <w:tc>
          <w:tcPr>
            <w:tcW w:w="1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 ALL NOMINEES</w:t>
            </w:r>
          </w:p>
        </w:tc>
        <w:tc>
          <w:tcPr>
            <w:tcW w:w="292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2920" w:type="dxa"/>
            <w:vAlign w:val="bottom"/>
          </w:tcPr>
          <w:p>
            <w:pPr>
              <w:spacing w:after="0"/>
              <w:rPr>
                <w:sz w:val="6"/>
                <w:szCs w:val="6"/>
                <w:color w:val="auto"/>
              </w:rPr>
            </w:pPr>
          </w:p>
        </w:tc>
        <w:tc>
          <w:tcPr>
            <w:tcW w:w="5200" w:type="dxa"/>
            <w:vAlign w:val="bottom"/>
            <w:vMerge w:val="restart"/>
          </w:tcPr>
          <w:p>
            <w:pPr>
              <w:ind w:left="1060"/>
              <w:spacing w:after="0" w:line="135" w:lineRule="exact"/>
              <w:rPr>
                <w:sz w:val="20"/>
                <w:szCs w:val="20"/>
                <w:color w:val="auto"/>
              </w:rPr>
            </w:pPr>
            <w:r>
              <w:rPr>
                <w:rFonts w:ascii="Arial" w:cs="Arial" w:eastAsia="Arial" w:hAnsi="Arial"/>
                <w:sz w:val="13"/>
                <w:szCs w:val="13"/>
                <w:color w:val="auto"/>
              </w:rPr>
              <w:t>appropriate to solicit additional proxies in favor of any of the foregoing</w:t>
            </w:r>
          </w:p>
        </w:tc>
        <w:tc>
          <w:tcPr>
            <w:tcW w:w="9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8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8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w w:val="89"/>
              </w:rPr>
              <w:t>☐</w:t>
            </w:r>
          </w:p>
        </w:tc>
        <w:tc>
          <w:tcPr>
            <w:tcW w:w="1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 ALL EXCEPT</w:t>
            </w:r>
          </w:p>
        </w:tc>
        <w:tc>
          <w:tcPr>
            <w:tcW w:w="2920" w:type="dxa"/>
            <w:vAlign w:val="bottom"/>
          </w:tcPr>
          <w:p>
            <w:pPr>
              <w:spacing w:after="0"/>
              <w:rPr>
                <w:sz w:val="13"/>
                <w:szCs w:val="13"/>
                <w:color w:val="auto"/>
              </w:rPr>
            </w:pPr>
          </w:p>
        </w:tc>
        <w:tc>
          <w:tcPr>
            <w:tcW w:w="5200" w:type="dxa"/>
            <w:vAlign w:val="bottom"/>
          </w:tcPr>
          <w:p>
            <w:pPr>
              <w:ind w:left="1060"/>
              <w:spacing w:after="0"/>
              <w:rPr>
                <w:sz w:val="20"/>
                <w:szCs w:val="20"/>
                <w:color w:val="auto"/>
              </w:rPr>
            </w:pPr>
            <w:r>
              <w:rPr>
                <w:rFonts w:ascii="Arial" w:cs="Arial" w:eastAsia="Arial" w:hAnsi="Arial"/>
                <w:sz w:val="13"/>
                <w:szCs w:val="13"/>
                <w:color w:val="auto"/>
              </w:rPr>
              <w:t>proposals, if there are not sufficient votes for the proposals.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80" w:type="dxa"/>
            <w:vAlign w:val="bottom"/>
            <w:vMerge w:val="continue"/>
          </w:tcPr>
          <w:p>
            <w:pPr>
              <w:spacing w:after="0"/>
              <w:rPr>
                <w:sz w:val="19"/>
                <w:szCs w:val="19"/>
                <w:color w:val="auto"/>
              </w:rPr>
            </w:pPr>
          </w:p>
        </w:tc>
        <w:tc>
          <w:tcPr>
            <w:tcW w:w="1540" w:type="dxa"/>
            <w:vAlign w:val="bottom"/>
          </w:tcPr>
          <w:p>
            <w:pPr>
              <w:ind w:left="80"/>
              <w:spacing w:after="0"/>
              <w:rPr>
                <w:sz w:val="20"/>
                <w:szCs w:val="20"/>
                <w:color w:val="auto"/>
              </w:rPr>
            </w:pPr>
            <w:r>
              <w:rPr>
                <w:rFonts w:ascii="Arial" w:cs="Arial" w:eastAsia="Arial" w:hAnsi="Arial"/>
                <w:sz w:val="11"/>
                <w:szCs w:val="11"/>
                <w:color w:val="auto"/>
              </w:rPr>
              <w:t>(See instructions below)</w:t>
            </w:r>
          </w:p>
        </w:tc>
        <w:tc>
          <w:tcPr>
            <w:tcW w:w="2920" w:type="dxa"/>
            <w:vAlign w:val="bottom"/>
          </w:tcPr>
          <w:p>
            <w:pPr>
              <w:spacing w:after="0"/>
              <w:rPr>
                <w:sz w:val="19"/>
                <w:szCs w:val="19"/>
                <w:color w:val="auto"/>
              </w:rPr>
            </w:pPr>
          </w:p>
        </w:tc>
        <w:tc>
          <w:tcPr>
            <w:tcW w:w="6680" w:type="dxa"/>
            <w:vAlign w:val="bottom"/>
            <w:gridSpan w:val="3"/>
          </w:tcPr>
          <w:p>
            <w:pPr>
              <w:ind w:left="840"/>
              <w:spacing w:after="0"/>
              <w:rPr>
                <w:sz w:val="20"/>
                <w:szCs w:val="20"/>
                <w:color w:val="auto"/>
              </w:rPr>
            </w:pPr>
            <w:r>
              <w:rPr>
                <w:rFonts w:ascii="Arial" w:cs="Arial" w:eastAsia="Arial" w:hAnsi="Arial"/>
                <w:sz w:val="13"/>
                <w:szCs w:val="13"/>
                <w:color w:val="auto"/>
              </w:rPr>
              <w:t>The undersigned acknowledges receipt from the Company before the execution of this proxy of the</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80" w:type="dxa"/>
            <w:vAlign w:val="bottom"/>
            <w:gridSpan w:val="3"/>
          </w:tcPr>
          <w:p>
            <w:pPr>
              <w:ind w:left="840"/>
              <w:spacing w:after="0" w:line="135" w:lineRule="exact"/>
              <w:rPr>
                <w:sz w:val="20"/>
                <w:szCs w:val="20"/>
                <w:color w:val="auto"/>
              </w:rPr>
            </w:pPr>
            <w:r>
              <w:rPr>
                <w:rFonts w:ascii="Arial" w:cs="Arial" w:eastAsia="Arial" w:hAnsi="Arial"/>
                <w:sz w:val="13"/>
                <w:szCs w:val="13"/>
                <w:color w:val="auto"/>
                <w:w w:val="99"/>
              </w:rPr>
              <w:t>Notice of Annual Meeting of Shareholders, a Proxy Statement for the Annual Meeting of Shareholders</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200" w:type="dxa"/>
            <w:vAlign w:val="bottom"/>
          </w:tcPr>
          <w:p>
            <w:pPr>
              <w:ind w:left="840"/>
              <w:spacing w:after="0"/>
              <w:rPr>
                <w:sz w:val="20"/>
                <w:szCs w:val="20"/>
                <w:color w:val="auto"/>
              </w:rPr>
            </w:pPr>
            <w:r>
              <w:rPr>
                <w:rFonts w:ascii="Arial" w:cs="Arial" w:eastAsia="Arial" w:hAnsi="Arial"/>
                <w:sz w:val="13"/>
                <w:szCs w:val="13"/>
                <w:color w:val="auto"/>
              </w:rPr>
              <w:t>and the 2014 Annual Report to Shareholders.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-1344295</wp:posOffset>
            </wp:positionV>
            <wp:extent cx="3481705" cy="3456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6120"/>
        <w:spacing w:after="0"/>
        <w:rPr>
          <w:sz w:val="20"/>
          <w:szCs w:val="20"/>
          <w:color w:val="auto"/>
        </w:rPr>
      </w:pPr>
      <w:r>
        <w:rPr>
          <w:rFonts w:ascii="Arial" w:cs="Arial" w:eastAsia="Arial" w:hAnsi="Arial"/>
          <w:sz w:val="12"/>
          <w:szCs w:val="12"/>
          <w:b w:val="1"/>
          <w:bCs w:val="1"/>
          <w:u w:val="single" w:color="auto"/>
          <w:color w:val="auto"/>
        </w:rPr>
        <w:t>INSTRUCTIONS:</w:t>
      </w:r>
      <w:r>
        <w:rPr>
          <w:rFonts w:ascii="Arial" w:cs="Arial" w:eastAsia="Arial" w:hAnsi="Arial"/>
          <w:sz w:val="12"/>
          <w:szCs w:val="12"/>
          <w:b w:val="1"/>
          <w:bCs w:val="1"/>
          <w:color w:val="auto"/>
        </w:rPr>
        <w:t xml:space="preserve"> </w:t>
      </w:r>
      <w:r>
        <w:rPr>
          <w:rFonts w:ascii="Arial" w:cs="Arial" w:eastAsia="Arial" w:hAnsi="Arial"/>
          <w:sz w:val="12"/>
          <w:szCs w:val="12"/>
          <w:color w:val="auto"/>
        </w:rPr>
        <w:t>To withhold authority to vote for any individual nominee(s), mark</w:t>
      </w:r>
      <w:r>
        <w:rPr>
          <w:rFonts w:ascii="Arial" w:cs="Arial" w:eastAsia="Arial" w:hAnsi="Arial"/>
          <w:sz w:val="12"/>
          <w:szCs w:val="12"/>
          <w:b w:val="1"/>
          <w:bCs w:val="1"/>
          <w:color w:val="auto"/>
        </w:rPr>
        <w:t xml:space="preserve"> “FOR ALL</w:t>
      </w:r>
    </w:p>
    <w:p>
      <w:pPr>
        <w:spacing w:after="0" w:line="6" w:lineRule="exact"/>
        <w:rPr>
          <w:sz w:val="20"/>
          <w:szCs w:val="20"/>
          <w:color w:val="auto"/>
        </w:rPr>
      </w:pPr>
    </w:p>
    <w:p>
      <w:pPr>
        <w:jc w:val="right"/>
        <w:ind w:right="6120"/>
        <w:spacing w:after="0"/>
        <w:rPr>
          <w:sz w:val="20"/>
          <w:szCs w:val="20"/>
          <w:color w:val="auto"/>
        </w:rPr>
      </w:pPr>
      <w:r>
        <w:rPr>
          <w:rFonts w:ascii="Arial" w:cs="Arial" w:eastAsia="Arial" w:hAnsi="Arial"/>
          <w:sz w:val="13"/>
          <w:szCs w:val="13"/>
          <w:b w:val="1"/>
          <w:bCs w:val="1"/>
          <w:color w:val="auto"/>
        </w:rPr>
        <w:t xml:space="preserve">EXCEPT” </w:t>
      </w:r>
      <w:r>
        <w:rPr>
          <w:rFonts w:ascii="Arial" w:cs="Arial" w:eastAsia="Arial" w:hAnsi="Arial"/>
          <w:sz w:val="13"/>
          <w:szCs w:val="13"/>
          <w:color w:val="auto"/>
        </w:rPr>
        <w:t>and fill in the circle next to each nominee you wish to withhold, as</w:t>
      </w:r>
    </w:p>
    <w:p>
      <w:pPr>
        <w:ind w:left="1080"/>
        <w:spacing w:after="0"/>
        <w:rPr>
          <w:sz w:val="20"/>
          <w:szCs w:val="20"/>
          <w:color w:val="auto"/>
        </w:rPr>
      </w:pPr>
      <w:r>
        <w:rPr>
          <w:rFonts w:ascii="Arial" w:cs="Arial" w:eastAsia="Arial" w:hAnsi="Arial"/>
          <w:sz w:val="13"/>
          <w:szCs w:val="13"/>
          <w:color w:val="auto"/>
        </w:rPr>
        <w:t xml:space="preserve">shown here: </w:t>
      </w:r>
      <w:r>
        <w:rPr>
          <w:rFonts w:ascii="Arial" w:cs="Arial" w:eastAsia="Arial" w:hAnsi="Arial"/>
          <w:sz w:val="18"/>
          <w:szCs w:val="18"/>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430"/>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gridSpan w:val="4"/>
          </w:tcPr>
          <w:p>
            <w:pPr>
              <w:ind w:left="1100"/>
              <w:spacing w:after="0" w:line="322" w:lineRule="exact"/>
              <w:rPr>
                <w:sz w:val="20"/>
                <w:szCs w:val="20"/>
                <w:color w:val="auto"/>
              </w:rPr>
            </w:pPr>
            <w:r>
              <w:rPr>
                <w:rFonts w:ascii="Arial" w:cs="Arial" w:eastAsia="Arial" w:hAnsi="Arial"/>
                <w:sz w:val="13"/>
                <w:szCs w:val="13"/>
                <w:color w:val="auto"/>
              </w:rPr>
              <w:t xml:space="preserve">Check here if you plan to attend the Annual Meeting: </w:t>
            </w:r>
            <w:r>
              <w:rPr>
                <w:rFonts w:ascii="MS PGothic" w:cs="MS PGothic" w:eastAsia="MS PGothic" w:hAnsi="MS PGothic"/>
                <w:sz w:val="28"/>
                <w:szCs w:val="2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80" w:type="dxa"/>
            <w:vAlign w:val="bottom"/>
            <w:gridSpan w:val="5"/>
          </w:tcPr>
          <w:p>
            <w:pPr>
              <w:spacing w:after="0" w:line="123" w:lineRule="exact"/>
              <w:rPr>
                <w:sz w:val="20"/>
                <w:szCs w:val="20"/>
                <w:color w:val="auto"/>
              </w:rPr>
            </w:pPr>
            <w:r>
              <w:rPr>
                <w:rFonts w:ascii="Arial" w:cs="Arial" w:eastAsia="Arial" w:hAnsi="Arial"/>
                <w:sz w:val="13"/>
                <w:szCs w:val="13"/>
                <w:color w:val="auto"/>
              </w:rPr>
              <w:t>To change the address on your account, please check the box at right and</w:t>
            </w:r>
          </w:p>
        </w:tc>
        <w:tc>
          <w:tcPr>
            <w:tcW w:w="2460" w:type="dxa"/>
            <w:vAlign w:val="bottom"/>
            <w:gridSpan w:val="3"/>
            <w:vMerge w:val="restart"/>
          </w:tcPr>
          <w:p>
            <w:pPr>
              <w:ind w:left="280"/>
              <w:spacing w:after="0" w:line="291" w:lineRule="exact"/>
              <w:rPr>
                <w:sz w:val="20"/>
                <w:szCs w:val="20"/>
                <w:color w:val="auto"/>
              </w:rPr>
            </w:pPr>
            <w:r>
              <w:rPr>
                <w:rFonts w:ascii="MS PGothic" w:cs="MS PGothic" w:eastAsia="MS PGothic" w:hAnsi="MS PGothic"/>
                <w:sz w:val="29"/>
                <w:szCs w:val="29"/>
                <w:color w:val="auto"/>
              </w:rPr>
              <w:t>☐</w:t>
            </w:r>
          </w:p>
        </w:tc>
        <w:tc>
          <w:tcPr>
            <w:tcW w:w="2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0" w:type="dxa"/>
            <w:vAlign w:val="bottom"/>
            <w:gridSpan w:val="6"/>
          </w:tcPr>
          <w:p>
            <w:pPr>
              <w:spacing w:after="0" w:line="135" w:lineRule="exact"/>
              <w:rPr>
                <w:sz w:val="20"/>
                <w:szCs w:val="20"/>
                <w:color w:val="auto"/>
              </w:rPr>
            </w:pPr>
            <w:r>
              <w:rPr>
                <w:rFonts w:ascii="Arial" w:cs="Arial" w:eastAsia="Arial" w:hAnsi="Arial"/>
                <w:sz w:val="13"/>
                <w:szCs w:val="13"/>
                <w:color w:val="auto"/>
              </w:rPr>
              <w:t>indicate your new address in the address space above. Please note that changes</w:t>
            </w:r>
          </w:p>
        </w:tc>
        <w:tc>
          <w:tcPr>
            <w:tcW w:w="246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800" w:type="dxa"/>
            <w:vAlign w:val="bottom"/>
            <w:gridSpan w:val="6"/>
          </w:tcPr>
          <w:p>
            <w:pPr>
              <w:spacing w:after="0"/>
              <w:rPr>
                <w:sz w:val="20"/>
                <w:szCs w:val="20"/>
                <w:color w:val="auto"/>
              </w:rPr>
            </w:pPr>
            <w:r>
              <w:rPr>
                <w:rFonts w:ascii="Arial" w:cs="Arial" w:eastAsia="Arial" w:hAnsi="Arial"/>
                <w:sz w:val="13"/>
                <w:szCs w:val="13"/>
                <w:color w:val="auto"/>
              </w:rPr>
              <w:t>to the registered name(s) on the account may not be submitted via this method.</w:t>
            </w:r>
          </w:p>
        </w:tc>
        <w:tc>
          <w:tcPr>
            <w:tcW w:w="2460" w:type="dxa"/>
            <w:vAlign w:val="bottom"/>
            <w:gridSpan w:val="3"/>
            <w:vMerge w:val="continue"/>
          </w:tcPr>
          <w:p>
            <w:pPr>
              <w:spacing w:after="0"/>
              <w:rPr>
                <w:sz w:val="15"/>
                <w:szCs w:val="15"/>
                <w:color w:val="auto"/>
              </w:rPr>
            </w:pP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0" w:type="dxa"/>
            <w:vAlign w:val="bottom"/>
            <w:tcBorders>
              <w:top w:val="single" w:sz="8" w:color="auto"/>
            </w:tcBorders>
            <w:gridSpan w:val="3"/>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Signature of Shareholder</w:t>
            </w:r>
          </w:p>
        </w:tc>
        <w:tc>
          <w:tcPr>
            <w:tcW w:w="2540" w:type="dxa"/>
            <w:vAlign w:val="bottom"/>
            <w:tcBorders>
              <w:top w:val="single" w:sz="8" w:color="auto"/>
              <w:bottom w:val="single" w:sz="8" w:color="auto"/>
              <w:right w:val="single" w:sz="8" w:color="auto"/>
            </w:tcBorders>
          </w:tcPr>
          <w:p>
            <w:pPr>
              <w:spacing w:after="0"/>
              <w:rPr>
                <w:sz w:val="17"/>
                <w:szCs w:val="17"/>
                <w:color w:val="auto"/>
              </w:rPr>
            </w:pP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Date:</w:t>
            </w:r>
          </w:p>
        </w:tc>
        <w:tc>
          <w:tcPr>
            <w:tcW w:w="4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0"/>
              <w:spacing w:after="0"/>
              <w:rPr>
                <w:sz w:val="20"/>
                <w:szCs w:val="20"/>
                <w:color w:val="auto"/>
              </w:rPr>
            </w:pPr>
            <w:r>
              <w:rPr>
                <w:rFonts w:ascii="Arial" w:cs="Arial" w:eastAsia="Arial" w:hAnsi="Arial"/>
                <w:sz w:val="11"/>
                <w:szCs w:val="11"/>
                <w:color w:val="auto"/>
              </w:rPr>
              <w:t>Signature of Shareholder</w:t>
            </w:r>
          </w:p>
        </w:tc>
        <w:tc>
          <w:tcPr>
            <w:tcW w:w="2380" w:type="dxa"/>
            <w:vAlign w:val="bottom"/>
            <w:tcBorders>
              <w:top w:val="single" w:sz="8" w:color="auto"/>
              <w:bottom w:val="single" w:sz="8" w:color="auto"/>
              <w:right w:val="single" w:sz="8" w:color="auto"/>
            </w:tcBorders>
          </w:tcPr>
          <w:p>
            <w:pPr>
              <w:spacing w:after="0"/>
              <w:rPr>
                <w:sz w:val="17"/>
                <w:szCs w:val="17"/>
                <w:color w:val="auto"/>
              </w:rPr>
            </w:pP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Date:</w:t>
            </w:r>
          </w:p>
        </w:tc>
        <w:tc>
          <w:tcPr>
            <w:tcW w:w="10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0" w:type="dxa"/>
            <w:vAlign w:val="bottom"/>
            <w:gridSpan w:val="2"/>
            <w:vMerge w:val="restart"/>
          </w:tcPr>
          <w:p>
            <w:pPr>
              <w:spacing w:after="0"/>
              <w:rPr>
                <w:sz w:val="20"/>
                <w:szCs w:val="20"/>
                <w:color w:val="auto"/>
              </w:rPr>
            </w:pPr>
            <w:r>
              <w:rPr>
                <w:rFonts w:ascii="Arial" w:cs="Arial" w:eastAsia="Arial" w:hAnsi="Arial"/>
                <w:sz w:val="25"/>
                <w:szCs w:val="25"/>
                <w:color w:val="auto"/>
              </w:rPr>
              <w:t>n</w:t>
            </w:r>
          </w:p>
        </w:tc>
        <w:tc>
          <w:tcPr>
            <w:tcW w:w="10880" w:type="dxa"/>
            <w:vAlign w:val="bottom"/>
            <w:gridSpan w:val="10"/>
          </w:tcPr>
          <w:p>
            <w:pPr>
              <w:ind w:left="4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Please sign exactly as your name or names appear on this Proxy. When shares are held jointly, each holder should sign. When signing as executor, administrator, attorney, trustee or guardian, please give full title as</w:t>
            </w:r>
          </w:p>
        </w:tc>
        <w:tc>
          <w:tcPr>
            <w:tcW w:w="360" w:type="dxa"/>
            <w:vAlign w:val="bottom"/>
            <w:vMerge w:val="restart"/>
          </w:tcPr>
          <w:p>
            <w:pPr>
              <w:ind w:left="200"/>
              <w:spacing w:after="0"/>
              <w:rPr>
                <w:sz w:val="20"/>
                <w:szCs w:val="20"/>
                <w:color w:val="auto"/>
              </w:rPr>
            </w:pPr>
            <w:r>
              <w:rPr>
                <w:rFonts w:ascii="Arial" w:cs="Arial" w:eastAsia="Arial" w:hAnsi="Arial"/>
                <w:sz w:val="25"/>
                <w:szCs w:val="25"/>
                <w:color w:val="auto"/>
                <w:w w:val="85"/>
              </w:rPr>
              <w:t>n</w:t>
            </w: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10880" w:type="dxa"/>
            <w:vAlign w:val="bottom"/>
            <w:gridSpan w:val="10"/>
          </w:tcPr>
          <w:p>
            <w:pPr>
              <w:ind w:left="460"/>
              <w:spacing w:after="0"/>
              <w:rPr>
                <w:sz w:val="20"/>
                <w:szCs w:val="20"/>
                <w:color w:val="auto"/>
              </w:rPr>
            </w:pPr>
            <w:r>
              <w:rPr>
                <w:rFonts w:ascii="Arial" w:cs="Arial" w:eastAsia="Arial" w:hAnsi="Arial"/>
                <w:sz w:val="11"/>
                <w:szCs w:val="11"/>
                <w:color w:val="auto"/>
              </w:rPr>
              <w:t>such. If the signer is a corporation, please sign full corporate name by duly authorized officer, giving full title as such. If signer is a partnership, please sign in partnership name by authorized person.</w:t>
            </w: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6" w:right="21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600"/>
        <w:spacing w:after="0"/>
        <w:tabs>
          <w:tab w:leader="none" w:pos="1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NEWTEK BUSINESS SERVICES CORP.</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ANNUAL MEETING OF SHAREHOLDERS</w:t>
      </w:r>
    </w:p>
    <w:p>
      <w:pPr>
        <w:spacing w:after="0" w:line="11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June 24, 2015</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78" w:lineRule="exact"/>
        <w:rPr>
          <w:sz w:val="20"/>
          <w:szCs w:val="20"/>
          <w:color w:val="auto"/>
        </w:rPr>
      </w:pPr>
    </w:p>
    <w:p>
      <w:pPr>
        <w:jc w:val="both"/>
        <w:ind w:left="140" w:right="220" w:firstLine="324"/>
        <w:spacing w:after="0" w:line="232" w:lineRule="auto"/>
        <w:rPr>
          <w:sz w:val="20"/>
          <w:szCs w:val="20"/>
          <w:color w:val="auto"/>
        </w:rPr>
      </w:pPr>
      <w:r>
        <w:rPr>
          <w:rFonts w:ascii="Arial" w:cs="Arial" w:eastAsia="Arial" w:hAnsi="Arial"/>
          <w:sz w:val="22"/>
          <w:szCs w:val="22"/>
          <w:color w:val="auto"/>
        </w:rPr>
        <w:t>The undersigned shareholder of Newtek Business Services Corp. (the "Company") hereby appoints Barry Sloane and Michael A. Schwartz, or either of them, with full powers of substitution, as attorneys and proxies for the undersigned, to vote all Common Shares of the Company which the undersigned is entitled to vote at the Annual Meeting of Shareholders, to be held at the New York City office of the Company, 212 W. 35th Street, 2nd Floor, New York, NY 10001 on Wednesday, June 24, 2015 at 9:00 a.m., local time, and at any and all adjournments thereof, as indicated below and as determined by a majority of the Board of Directors with respect to such other matters as may come before the Annual Meeting.</w:t>
      </w:r>
    </w:p>
    <w:p>
      <w:pPr>
        <w:spacing w:after="0" w:line="126" w:lineRule="exact"/>
        <w:rPr>
          <w:sz w:val="20"/>
          <w:szCs w:val="20"/>
          <w:color w:val="auto"/>
        </w:rPr>
      </w:pPr>
    </w:p>
    <w:p>
      <w:pPr>
        <w:jc w:val="both"/>
        <w:ind w:left="140" w:right="220" w:firstLine="324"/>
        <w:spacing w:after="0" w:line="238" w:lineRule="auto"/>
        <w:rPr>
          <w:sz w:val="20"/>
          <w:szCs w:val="20"/>
          <w:color w:val="auto"/>
        </w:rPr>
      </w:pPr>
      <w:r>
        <w:rPr>
          <w:rFonts w:ascii="Arial" w:cs="Arial" w:eastAsia="Arial" w:hAnsi="Arial"/>
          <w:sz w:val="22"/>
          <w:szCs w:val="22"/>
          <w:b w:val="1"/>
          <w:bCs w:val="1"/>
          <w:color w:val="auto"/>
        </w:rPr>
        <w:t>This proxy will be voted as directed, but if no instructions are specified, this proxy will be voted for the election of the named nominees and for propositions 2, 3 and 4. If any other business is presented at the Annual Meeting as to which this proxy confers discretionary authority, this proxy will be voted by those named in this proxy as determined by a majority of the Board of Directors. At the present time, the Board of Directors knows of no other business to be presented at the Annual Meeting.</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136" w:lineRule="exact"/>
        <w:rPr>
          <w:sz w:val="20"/>
          <w:szCs w:val="20"/>
          <w:color w:val="auto"/>
        </w:rPr>
      </w:pPr>
    </w:p>
    <w:p>
      <w:pPr>
        <w:spacing w:after="0"/>
        <w:tabs>
          <w:tab w:leader="none" w:pos="10580" w:val="left"/>
        </w:tabs>
        <w:rPr>
          <w:sz w:val="20"/>
          <w:szCs w:val="20"/>
          <w:color w:val="auto"/>
        </w:rPr>
      </w:pPr>
      <w:r>
        <w:rPr>
          <w:rFonts w:ascii="Arial" w:cs="Arial" w:eastAsia="Arial" w:hAnsi="Arial"/>
          <w:sz w:val="22"/>
          <w:szCs w:val="22"/>
          <w:color w:val="auto"/>
        </w:rPr>
        <w:t>¢ 1.1</w:t>
      </w:r>
      <w:r>
        <w:rPr>
          <w:sz w:val="20"/>
          <w:szCs w:val="20"/>
          <w:color w:val="auto"/>
        </w:rPr>
        <w:tab/>
      </w:r>
      <w:r>
        <w:rPr>
          <w:rFonts w:ascii="Arial" w:cs="Arial" w:eastAsia="Arial" w:hAnsi="Arial"/>
          <w:sz w:val="22"/>
          <w:szCs w:val="22"/>
          <w:color w:val="auto"/>
        </w:rPr>
        <w:t>14475 ¢</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2."/>
      <w:numFmt w:val="decimal"/>
      <w:start w:val="1"/>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2019-12-09T03:12:01Z</dcterms:created>
  <dcterms:modified xsi:type="dcterms:W3CDTF">2019-12-09T03:12:01Z</dcterms:modified>
</cp:coreProperties>
</file>