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June 25, 2026</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2279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7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51435</wp:posOffset>
            </wp:positionV>
            <wp:extent cx="712279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795" cy="6350"/>
                    </a:xfrm>
                    <a:prstGeom prst="rect">
                      <a:avLst/>
                    </a:prstGeom>
                    <a:noFill/>
                  </pic:spPr>
                </pic:pic>
              </a:graphicData>
            </a:graphic>
          </wp:anchor>
        </w:drawing>
      </w:r>
    </w:p>
    <w:p>
      <w:pPr>
        <w:spacing w:after="0" w:line="360" w:lineRule="exact"/>
        <w:rPr>
          <w:sz w:val="24"/>
          <w:szCs w:val="24"/>
          <w:color w:val="auto"/>
        </w:rPr>
      </w:pPr>
    </w:p>
    <w:tbl>
      <w:tblPr>
        <w:tblLayout w:type="fixed"/>
        <w:tblInd w:w="2160" w:type="dxa"/>
        <w:tblCellMar>
          <w:top w:w="0" w:type="dxa"/>
          <w:left w:w="0" w:type="dxa"/>
          <w:bottom w:w="0" w:type="dxa"/>
          <w:right w:w="0" w:type="dxa"/>
        </w:tblCellMar>
      </w:tblPr>
      <w:tr>
        <w:trPr>
          <w:trHeight w:val="201"/>
        </w:trPr>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gridSpan w:val="3"/>
          </w:tcPr>
          <w:p>
            <w:pPr>
              <w:jc w:val="center"/>
              <w:ind w:right="1927"/>
              <w:spacing w:after="0"/>
              <w:rPr>
                <w:sz w:val="20"/>
                <w:szCs w:val="20"/>
                <w:color w:val="auto"/>
              </w:rPr>
            </w:pPr>
            <w:r>
              <w:rPr>
                <w:rFonts w:ascii="Times New Roman" w:cs="Times New Roman" w:eastAsia="Times New Roman" w:hAnsi="Times New Roman"/>
                <w:sz w:val="16"/>
                <w:szCs w:val="16"/>
                <w:b w:val="1"/>
                <w:bCs w:val="1"/>
                <w:color w:val="auto"/>
                <w:w w:val="98"/>
              </w:rPr>
              <w:t>UNITED STATES</w:t>
            </w:r>
          </w:p>
        </w:tc>
      </w:tr>
      <w:tr>
        <w:trPr>
          <w:trHeight w:val="185"/>
        </w:trPr>
        <w:tc>
          <w:tcPr>
            <w:tcW w:w="1600" w:type="dxa"/>
            <w:vAlign w:val="bottom"/>
          </w:tcPr>
          <w:p>
            <w:pPr>
              <w:spacing w:after="0"/>
              <w:rPr>
                <w:sz w:val="16"/>
                <w:szCs w:val="16"/>
                <w:color w:val="auto"/>
              </w:rPr>
            </w:pPr>
          </w:p>
        </w:tc>
        <w:tc>
          <w:tcPr>
            <w:tcW w:w="5180" w:type="dxa"/>
            <w:vAlign w:val="bottom"/>
            <w:gridSpan w:val="5"/>
          </w:tcPr>
          <w:p>
            <w:pPr>
              <w:jc w:val="center"/>
              <w:ind w:right="1347"/>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tc>
      </w:tr>
      <w:tr>
        <w:trPr>
          <w:trHeight w:val="193"/>
        </w:trPr>
        <w:tc>
          <w:tcPr>
            <w:tcW w:w="1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0" w:type="dxa"/>
            <w:vAlign w:val="bottom"/>
            <w:gridSpan w:val="3"/>
          </w:tcPr>
          <w:p>
            <w:pPr>
              <w:jc w:val="center"/>
              <w:ind w:right="1947"/>
              <w:spacing w:after="0"/>
              <w:rPr>
                <w:sz w:val="20"/>
                <w:szCs w:val="20"/>
                <w:color w:val="auto"/>
              </w:rPr>
            </w:pPr>
            <w:r>
              <w:rPr>
                <w:rFonts w:ascii="Times New Roman" w:cs="Times New Roman" w:eastAsia="Times New Roman" w:hAnsi="Times New Roman"/>
                <w:sz w:val="15"/>
                <w:szCs w:val="15"/>
                <w:b w:val="1"/>
                <w:bCs w:val="1"/>
                <w:color w:val="auto"/>
                <w:w w:val="97"/>
              </w:rPr>
              <w:t>Washington, D.C. 20549</w:t>
            </w:r>
          </w:p>
        </w:tc>
      </w:tr>
      <w:tr>
        <w:trPr>
          <w:trHeight w:val="96"/>
        </w:trPr>
        <w:tc>
          <w:tcPr>
            <w:tcW w:w="1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r>
      <w:tr>
        <w:trPr>
          <w:trHeight w:val="399"/>
        </w:trPr>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3"/>
          </w:tcPr>
          <w:p>
            <w:pPr>
              <w:jc w:val="center"/>
              <w:ind w:right="1947"/>
              <w:spacing w:after="0"/>
              <w:rPr>
                <w:sz w:val="20"/>
                <w:szCs w:val="20"/>
                <w:color w:val="auto"/>
              </w:rPr>
            </w:pPr>
            <w:r>
              <w:rPr>
                <w:rFonts w:ascii="Times New Roman" w:cs="Times New Roman" w:eastAsia="Times New Roman" w:hAnsi="Times New Roman"/>
                <w:sz w:val="16"/>
                <w:szCs w:val="16"/>
                <w:b w:val="1"/>
                <w:bCs w:val="1"/>
                <w:color w:val="auto"/>
              </w:rPr>
              <w:t>FORM S-3</w:t>
            </w:r>
          </w:p>
        </w:tc>
      </w:tr>
      <w:tr>
        <w:trPr>
          <w:trHeight w:val="179"/>
        </w:trPr>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0" w:type="dxa"/>
            <w:vAlign w:val="bottom"/>
            <w:gridSpan w:val="3"/>
          </w:tcPr>
          <w:p>
            <w:pPr>
              <w:jc w:val="center"/>
              <w:ind w:right="1927"/>
              <w:spacing w:after="0" w:line="178" w:lineRule="exact"/>
              <w:rPr>
                <w:sz w:val="20"/>
                <w:szCs w:val="20"/>
                <w:color w:val="auto"/>
              </w:rPr>
            </w:pPr>
            <w:r>
              <w:rPr>
                <w:rFonts w:ascii="Times New Roman" w:cs="Times New Roman" w:eastAsia="Times New Roman" w:hAnsi="Times New Roman"/>
                <w:sz w:val="16"/>
                <w:szCs w:val="16"/>
                <w:b w:val="1"/>
                <w:bCs w:val="1"/>
                <w:color w:val="auto"/>
                <w:w w:val="98"/>
              </w:rPr>
              <w:t>REGISTRATION STATEMENT</w:t>
            </w:r>
          </w:p>
        </w:tc>
      </w:tr>
      <w:tr>
        <w:trPr>
          <w:trHeight w:val="181"/>
        </w:trPr>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0" w:type="dxa"/>
            <w:vAlign w:val="bottom"/>
            <w:gridSpan w:val="3"/>
          </w:tcPr>
          <w:p>
            <w:pPr>
              <w:jc w:val="center"/>
              <w:ind w:right="1947"/>
              <w:spacing w:after="0" w:line="181" w:lineRule="exact"/>
              <w:rPr>
                <w:sz w:val="20"/>
                <w:szCs w:val="20"/>
                <w:color w:val="auto"/>
              </w:rPr>
            </w:pPr>
            <w:r>
              <w:rPr>
                <w:rFonts w:ascii="Times New Roman" w:cs="Times New Roman" w:eastAsia="Times New Roman" w:hAnsi="Times New Roman"/>
                <w:sz w:val="16"/>
                <w:szCs w:val="16"/>
                <w:b w:val="1"/>
                <w:bCs w:val="1"/>
                <w:i w:val="1"/>
                <w:iCs w:val="1"/>
                <w:color w:val="auto"/>
                <w:w w:val="99"/>
              </w:rPr>
              <w:t>UNDER</w:t>
            </w:r>
          </w:p>
        </w:tc>
      </w:tr>
      <w:tr>
        <w:trPr>
          <w:trHeight w:val="213"/>
        </w:trPr>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3"/>
          </w:tcPr>
          <w:p>
            <w:pPr>
              <w:jc w:val="center"/>
              <w:ind w:right="1927"/>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tc>
      </w:tr>
      <w:tr>
        <w:trPr>
          <w:trHeight w:val="92"/>
        </w:trPr>
        <w:tc>
          <w:tcPr>
            <w:tcW w:w="1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tcBorders>
              <w:bottom w:val="single" w:sz="8" w:color="auto"/>
            </w:tcBorders>
            <w:gridSpan w:val="2"/>
          </w:tcPr>
          <w:p>
            <w:pPr>
              <w:spacing w:after="0"/>
              <w:rPr>
                <w:sz w:val="8"/>
                <w:szCs w:val="8"/>
                <w:color w:val="auto"/>
              </w:rPr>
            </w:pPr>
          </w:p>
        </w:tc>
        <w:tc>
          <w:tcPr>
            <w:tcW w:w="2020" w:type="dxa"/>
            <w:vAlign w:val="bottom"/>
          </w:tcPr>
          <w:p>
            <w:pPr>
              <w:spacing w:after="0"/>
              <w:rPr>
                <w:sz w:val="8"/>
                <w:szCs w:val="8"/>
                <w:color w:val="auto"/>
              </w:rPr>
            </w:pPr>
          </w:p>
        </w:tc>
      </w:tr>
      <w:tr>
        <w:trPr>
          <w:trHeight w:val="459"/>
        </w:trPr>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3"/>
          </w:tcPr>
          <w:p>
            <w:pPr>
              <w:jc w:val="center"/>
              <w:ind w:right="1927"/>
              <w:spacing w:after="0"/>
              <w:rPr>
                <w:sz w:val="20"/>
                <w:szCs w:val="20"/>
                <w:color w:val="auto"/>
              </w:rPr>
            </w:pPr>
            <w:r>
              <w:rPr>
                <w:rFonts w:ascii="Times New Roman" w:cs="Times New Roman" w:eastAsia="Times New Roman" w:hAnsi="Times New Roman"/>
                <w:sz w:val="21"/>
                <w:szCs w:val="21"/>
                <w:b w:val="1"/>
                <w:bCs w:val="1"/>
                <w:color w:val="auto"/>
              </w:rPr>
              <w:t>NEWTEKONE, INC.</w:t>
            </w:r>
          </w:p>
        </w:tc>
      </w:tr>
      <w:tr>
        <w:trPr>
          <w:trHeight w:val="159"/>
        </w:trPr>
        <w:tc>
          <w:tcPr>
            <w:tcW w:w="1600" w:type="dxa"/>
            <w:vAlign w:val="bottom"/>
          </w:tcPr>
          <w:p>
            <w:pPr>
              <w:spacing w:after="0"/>
              <w:rPr>
                <w:sz w:val="13"/>
                <w:szCs w:val="13"/>
                <w:color w:val="auto"/>
              </w:rPr>
            </w:pPr>
          </w:p>
        </w:tc>
        <w:tc>
          <w:tcPr>
            <w:tcW w:w="5180" w:type="dxa"/>
            <w:vAlign w:val="bottom"/>
            <w:gridSpan w:val="5"/>
          </w:tcPr>
          <w:p>
            <w:pPr>
              <w:jc w:val="center"/>
              <w:ind w:right="136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r>
      <w:tr>
        <w:trPr>
          <w:trHeight w:val="94"/>
        </w:trPr>
        <w:tc>
          <w:tcPr>
            <w:tcW w:w="160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2580" w:type="dxa"/>
            <w:vAlign w:val="bottom"/>
            <w:tcBorders>
              <w:bottom w:val="single" w:sz="8" w:color="auto"/>
            </w:tcBorders>
            <w:gridSpan w:val="2"/>
          </w:tcPr>
          <w:p>
            <w:pPr>
              <w:spacing w:after="0"/>
              <w:rPr>
                <w:sz w:val="8"/>
                <w:szCs w:val="8"/>
                <w:color w:val="auto"/>
              </w:rPr>
            </w:pPr>
          </w:p>
        </w:tc>
        <w:tc>
          <w:tcPr>
            <w:tcW w:w="2020" w:type="dxa"/>
            <w:vAlign w:val="bottom"/>
          </w:tcPr>
          <w:p>
            <w:pPr>
              <w:spacing w:after="0"/>
              <w:rPr>
                <w:sz w:val="8"/>
                <w:szCs w:val="8"/>
                <w:color w:val="auto"/>
              </w:rPr>
            </w:pPr>
          </w:p>
        </w:tc>
      </w:tr>
      <w:tr>
        <w:trPr>
          <w:trHeight w:val="393"/>
        </w:trPr>
        <w:tc>
          <w:tcPr>
            <w:tcW w:w="1600" w:type="dxa"/>
            <w:vAlign w:val="bottom"/>
          </w:tcPr>
          <w:p>
            <w:pPr>
              <w:jc w:val="center"/>
              <w:ind w:right="107"/>
              <w:spacing w:after="0"/>
              <w:rPr>
                <w:sz w:val="20"/>
                <w:szCs w:val="20"/>
                <w:color w:val="auto"/>
              </w:rPr>
            </w:pPr>
            <w:r>
              <w:rPr>
                <w:rFonts w:ascii="Times New Roman" w:cs="Times New Roman" w:eastAsia="Times New Roman" w:hAnsi="Times New Roman"/>
                <w:sz w:val="11"/>
                <w:szCs w:val="11"/>
                <w:b w:val="1"/>
                <w:bCs w:val="1"/>
                <w:color w:val="auto"/>
                <w:w w:val="93"/>
              </w:rPr>
              <w:t>Maryland</w:t>
            </w:r>
          </w:p>
        </w:tc>
        <w:tc>
          <w:tcPr>
            <w:tcW w:w="5180" w:type="dxa"/>
            <w:vAlign w:val="bottom"/>
            <w:gridSpan w:val="5"/>
          </w:tcPr>
          <w:p>
            <w:pPr>
              <w:jc w:val="center"/>
              <w:ind w:left="4040"/>
              <w:spacing w:after="0"/>
              <w:rPr>
                <w:sz w:val="20"/>
                <w:szCs w:val="20"/>
                <w:color w:val="auto"/>
              </w:rPr>
            </w:pPr>
            <w:r>
              <w:rPr>
                <w:rFonts w:ascii="Times New Roman" w:cs="Times New Roman" w:eastAsia="Times New Roman" w:hAnsi="Times New Roman"/>
                <w:sz w:val="11"/>
                <w:szCs w:val="11"/>
                <w:b w:val="1"/>
                <w:bCs w:val="1"/>
                <w:color w:val="auto"/>
                <w:w w:val="97"/>
              </w:rPr>
              <w:t>46-3755188</w:t>
            </w:r>
          </w:p>
        </w:tc>
      </w:tr>
      <w:tr>
        <w:trPr>
          <w:trHeight w:val="120"/>
        </w:trPr>
        <w:tc>
          <w:tcPr>
            <w:tcW w:w="1600" w:type="dxa"/>
            <w:vAlign w:val="bottom"/>
          </w:tcPr>
          <w:p>
            <w:pPr>
              <w:jc w:val="center"/>
              <w:ind w:right="107"/>
              <w:spacing w:after="0" w:line="120"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tcPr>
          <w:p>
            <w:pPr>
              <w:jc w:val="center"/>
              <w:ind w:left="887"/>
              <w:spacing w:after="0" w:line="120" w:lineRule="exact"/>
              <w:rPr>
                <w:sz w:val="20"/>
                <w:szCs w:val="20"/>
                <w:color w:val="auto"/>
              </w:rPr>
            </w:pPr>
            <w:r>
              <w:rPr>
                <w:rFonts w:ascii="Times New Roman" w:cs="Times New Roman" w:eastAsia="Times New Roman" w:hAnsi="Times New Roman"/>
                <w:sz w:val="11"/>
                <w:szCs w:val="11"/>
                <w:b w:val="1"/>
                <w:bCs w:val="1"/>
                <w:color w:val="auto"/>
                <w:w w:val="95"/>
              </w:rPr>
              <w:t>(I.R.S. Employer</w:t>
            </w:r>
          </w:p>
        </w:tc>
      </w:tr>
      <w:tr>
        <w:trPr>
          <w:trHeight w:val="141"/>
        </w:trPr>
        <w:tc>
          <w:tcPr>
            <w:tcW w:w="1600" w:type="dxa"/>
            <w:vAlign w:val="bottom"/>
          </w:tcPr>
          <w:p>
            <w:pPr>
              <w:jc w:val="center"/>
              <w:ind w:right="107"/>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tcPr>
          <w:p>
            <w:pPr>
              <w:jc w:val="center"/>
              <w:ind w:left="907"/>
              <w:spacing w:after="0"/>
              <w:rPr>
                <w:sz w:val="20"/>
                <w:szCs w:val="20"/>
                <w:color w:val="auto"/>
              </w:rPr>
            </w:pPr>
            <w:r>
              <w:rPr>
                <w:rFonts w:ascii="Times New Roman" w:cs="Times New Roman" w:eastAsia="Times New Roman" w:hAnsi="Times New Roman"/>
                <w:sz w:val="11"/>
                <w:szCs w:val="11"/>
                <w:b w:val="1"/>
                <w:bCs w:val="1"/>
                <w:color w:val="auto"/>
                <w:w w:val="97"/>
              </w:rPr>
              <w:t>Identification Number)</w:t>
            </w:r>
          </w:p>
        </w:tc>
      </w:tr>
      <w:tr>
        <w:trPr>
          <w:trHeight w:val="370"/>
        </w:trPr>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3"/>
          </w:tcPr>
          <w:p>
            <w:pPr>
              <w:jc w:val="center"/>
              <w:ind w:right="1947"/>
              <w:spacing w:after="0"/>
              <w:rPr>
                <w:sz w:val="20"/>
                <w:szCs w:val="20"/>
                <w:color w:val="auto"/>
              </w:rPr>
            </w:pPr>
            <w:r>
              <w:rPr>
                <w:rFonts w:ascii="Times New Roman" w:cs="Times New Roman" w:eastAsia="Times New Roman" w:hAnsi="Times New Roman"/>
                <w:sz w:val="11"/>
                <w:szCs w:val="11"/>
                <w:b w:val="1"/>
                <w:bCs w:val="1"/>
                <w:color w:val="auto"/>
                <w:w w:val="97"/>
              </w:rPr>
              <w:t>4800 T Rex Avenue, Suite 120</w:t>
            </w:r>
          </w:p>
        </w:tc>
      </w:tr>
      <w:tr>
        <w:trPr>
          <w:trHeight w:val="120"/>
        </w:trPr>
        <w:tc>
          <w:tcPr>
            <w:tcW w:w="1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0" w:type="dxa"/>
            <w:vAlign w:val="bottom"/>
            <w:gridSpan w:val="3"/>
          </w:tcPr>
          <w:p>
            <w:pPr>
              <w:jc w:val="center"/>
              <w:ind w:right="1927"/>
              <w:spacing w:after="0" w:line="121" w:lineRule="exact"/>
              <w:rPr>
                <w:sz w:val="20"/>
                <w:szCs w:val="20"/>
                <w:color w:val="auto"/>
              </w:rPr>
            </w:pPr>
            <w:r>
              <w:rPr>
                <w:rFonts w:ascii="Times New Roman" w:cs="Times New Roman" w:eastAsia="Times New Roman" w:hAnsi="Times New Roman"/>
                <w:sz w:val="11"/>
                <w:szCs w:val="11"/>
                <w:b w:val="1"/>
                <w:bCs w:val="1"/>
                <w:color w:val="auto"/>
                <w:w w:val="97"/>
              </w:rPr>
              <w:t>Boca Raton, Florida 33431</w:t>
            </w:r>
          </w:p>
        </w:tc>
      </w:tr>
      <w:tr>
        <w:trPr>
          <w:trHeight w:val="130"/>
        </w:trPr>
        <w:tc>
          <w:tcPr>
            <w:tcW w:w="1600" w:type="dxa"/>
            <w:vAlign w:val="bottom"/>
          </w:tcPr>
          <w:p>
            <w:pPr>
              <w:spacing w:after="0"/>
              <w:rPr>
                <w:sz w:val="11"/>
                <w:szCs w:val="11"/>
                <w:color w:val="auto"/>
              </w:rPr>
            </w:pPr>
          </w:p>
        </w:tc>
        <w:tc>
          <w:tcPr>
            <w:tcW w:w="3140" w:type="dxa"/>
            <w:vAlign w:val="bottom"/>
            <w:gridSpan w:val="3"/>
          </w:tcPr>
          <w:p>
            <w:pPr>
              <w:jc w:val="center"/>
              <w:ind w:left="580"/>
              <w:spacing w:after="0"/>
              <w:rPr>
                <w:sz w:val="20"/>
                <w:szCs w:val="20"/>
                <w:color w:val="auto"/>
              </w:rPr>
            </w:pPr>
            <w:r>
              <w:rPr>
                <w:rFonts w:ascii="Times New Roman" w:cs="Times New Roman" w:eastAsia="Times New Roman" w:hAnsi="Times New Roman"/>
                <w:sz w:val="11"/>
                <w:szCs w:val="11"/>
                <w:b w:val="1"/>
                <w:bCs w:val="1"/>
                <w:color w:val="auto"/>
                <w:w w:val="95"/>
              </w:rPr>
              <w:t>(212) 356-9500</w:t>
            </w:r>
          </w:p>
        </w:tc>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141"/>
        </w:trPr>
        <w:tc>
          <w:tcPr>
            <w:tcW w:w="1600" w:type="dxa"/>
            <w:vAlign w:val="bottom"/>
          </w:tcPr>
          <w:p>
            <w:pPr>
              <w:spacing w:after="0"/>
              <w:rPr>
                <w:sz w:val="12"/>
                <w:szCs w:val="12"/>
                <w:color w:val="auto"/>
              </w:rPr>
            </w:pPr>
          </w:p>
        </w:tc>
        <w:tc>
          <w:tcPr>
            <w:tcW w:w="5180" w:type="dxa"/>
            <w:vAlign w:val="bottom"/>
            <w:gridSpan w:val="5"/>
          </w:tcPr>
          <w:p>
            <w:pPr>
              <w:jc w:val="center"/>
              <w:ind w:right="1367"/>
              <w:spacing w:after="0"/>
              <w:rPr>
                <w:sz w:val="20"/>
                <w:szCs w:val="20"/>
                <w:color w:val="auto"/>
              </w:rPr>
            </w:pPr>
            <w:r>
              <w:rPr>
                <w:rFonts w:ascii="Times New Roman" w:cs="Times New Roman" w:eastAsia="Times New Roman" w:hAnsi="Times New Roman"/>
                <w:sz w:val="11"/>
                <w:szCs w:val="11"/>
                <w:b w:val="1"/>
                <w:bCs w:val="1"/>
                <w:color w:val="auto"/>
                <w:w w:val="96"/>
              </w:rPr>
              <w:t>(Address and telephone number of registrant’s principal executive offices)</w:t>
            </w:r>
          </w:p>
        </w:tc>
      </w:tr>
      <w:tr>
        <w:trPr>
          <w:trHeight w:val="108"/>
        </w:trPr>
        <w:tc>
          <w:tcPr>
            <w:tcW w:w="1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20" w:type="dxa"/>
            <w:vAlign w:val="bottom"/>
          </w:tcPr>
          <w:p>
            <w:pPr>
              <w:spacing w:after="0"/>
              <w:rPr>
                <w:sz w:val="9"/>
                <w:szCs w:val="9"/>
                <w:color w:val="auto"/>
              </w:rPr>
            </w:pPr>
          </w:p>
        </w:tc>
      </w:tr>
    </w:tbl>
    <w:p>
      <w:pPr>
        <w:spacing w:after="0" w:line="232"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1"/>
          <w:szCs w:val="11"/>
          <w:b w:val="1"/>
          <w:bCs w:val="1"/>
          <w:color w:val="auto"/>
        </w:rPr>
        <w:t>Barry Sloane</w:t>
      </w:r>
    </w:p>
    <w:p>
      <w:pPr>
        <w:spacing w:after="0" w:line="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1"/>
          <w:szCs w:val="11"/>
          <w:b w:val="1"/>
          <w:bCs w:val="1"/>
          <w:color w:val="auto"/>
        </w:rPr>
        <w:t>Chief Executive Officer and President</w:t>
      </w:r>
    </w:p>
    <w:p>
      <w:pPr>
        <w:ind w:left="5260"/>
        <w:spacing w:after="0" w:line="209" w:lineRule="auto"/>
        <w:rPr>
          <w:sz w:val="20"/>
          <w:szCs w:val="20"/>
          <w:color w:val="auto"/>
        </w:rPr>
      </w:pPr>
      <w:r>
        <w:rPr>
          <w:rFonts w:ascii="Times New Roman" w:cs="Times New Roman" w:eastAsia="Times New Roman" w:hAnsi="Times New Roman"/>
          <w:sz w:val="11"/>
          <w:szCs w:val="11"/>
          <w:b w:val="1"/>
          <w:bCs w:val="1"/>
          <w:color w:val="auto"/>
        </w:rPr>
        <w:t>NewtekOne, Inc.</w:t>
      </w:r>
    </w:p>
    <w:p>
      <w:pPr>
        <w:jc w:val="center"/>
        <w:spacing w:after="0" w:line="228" w:lineRule="auto"/>
        <w:rPr>
          <w:sz w:val="20"/>
          <w:szCs w:val="20"/>
          <w:color w:val="auto"/>
        </w:rPr>
      </w:pPr>
      <w:r>
        <w:rPr>
          <w:rFonts w:ascii="Times New Roman" w:cs="Times New Roman" w:eastAsia="Times New Roman" w:hAnsi="Times New Roman"/>
          <w:sz w:val="11"/>
          <w:szCs w:val="11"/>
          <w:b w:val="1"/>
          <w:bCs w:val="1"/>
          <w:color w:val="auto"/>
        </w:rPr>
        <w:t>4800 T Rex Avenue, Suite 120</w:t>
      </w:r>
    </w:p>
    <w:p>
      <w:pPr>
        <w:jc w:val="center"/>
        <w:spacing w:after="0" w:line="229" w:lineRule="auto"/>
        <w:rPr>
          <w:sz w:val="20"/>
          <w:szCs w:val="20"/>
          <w:color w:val="auto"/>
        </w:rPr>
      </w:pPr>
      <w:r>
        <w:rPr>
          <w:rFonts w:ascii="Times New Roman" w:cs="Times New Roman" w:eastAsia="Times New Roman" w:hAnsi="Times New Roman"/>
          <w:sz w:val="11"/>
          <w:szCs w:val="11"/>
          <w:b w:val="1"/>
          <w:bCs w:val="1"/>
          <w:color w:val="auto"/>
        </w:rPr>
        <w:t>Boca Raton, FL 33431</w:t>
      </w:r>
    </w:p>
    <w:p>
      <w:pPr>
        <w:jc w:val="center"/>
        <w:spacing w:after="0"/>
        <w:rPr>
          <w:sz w:val="20"/>
          <w:szCs w:val="20"/>
          <w:color w:val="auto"/>
        </w:rPr>
      </w:pPr>
      <w:r>
        <w:rPr>
          <w:rFonts w:ascii="Times New Roman" w:cs="Times New Roman" w:eastAsia="Times New Roman" w:hAnsi="Times New Roman"/>
          <w:sz w:val="11"/>
          <w:szCs w:val="11"/>
          <w:b w:val="1"/>
          <w:bCs w:val="1"/>
          <w:color w:val="auto"/>
        </w:rPr>
        <w:t>(212) 356-9500</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2752725</wp:posOffset>
            </wp:positionH>
            <wp:positionV relativeFrom="paragraph">
              <wp:posOffset>134620</wp:posOffset>
            </wp:positionV>
            <wp:extent cx="164401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4015" cy="635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p>
      <w:pPr>
        <w:jc w:val="center"/>
        <w:spacing w:after="0" w:line="228" w:lineRule="auto"/>
        <w:rPr>
          <w:sz w:val="20"/>
          <w:szCs w:val="20"/>
          <w:color w:val="auto"/>
        </w:rPr>
      </w:pPr>
      <w:r>
        <w:rPr>
          <w:rFonts w:ascii="Times New Roman" w:cs="Times New Roman" w:eastAsia="Times New Roman" w:hAnsi="Times New Roman"/>
          <w:sz w:val="11"/>
          <w:szCs w:val="11"/>
          <w:b w:val="1"/>
          <w:bCs w:val="1"/>
          <w:color w:val="auto"/>
        </w:rPr>
        <w:t>Jared M. Fishman</w:t>
      </w:r>
    </w:p>
    <w:p>
      <w:pPr>
        <w:jc w:val="center"/>
        <w:spacing w:after="0" w:line="228" w:lineRule="auto"/>
        <w:rPr>
          <w:sz w:val="20"/>
          <w:szCs w:val="20"/>
          <w:color w:val="auto"/>
        </w:rPr>
      </w:pPr>
      <w:r>
        <w:rPr>
          <w:rFonts w:ascii="Times New Roman" w:cs="Times New Roman" w:eastAsia="Times New Roman" w:hAnsi="Times New Roman"/>
          <w:sz w:val="11"/>
          <w:szCs w:val="11"/>
          <w:b w:val="1"/>
          <w:bCs w:val="1"/>
          <w:color w:val="auto"/>
        </w:rPr>
        <w:t>Sullivan &amp; Cromwell LLP</w:t>
      </w:r>
    </w:p>
    <w:p>
      <w:pPr>
        <w:jc w:val="center"/>
        <w:spacing w:after="0" w:line="229" w:lineRule="auto"/>
        <w:rPr>
          <w:sz w:val="20"/>
          <w:szCs w:val="20"/>
          <w:color w:val="auto"/>
        </w:rPr>
      </w:pPr>
      <w:r>
        <w:rPr>
          <w:rFonts w:ascii="Times New Roman" w:cs="Times New Roman" w:eastAsia="Times New Roman" w:hAnsi="Times New Roman"/>
          <w:sz w:val="11"/>
          <w:szCs w:val="11"/>
          <w:b w:val="1"/>
          <w:bCs w:val="1"/>
          <w:color w:val="auto"/>
        </w:rPr>
        <w:t>125 Broad Street</w:t>
      </w:r>
    </w:p>
    <w:p>
      <w:pPr>
        <w:jc w:val="center"/>
        <w:spacing w:after="0" w:line="228" w:lineRule="auto"/>
        <w:rPr>
          <w:sz w:val="20"/>
          <w:szCs w:val="20"/>
          <w:color w:val="auto"/>
        </w:rPr>
      </w:pPr>
      <w:r>
        <w:rPr>
          <w:rFonts w:ascii="Times New Roman" w:cs="Times New Roman" w:eastAsia="Times New Roman" w:hAnsi="Times New Roman"/>
          <w:sz w:val="11"/>
          <w:szCs w:val="11"/>
          <w:b w:val="1"/>
          <w:bCs w:val="1"/>
          <w:color w:val="auto"/>
        </w:rPr>
        <w:t>New York, New York 10004-2497</w:t>
      </w:r>
    </w:p>
    <w:p>
      <w:pPr>
        <w:jc w:val="center"/>
        <w:spacing w:after="0"/>
        <w:rPr>
          <w:sz w:val="20"/>
          <w:szCs w:val="20"/>
          <w:color w:val="auto"/>
        </w:rPr>
      </w:pPr>
      <w:r>
        <w:rPr>
          <w:rFonts w:ascii="Times New Roman" w:cs="Times New Roman" w:eastAsia="Times New Roman" w:hAnsi="Times New Roman"/>
          <w:sz w:val="11"/>
          <w:szCs w:val="11"/>
          <w:b w:val="1"/>
          <w:bCs w:val="1"/>
          <w:color w:val="auto"/>
        </w:rPr>
        <w:t>(212) 558-4000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2752725</wp:posOffset>
            </wp:positionH>
            <wp:positionV relativeFrom="paragraph">
              <wp:posOffset>177800</wp:posOffset>
            </wp:positionV>
            <wp:extent cx="164401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4015" cy="635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proposed sale to the public: </w:t>
      </w:r>
      <w:r>
        <w:rPr>
          <w:rFonts w:ascii="Times New Roman" w:cs="Times New Roman" w:eastAsia="Times New Roman" w:hAnsi="Times New Roman"/>
          <w:sz w:val="12"/>
          <w:szCs w:val="12"/>
          <w:color w:val="auto"/>
        </w:rPr>
        <w:t>From time to time after the effective date of this Registration Statement, as determined by the registrant.</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Wingdings" w:cs="Wingdings" w:eastAsia="Wingdings" w:hAnsi="Wingdings"/>
          <w:sz w:val="13"/>
          <w:szCs w:val="13"/>
          <w:b w:val="1"/>
          <w:bCs w:val="1"/>
          <w:color w:val="auto"/>
        </w:rPr>
        <w:t>o</w:t>
      </w:r>
    </w:p>
    <w:p>
      <w:pPr>
        <w:spacing w:after="0" w:line="173" w:lineRule="exact"/>
        <w:rPr>
          <w:sz w:val="24"/>
          <w:szCs w:val="24"/>
          <w:color w:val="auto"/>
        </w:rPr>
      </w:pPr>
    </w:p>
    <w:p>
      <w:pPr>
        <w:ind w:right="160"/>
        <w:spacing w:after="0" w:line="252" w:lineRule="auto"/>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Wingdings" w:cs="Wingdings" w:eastAsia="Wingdings" w:hAnsi="Wingdings"/>
          <w:sz w:val="13"/>
          <w:szCs w:val="13"/>
          <w:b w:val="1"/>
          <w:bCs w:val="1"/>
          <w:color w:val="auto"/>
        </w:rPr>
        <w:t>x</w:t>
      </w:r>
    </w:p>
    <w:p>
      <w:pPr>
        <w:spacing w:after="0" w:line="1" w:lineRule="exact"/>
        <w:rPr>
          <w:sz w:val="24"/>
          <w:szCs w:val="24"/>
          <w:color w:val="auto"/>
        </w:rPr>
      </w:pPr>
    </w:p>
    <w:p>
      <w:pPr>
        <w:ind w:right="340"/>
        <w:spacing w:after="0" w:line="236" w:lineRule="auto"/>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404495</wp:posOffset>
            </wp:positionV>
            <wp:extent cx="719264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006" w:right="319" w:bottom="1440" w:gutter="0" w:footer="0" w:header="0"/>
        </w:sectPr>
      </w:pPr>
    </w:p>
    <w:bookmarkStart w:id="1" w:name="page2"/>
    <w:bookmarkEnd w:id="1"/>
    <w:p>
      <w:pPr>
        <w:ind w:right="140"/>
        <w:spacing w:after="0" w:line="253" w:lineRule="auto"/>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 w:cs="Wingdings" w:eastAsia="Wingdings" w:hAnsi="Wingdings"/>
          <w:sz w:val="13"/>
          <w:szCs w:val="13"/>
          <w:b w:val="1"/>
          <w:bCs w:val="1"/>
          <w:color w:val="auto"/>
        </w:rPr>
        <w:t>o</w:t>
      </w:r>
    </w:p>
    <w:p>
      <w:pPr>
        <w:spacing w:after="0" w:line="15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Wingdings" w:cs="Wingdings" w:eastAsia="Wingdings" w:hAnsi="Wingdings"/>
          <w:sz w:val="13"/>
          <w:szCs w:val="13"/>
          <w:b w:val="1"/>
          <w:bCs w:val="1"/>
          <w:color w:val="auto"/>
        </w:rPr>
        <w:t>o</w:t>
      </w:r>
    </w:p>
    <w:p>
      <w:pPr>
        <w:spacing w:after="0" w:line="14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Wingdings" w:cs="Wingdings" w:eastAsia="Wingdings" w:hAnsi="Wingdings"/>
          <w:sz w:val="13"/>
          <w:szCs w:val="13"/>
          <w:b w:val="1"/>
          <w:bCs w:val="1"/>
          <w:color w:val="auto"/>
        </w:rPr>
        <w:t>o</w:t>
      </w:r>
    </w:p>
    <w:p>
      <w:pPr>
        <w:spacing w:after="0" w:line="158"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7" w:lineRule="exact"/>
        <w:rPr>
          <w:sz w:val="20"/>
          <w:szCs w:val="20"/>
          <w:color w:val="auto"/>
        </w:rPr>
      </w:pPr>
    </w:p>
    <w:tbl>
      <w:tblPr>
        <w:tblLayout w:type="fixed"/>
        <w:tblInd w:w="800" w:type="dxa"/>
        <w:tblCellMar>
          <w:top w:w="0" w:type="dxa"/>
          <w:left w:w="0" w:type="dxa"/>
          <w:bottom w:w="0" w:type="dxa"/>
          <w:right w:w="0" w:type="dxa"/>
        </w:tblCellMar>
      </w:tblPr>
      <w:tr>
        <w:trPr>
          <w:trHeight w:val="155"/>
        </w:trPr>
        <w:tc>
          <w:tcPr>
            <w:tcW w:w="1580" w:type="dxa"/>
            <w:vAlign w:val="bottom"/>
          </w:tcPr>
          <w:p>
            <w:pPr>
              <w:jc w:val="center"/>
              <w:ind w:right="440"/>
              <w:spacing w:after="0"/>
              <w:rPr>
                <w:sz w:val="20"/>
                <w:szCs w:val="20"/>
                <w:color w:val="auto"/>
              </w:rPr>
            </w:pPr>
            <w:r>
              <w:rPr>
                <w:rFonts w:ascii="Times New Roman" w:cs="Times New Roman" w:eastAsia="Times New Roman" w:hAnsi="Times New Roman"/>
                <w:sz w:val="12"/>
                <w:szCs w:val="12"/>
                <w:color w:val="auto"/>
              </w:rPr>
              <w:t>Large accelerated filer</w:t>
            </w:r>
          </w:p>
        </w:tc>
        <w:tc>
          <w:tcPr>
            <w:tcW w:w="2960" w:type="dxa"/>
            <w:vAlign w:val="bottom"/>
          </w:tcPr>
          <w:p>
            <w:pPr>
              <w:ind w:left="500"/>
              <w:spacing w:after="0"/>
              <w:rPr>
                <w:sz w:val="20"/>
                <w:szCs w:val="20"/>
                <w:color w:val="auto"/>
              </w:rPr>
            </w:pPr>
            <w:r>
              <w:rPr>
                <w:rFonts w:ascii="Wingdings" w:cs="Wingdings" w:eastAsia="Wingdings" w:hAnsi="Wingdings"/>
                <w:sz w:val="12"/>
                <w:szCs w:val="12"/>
                <w:b w:val="1"/>
                <w:bCs w:val="1"/>
                <w:color w:val="auto"/>
              </w:rPr>
              <w:t>o</w:t>
            </w:r>
          </w:p>
        </w:tc>
        <w:tc>
          <w:tcPr>
            <w:tcW w:w="4620" w:type="dxa"/>
            <w:vAlign w:val="bottom"/>
          </w:tcPr>
          <w:p>
            <w:pPr>
              <w:ind w:left="2340"/>
              <w:spacing w:after="0"/>
              <w:rPr>
                <w:sz w:val="20"/>
                <w:szCs w:val="20"/>
                <w:color w:val="auto"/>
              </w:rPr>
            </w:pPr>
            <w:r>
              <w:rPr>
                <w:rFonts w:ascii="Times New Roman" w:cs="Times New Roman" w:eastAsia="Times New Roman" w:hAnsi="Times New Roman"/>
                <w:sz w:val="12"/>
                <w:szCs w:val="12"/>
                <w:color w:val="auto"/>
              </w:rPr>
              <w:t>Accelerated filer</w:t>
            </w:r>
          </w:p>
        </w:tc>
        <w:tc>
          <w:tcPr>
            <w:tcW w:w="1040" w:type="dxa"/>
            <w:vAlign w:val="bottom"/>
          </w:tcPr>
          <w:p>
            <w:pPr>
              <w:jc w:val="right"/>
              <w:spacing w:after="0"/>
              <w:rPr>
                <w:sz w:val="20"/>
                <w:szCs w:val="20"/>
                <w:color w:val="auto"/>
              </w:rPr>
            </w:pPr>
            <w:r>
              <w:rPr>
                <w:rFonts w:ascii="Wingdings" w:cs="Wingdings" w:eastAsia="Wingdings" w:hAnsi="Wingdings"/>
                <w:sz w:val="12"/>
                <w:szCs w:val="12"/>
                <w:b w:val="1"/>
                <w:bCs w:val="1"/>
                <w:color w:val="auto"/>
              </w:rPr>
              <w:t>x</w:t>
            </w:r>
          </w:p>
        </w:tc>
      </w:tr>
      <w:tr>
        <w:trPr>
          <w:trHeight w:val="171"/>
        </w:trPr>
        <w:tc>
          <w:tcPr>
            <w:tcW w:w="1580" w:type="dxa"/>
            <w:vAlign w:val="bottom"/>
          </w:tcPr>
          <w:p>
            <w:pPr>
              <w:jc w:val="center"/>
              <w:ind w:right="440"/>
              <w:spacing w:after="0"/>
              <w:rPr>
                <w:sz w:val="20"/>
                <w:szCs w:val="20"/>
                <w:color w:val="auto"/>
              </w:rPr>
            </w:pPr>
            <w:r>
              <w:rPr>
                <w:rFonts w:ascii="Times New Roman" w:cs="Times New Roman" w:eastAsia="Times New Roman" w:hAnsi="Times New Roman"/>
                <w:sz w:val="12"/>
                <w:szCs w:val="12"/>
                <w:color w:val="auto"/>
                <w:w w:val="98"/>
              </w:rPr>
              <w:t>Non-accelerated filer</w:t>
            </w:r>
          </w:p>
        </w:tc>
        <w:tc>
          <w:tcPr>
            <w:tcW w:w="2960" w:type="dxa"/>
            <w:vAlign w:val="bottom"/>
          </w:tcPr>
          <w:p>
            <w:pPr>
              <w:ind w:left="500"/>
              <w:spacing w:after="0"/>
              <w:rPr>
                <w:sz w:val="20"/>
                <w:szCs w:val="20"/>
                <w:color w:val="auto"/>
              </w:rPr>
            </w:pPr>
            <w:r>
              <w:rPr>
                <w:rFonts w:ascii="Wingdings" w:cs="Wingdings" w:eastAsia="Wingdings" w:hAnsi="Wingdings"/>
                <w:sz w:val="12"/>
                <w:szCs w:val="12"/>
                <w:b w:val="1"/>
                <w:bCs w:val="1"/>
                <w:color w:val="auto"/>
              </w:rPr>
              <w:t>o</w:t>
            </w:r>
          </w:p>
        </w:tc>
        <w:tc>
          <w:tcPr>
            <w:tcW w:w="4620" w:type="dxa"/>
            <w:vAlign w:val="bottom"/>
          </w:tcPr>
          <w:p>
            <w:pPr>
              <w:ind w:left="234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1040" w:type="dxa"/>
            <w:vAlign w:val="bottom"/>
          </w:tcPr>
          <w:p>
            <w:pPr>
              <w:jc w:val="right"/>
              <w:spacing w:after="0"/>
              <w:rPr>
                <w:sz w:val="20"/>
                <w:szCs w:val="20"/>
                <w:color w:val="auto"/>
              </w:rPr>
            </w:pPr>
            <w:r>
              <w:rPr>
                <w:rFonts w:ascii="Wingdings" w:cs="Wingdings" w:eastAsia="Wingdings" w:hAnsi="Wingdings"/>
                <w:sz w:val="12"/>
                <w:szCs w:val="12"/>
                <w:b w:val="1"/>
                <w:bCs w:val="1"/>
                <w:color w:val="auto"/>
              </w:rPr>
              <w:t>o</w:t>
            </w:r>
          </w:p>
        </w:tc>
      </w:tr>
      <w:tr>
        <w:trPr>
          <w:trHeight w:val="171"/>
        </w:trPr>
        <w:tc>
          <w:tcPr>
            <w:tcW w:w="1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620" w:type="dxa"/>
            <w:vAlign w:val="bottom"/>
          </w:tcPr>
          <w:p>
            <w:pPr>
              <w:ind w:left="2340"/>
              <w:spacing w:after="0"/>
              <w:rPr>
                <w:sz w:val="20"/>
                <w:szCs w:val="20"/>
                <w:color w:val="auto"/>
              </w:rPr>
            </w:pPr>
            <w:r>
              <w:rPr>
                <w:rFonts w:ascii="Times New Roman" w:cs="Times New Roman" w:eastAsia="Times New Roman" w:hAnsi="Times New Roman"/>
                <w:sz w:val="12"/>
                <w:szCs w:val="12"/>
                <w:color w:val="auto"/>
              </w:rPr>
              <w:t>Emerging Growth Company</w:t>
            </w:r>
          </w:p>
        </w:tc>
        <w:tc>
          <w:tcPr>
            <w:tcW w:w="1040" w:type="dxa"/>
            <w:vAlign w:val="bottom"/>
          </w:tcPr>
          <w:p>
            <w:pPr>
              <w:jc w:val="right"/>
              <w:spacing w:after="0"/>
              <w:rPr>
                <w:sz w:val="20"/>
                <w:szCs w:val="20"/>
                <w:color w:val="auto"/>
              </w:rPr>
            </w:pPr>
            <w:r>
              <w:rPr>
                <w:rFonts w:ascii="Wingdings" w:cs="Wingdings" w:eastAsia="Wingdings" w:hAnsi="Wingdings"/>
                <w:sz w:val="12"/>
                <w:szCs w:val="12"/>
                <w:b w:val="1"/>
                <w:bCs w:val="1"/>
                <w:color w:val="auto"/>
              </w:rPr>
              <w:t>o</w:t>
            </w: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an emerging growth company, indicate by checkmark if the registrant has elected not to use the extended transition period for complying with any new or revised financial accounting standards provided pursuant to Section 7(a)(2)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 of the Securities Act:</w:t>
      </w:r>
    </w:p>
    <w:p>
      <w:pPr>
        <w:spacing w:after="0" w:line="157" w:lineRule="exact"/>
        <w:rPr>
          <w:sz w:val="20"/>
          <w:szCs w:val="20"/>
          <w:color w:val="auto"/>
        </w:rPr>
      </w:pPr>
    </w:p>
    <w:p>
      <w:pPr>
        <w:jc w:val="both"/>
        <w:ind w:right="440"/>
        <w:spacing w:after="0" w:line="254"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398780</wp:posOffset>
            </wp:positionV>
            <wp:extent cx="719264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73" w:right="319" w:bottom="1440" w:gutter="0" w:footer="0" w:header="0"/>
        </w:sectPr>
      </w:pPr>
    </w:p>
    <w:bookmarkStart w:id="2" w:name="page3"/>
    <w:bookmarkEnd w:id="2"/>
    <w:p>
      <w:pPr>
        <w:spacing w:after="0" w:line="279" w:lineRule="auto"/>
        <w:rPr>
          <w:sz w:val="20"/>
          <w:szCs w:val="20"/>
          <w:color w:val="auto"/>
        </w:rPr>
      </w:pPr>
      <w:r>
        <w:rPr>
          <w:rFonts w:ascii="Times New Roman" w:cs="Times New Roman" w:eastAsia="Times New Roman" w:hAnsi="Times New Roman"/>
          <w:sz w:val="13"/>
          <w:szCs w:val="13"/>
          <w:color w:val="EE2724"/>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EE2724"/>
        </w:rPr>
        <w:t xml:space="preserve">SUBJECT TO COMPLETION, DATED </w:t>
      </w:r>
      <w:r>
        <w:rPr>
          <w:rFonts w:ascii="Times New Roman" w:cs="Times New Roman" w:eastAsia="Times New Roman" w:hAnsi="Times New Roman"/>
          <w:sz w:val="13"/>
          <w:szCs w:val="13"/>
          <w:color w:val="FF0000"/>
        </w:rPr>
        <w:t>June 25,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EE2724"/>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1408430</wp:posOffset>
            </wp:positionH>
            <wp:positionV relativeFrom="paragraph">
              <wp:posOffset>129540</wp:posOffset>
            </wp:positionV>
            <wp:extent cx="4358005" cy="1019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58005" cy="101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NewtekOne, Inc.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$650,000,000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Depositary 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Subscription Rights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Warrants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p>
      <w:pPr>
        <w:spacing w:after="0" w:line="168" w:lineRule="exact"/>
        <w:rPr>
          <w:sz w:val="20"/>
          <w:szCs w:val="20"/>
          <w:color w:val="auto"/>
        </w:rPr>
      </w:pPr>
    </w:p>
    <w:p>
      <w:pPr>
        <w:jc w:val="both"/>
        <w:ind w:right="140" w:firstLine="482"/>
        <w:spacing w:after="0" w:line="252" w:lineRule="auto"/>
        <w:rPr>
          <w:sz w:val="20"/>
          <w:szCs w:val="20"/>
          <w:color w:val="auto"/>
        </w:rPr>
      </w:pPr>
      <w:r>
        <w:rPr>
          <w:rFonts w:ascii="Times New Roman" w:cs="Times New Roman" w:eastAsia="Times New Roman" w:hAnsi="Times New Roman"/>
          <w:sz w:val="13"/>
          <w:szCs w:val="13"/>
          <w:color w:val="auto"/>
        </w:rPr>
        <w:t>This prospectus relates to the offer, from time to time, in one or more offerings or series, of up to $650,000,000 of common stock, preferred stock, depositary shares, subscription rights, warrants, debt securities and/or units consisting of some or all of these securities, which we refer to, collectively, as the “securities.” The securities offered hereby may be convertible or exchangeable into shares of common stock. The securities may be offered at prices and on terms to be described in one or more supplements to this prospectus.</w:t>
      </w:r>
    </w:p>
    <w:p>
      <w:pPr>
        <w:spacing w:after="0" w:line="151" w:lineRule="exact"/>
        <w:rPr>
          <w:sz w:val="20"/>
          <w:szCs w:val="20"/>
          <w:color w:val="auto"/>
        </w:rPr>
      </w:pPr>
    </w:p>
    <w:p>
      <w:pPr>
        <w:ind w:right="80" w:firstLine="482"/>
        <w:spacing w:after="0" w:line="251" w:lineRule="auto"/>
        <w:rPr>
          <w:sz w:val="20"/>
          <w:szCs w:val="20"/>
          <w:color w:val="auto"/>
        </w:rPr>
      </w:pPr>
      <w:r>
        <w:rPr>
          <w:rFonts w:ascii="Times New Roman" w:cs="Times New Roman" w:eastAsia="Times New Roman" w:hAnsi="Times New Roman"/>
          <w:sz w:val="13"/>
          <w:szCs w:val="13"/>
          <w:color w:val="auto"/>
        </w:rPr>
        <w:t>We may sell our securities through underwriters or dealers, “at-the-market” to or through a market maker into an existing trading market or otherwise directly to one or more purchasers or through agents or through a combination of methods of sale.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may not sell any of the securities through agents, underwriters or dealers without delivery of this prospectus and a prospectus supplement describing the method and terms of the offering of such securities.</w:t>
      </w:r>
    </w:p>
    <w:p>
      <w:pPr>
        <w:spacing w:after="0" w:line="308" w:lineRule="exact"/>
        <w:rPr>
          <w:sz w:val="20"/>
          <w:szCs w:val="20"/>
          <w:color w:val="auto"/>
        </w:rPr>
      </w:pPr>
    </w:p>
    <w:p>
      <w:pPr>
        <w:ind w:right="320" w:firstLine="482"/>
        <w:spacing w:after="0" w:line="252" w:lineRule="auto"/>
        <w:rPr>
          <w:sz w:val="20"/>
          <w:szCs w:val="20"/>
          <w:color w:val="auto"/>
        </w:rPr>
      </w:pPr>
      <w:r>
        <w:rPr>
          <w:rFonts w:ascii="Times New Roman" w:cs="Times New Roman" w:eastAsia="Times New Roman" w:hAnsi="Times New Roman"/>
          <w:sz w:val="13"/>
          <w:szCs w:val="13"/>
          <w:color w:val="auto"/>
        </w:rPr>
        <w:t>Our common shares are currently traded on the Nasdaq Global Market under the symbol “NEWT.” As of June 24, 2026, the last reported closing price of our common shares on the Nasdaq Global Market was $14.12.</w:t>
      </w:r>
    </w:p>
    <w:p>
      <w:pPr>
        <w:spacing w:after="0" w:line="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3"/>
          <w:szCs w:val="13"/>
          <w:color w:val="auto"/>
        </w:rPr>
        <w:t>__________________</w:t>
      </w:r>
    </w:p>
    <w:p>
      <w:pPr>
        <w:spacing w:after="0" w:line="164" w:lineRule="exact"/>
        <w:rPr>
          <w:sz w:val="20"/>
          <w:szCs w:val="20"/>
          <w:color w:val="auto"/>
        </w:rPr>
      </w:pPr>
    </w:p>
    <w:p>
      <w:pPr>
        <w:jc w:val="both"/>
        <w:ind w:firstLine="482"/>
        <w:spacing w:after="0" w:line="256" w:lineRule="auto"/>
        <w:rPr>
          <w:sz w:val="20"/>
          <w:szCs w:val="20"/>
          <w:color w:val="auto"/>
        </w:rPr>
      </w:pPr>
      <w:r>
        <w:rPr>
          <w:rFonts w:ascii="Times New Roman" w:cs="Times New Roman" w:eastAsia="Times New Roman" w:hAnsi="Times New Roman"/>
          <w:sz w:val="13"/>
          <w:szCs w:val="13"/>
          <w:b w:val="1"/>
          <w:bCs w:val="1"/>
          <w:color w:val="auto"/>
        </w:rPr>
        <w:t>An investment in our securities is subject to various risks See the sections entitled “Risk Factors” beginning on Page 4 of this prospectus, “Item 1A. Risk Factors” in our most recent Annual Report on Form 10-K, “Part II – Item 1A. Risk Factors” as well as in any of our subsequent filings with the Securities and Exchange Commission (“SEC”), and in, or incorporated by reference into, the applicable prospectus supplement and in any free writing prospectuses we may authorize for use in connection with a specific offering, and under similar headings in the other documents that are incorporated by reference into this prospectus, to read about factors you should consider, before investing in our securities.</w:t>
      </w:r>
    </w:p>
    <w:p>
      <w:pPr>
        <w:spacing w:after="0" w:line="135" w:lineRule="exact"/>
        <w:rPr>
          <w:sz w:val="20"/>
          <w:szCs w:val="20"/>
          <w:color w:val="auto"/>
        </w:rPr>
      </w:pPr>
    </w:p>
    <w:p>
      <w:pPr>
        <w:ind w:right="400" w:firstLine="482"/>
        <w:spacing w:after="0" w:line="256" w:lineRule="auto"/>
        <w:rPr>
          <w:sz w:val="20"/>
          <w:szCs w:val="20"/>
          <w:color w:val="auto"/>
        </w:rPr>
      </w:pPr>
      <w:r>
        <w:rPr>
          <w:rFonts w:ascii="Times New Roman" w:cs="Times New Roman" w:eastAsia="Times New Roman" w:hAnsi="Times New Roman"/>
          <w:sz w:val="13"/>
          <w:szCs w:val="13"/>
          <w:b w:val="1"/>
          <w:bCs w:val="1"/>
          <w:color w:val="auto"/>
        </w:rPr>
        <w:t>Neither the SEC nor any state securities commission has approved or disapproved of these securities or determined if this prospectus is truthful or complete. Any representation to the contrary is a criminal offense.</w:t>
      </w:r>
    </w:p>
    <w:p>
      <w:pPr>
        <w:ind w:left="5040"/>
        <w:spacing w:after="0"/>
        <w:rPr>
          <w:sz w:val="20"/>
          <w:szCs w:val="20"/>
          <w:color w:val="auto"/>
        </w:rPr>
      </w:pPr>
      <w:r>
        <w:rPr>
          <w:rFonts w:ascii="Times New Roman" w:cs="Times New Roman" w:eastAsia="Times New Roman" w:hAnsi="Times New Roman"/>
          <w:sz w:val="13"/>
          <w:szCs w:val="13"/>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407670</wp:posOffset>
            </wp:positionV>
            <wp:extent cx="719264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9" w:right="319" w:bottom="1440" w:gutter="0" w:footer="0" w:header="0"/>
        </w:sectPr>
      </w:pPr>
    </w:p>
    <w:bookmarkStart w:id="3" w:name="page4"/>
    <w:bookmarkEnd w:id="3"/>
    <w:p>
      <w:pPr>
        <w:ind w:left="480"/>
        <w:spacing w:after="0"/>
        <w:rPr>
          <w:sz w:val="20"/>
          <w:szCs w:val="20"/>
          <w:color w:val="auto"/>
        </w:rPr>
      </w:pPr>
      <w:r>
        <w:rPr>
          <w:rFonts w:ascii="Times New Roman" w:cs="Times New Roman" w:eastAsia="Times New Roman" w:hAnsi="Times New Roman"/>
          <w:sz w:val="13"/>
          <w:szCs w:val="13"/>
          <w:color w:val="auto"/>
        </w:rPr>
        <w:t>This prospectus may not be used to consummate sales of our securities unless accompanied by a prospectus supplement.</w:t>
      </w:r>
    </w:p>
    <w:p>
      <w:pPr>
        <w:spacing w:after="0" w:line="1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3"/>
          <w:szCs w:val="13"/>
          <w:color w:val="auto"/>
        </w:rPr>
        <w:t>__________________</w:t>
      </w:r>
    </w:p>
    <w:p>
      <w:pPr>
        <w:spacing w:after="0" w:line="168" w:lineRule="exact"/>
        <w:rPr>
          <w:sz w:val="20"/>
          <w:szCs w:val="20"/>
          <w:color w:val="auto"/>
        </w:rPr>
      </w:pPr>
    </w:p>
    <w:p>
      <w:pPr>
        <w:ind w:firstLine="482"/>
        <w:spacing w:after="0" w:line="245" w:lineRule="auto"/>
        <w:rPr>
          <w:sz w:val="20"/>
          <w:szCs w:val="20"/>
          <w:color w:val="auto"/>
        </w:rPr>
      </w:pPr>
      <w:r>
        <w:rPr>
          <w:rFonts w:ascii="Times New Roman" w:cs="Times New Roman" w:eastAsia="Times New Roman" w:hAnsi="Times New Roman"/>
          <w:sz w:val="13"/>
          <w:szCs w:val="13"/>
          <w:color w:val="auto"/>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and the documents incorporated by reference, before buying any of the securities being offered. We file annual, quarterly and current reports, proxy statements and other information about us with the SEC. This information is available free of charge by contacting us by mail at 4800 T Rex Avenue, Suite 120, Boca Raton, Florida 33431, by telephone at (212) 356-9500 or on our website at </w:t>
      </w:r>
      <w:r>
        <w:rPr>
          <w:rFonts w:ascii="Times New Roman" w:cs="Times New Roman" w:eastAsia="Times New Roman" w:hAnsi="Times New Roman"/>
          <w:sz w:val="13"/>
          <w:szCs w:val="13"/>
          <w:i w:val="1"/>
          <w:iCs w:val="1"/>
          <w:color w:val="auto"/>
        </w:rPr>
        <w:t>http://www.NewtekOne.com</w:t>
      </w:r>
      <w:r>
        <w:rPr>
          <w:rFonts w:ascii="Times New Roman" w:cs="Times New Roman" w:eastAsia="Times New Roman" w:hAnsi="Times New Roman"/>
          <w:sz w:val="13"/>
          <w:szCs w:val="13"/>
          <w:color w:val="auto"/>
        </w:rPr>
        <w:t xml:space="preserve">. The SEC also maintains a website at </w:t>
      </w:r>
      <w:r>
        <w:rPr>
          <w:rFonts w:ascii="Times New Roman" w:cs="Times New Roman" w:eastAsia="Times New Roman" w:hAnsi="Times New Roman"/>
          <w:sz w:val="13"/>
          <w:szCs w:val="13"/>
          <w:i w:val="1"/>
          <w:iCs w:val="1"/>
          <w:color w:val="auto"/>
        </w:rPr>
        <w:t>http://www.sec.gov</w:t>
      </w:r>
      <w:r>
        <w:rPr>
          <w:rFonts w:ascii="Times New Roman" w:cs="Times New Roman" w:eastAsia="Times New Roman" w:hAnsi="Times New Roman"/>
          <w:sz w:val="13"/>
          <w:szCs w:val="13"/>
          <w:color w:val="auto"/>
        </w:rPr>
        <w:t xml:space="preserve"> that contains such information. Information contained on our website or on the SEC’s web site about us is not incorporated into this prospectus and you should not consider information contained on our website or on the SEC’s website to be part of this prospectus.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419100</wp:posOffset>
            </wp:positionV>
            <wp:extent cx="719264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60"/>
          </w:cols>
          <w:pgMar w:left="300" w:top="869"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3"/>
          <w:szCs w:val="13"/>
          <w:b w:val="1"/>
          <w:bCs w:val="1"/>
          <w:color w:val="auto"/>
        </w:rPr>
        <w:t>You should rely only on the information contained in this prospectus and any accompanying prospectus supplement. We have not authorized any dealer, salesman or other person to give any information or to make any representation other than those contained in this prospectus or any prospectus supplement to this prospectus. You must not rely upon any information or representation not contained in this prospectus or any such supplements as if we had authorized it.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or incorporated by reference in, this prospectus, any such supplements, or free writing prospectuses is, or will be, accurate as of the dates on their respective covers. Our business, financial condition, results of operations and prospects may have changed since then.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ABOUT THIS PROSPECTUS</w:t>
            </w:r>
          </w:p>
        </w:tc>
        <w:tc>
          <w:tcPr>
            <w:tcW w:w="2660" w:type="dxa"/>
            <w:vAlign w:val="bottom"/>
            <w:tcBorders>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0000FF"/>
                <w:w w:val="91"/>
              </w:rPr>
              <w:t>2</w:t>
            </w:r>
          </w:p>
        </w:tc>
      </w:tr>
      <w:tr>
        <w:trPr>
          <w:trHeight w:val="146"/>
        </w:trPr>
        <w:tc>
          <w:tcPr>
            <w:tcW w:w="85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PROSPECTUS SUMMARY</w:t>
            </w:r>
          </w:p>
        </w:tc>
        <w:tc>
          <w:tcPr>
            <w:tcW w:w="2660" w:type="dxa"/>
            <w:vAlign w:val="bottom"/>
            <w:gridSpan w:val="2"/>
          </w:tcPr>
          <w:p>
            <w:pPr>
              <w:spacing w:after="0"/>
              <w:rPr>
                <w:sz w:val="12"/>
                <w:szCs w:val="12"/>
                <w:color w:val="auto"/>
              </w:rPr>
            </w:pPr>
          </w:p>
        </w:tc>
        <w:tc>
          <w:tcPr>
            <w:tcW w:w="80" w:type="dxa"/>
            <w:vAlign w:val="bottom"/>
            <w:tcBorders>
              <w:bottom w:val="single" w:sz="8" w:color="0000FF"/>
            </w:tcBorders>
          </w:tcPr>
          <w:p>
            <w:pPr>
              <w:jc w:val="right"/>
              <w:spacing w:after="0" w:line="141" w:lineRule="exact"/>
              <w:rPr>
                <w:sz w:val="20"/>
                <w:szCs w:val="20"/>
                <w:color w:val="auto"/>
              </w:rPr>
            </w:pPr>
            <w:r>
              <w:rPr>
                <w:rFonts w:ascii="Times New Roman" w:cs="Times New Roman" w:eastAsia="Times New Roman" w:hAnsi="Times New Roman"/>
                <w:sz w:val="13"/>
                <w:szCs w:val="13"/>
                <w:color w:val="0000FF"/>
                <w:w w:val="91"/>
              </w:rPr>
              <w:t>3</w:t>
            </w:r>
          </w:p>
        </w:tc>
      </w:tr>
      <w:tr>
        <w:trPr>
          <w:trHeight w:val="156"/>
        </w:trPr>
        <w:tc>
          <w:tcPr>
            <w:tcW w:w="85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RISK FACTORS</w:t>
            </w:r>
          </w:p>
        </w:tc>
        <w:tc>
          <w:tcPr>
            <w:tcW w:w="2660" w:type="dxa"/>
            <w:vAlign w:val="bottom"/>
            <w:tcBorders>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0000FF"/>
                <w:w w:val="91"/>
              </w:rPr>
              <w:t>4</w:t>
            </w:r>
          </w:p>
        </w:tc>
      </w:tr>
      <w:tr>
        <w:trPr>
          <w:trHeight w:val="146"/>
        </w:trPr>
        <w:tc>
          <w:tcPr>
            <w:tcW w:w="85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CAUTIONARY STATEMENT REGARDING FORWARD-LOOKING STATEMENTS AND PROJECTIONS</w:t>
            </w:r>
          </w:p>
        </w:tc>
        <w:tc>
          <w:tcPr>
            <w:tcW w:w="2660" w:type="dxa"/>
            <w:vAlign w:val="bottom"/>
            <w:gridSpan w:val="2"/>
          </w:tcPr>
          <w:p>
            <w:pPr>
              <w:spacing w:after="0"/>
              <w:rPr>
                <w:sz w:val="12"/>
                <w:szCs w:val="12"/>
                <w:color w:val="auto"/>
              </w:rPr>
            </w:pPr>
          </w:p>
        </w:tc>
        <w:tc>
          <w:tcPr>
            <w:tcW w:w="80" w:type="dxa"/>
            <w:vAlign w:val="bottom"/>
            <w:tcBorders>
              <w:bottom w:val="single" w:sz="8" w:color="0000FF"/>
            </w:tcBorders>
          </w:tcPr>
          <w:p>
            <w:pPr>
              <w:jc w:val="right"/>
              <w:spacing w:after="0" w:line="141" w:lineRule="exact"/>
              <w:rPr>
                <w:sz w:val="20"/>
                <w:szCs w:val="20"/>
                <w:color w:val="auto"/>
              </w:rPr>
            </w:pPr>
            <w:r>
              <w:rPr>
                <w:rFonts w:ascii="Times New Roman" w:cs="Times New Roman" w:eastAsia="Times New Roman" w:hAnsi="Times New Roman"/>
                <w:sz w:val="13"/>
                <w:szCs w:val="13"/>
                <w:color w:val="0000FF"/>
                <w:w w:val="91"/>
              </w:rPr>
              <w:t>5</w:t>
            </w:r>
          </w:p>
        </w:tc>
      </w:tr>
      <w:tr>
        <w:trPr>
          <w:trHeight w:val="156"/>
        </w:trPr>
        <w:tc>
          <w:tcPr>
            <w:tcW w:w="85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USE OF PROCEEDS</w:t>
            </w:r>
          </w:p>
        </w:tc>
        <w:tc>
          <w:tcPr>
            <w:tcW w:w="2660" w:type="dxa"/>
            <w:vAlign w:val="bottom"/>
            <w:tcBorders>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0000FF"/>
                <w:w w:val="91"/>
              </w:rPr>
              <w:t>6</w:t>
            </w:r>
          </w:p>
        </w:tc>
      </w:tr>
      <w:tr>
        <w:trPr>
          <w:trHeight w:val="146"/>
        </w:trPr>
        <w:tc>
          <w:tcPr>
            <w:tcW w:w="85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SUMMARY OF THE SECURITIES WE MAY OFFER</w:t>
            </w:r>
          </w:p>
        </w:tc>
        <w:tc>
          <w:tcPr>
            <w:tcW w:w="2660" w:type="dxa"/>
            <w:vAlign w:val="bottom"/>
            <w:gridSpan w:val="2"/>
          </w:tcPr>
          <w:p>
            <w:pPr>
              <w:spacing w:after="0"/>
              <w:rPr>
                <w:sz w:val="12"/>
                <w:szCs w:val="12"/>
                <w:color w:val="auto"/>
              </w:rPr>
            </w:pPr>
          </w:p>
        </w:tc>
        <w:tc>
          <w:tcPr>
            <w:tcW w:w="80" w:type="dxa"/>
            <w:vAlign w:val="bottom"/>
            <w:tcBorders>
              <w:bottom w:val="single" w:sz="8" w:color="0000FF"/>
            </w:tcBorders>
          </w:tcPr>
          <w:p>
            <w:pPr>
              <w:jc w:val="right"/>
              <w:spacing w:after="0" w:line="141" w:lineRule="exact"/>
              <w:rPr>
                <w:sz w:val="20"/>
                <w:szCs w:val="20"/>
                <w:color w:val="auto"/>
              </w:rPr>
            </w:pPr>
            <w:r>
              <w:rPr>
                <w:rFonts w:ascii="Times New Roman" w:cs="Times New Roman" w:eastAsia="Times New Roman" w:hAnsi="Times New Roman"/>
                <w:sz w:val="13"/>
                <w:szCs w:val="13"/>
                <w:color w:val="0000FF"/>
                <w:w w:val="91"/>
              </w:rPr>
              <w:t>7</w:t>
            </w:r>
          </w:p>
        </w:tc>
      </w:tr>
      <w:tr>
        <w:trPr>
          <w:trHeight w:val="156"/>
        </w:trPr>
        <w:tc>
          <w:tcPr>
            <w:tcW w:w="85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DESCRIPTION OF OUR CAPITAL STOCK</w:t>
            </w:r>
          </w:p>
        </w:tc>
        <w:tc>
          <w:tcPr>
            <w:tcW w:w="2660" w:type="dxa"/>
            <w:vAlign w:val="bottom"/>
            <w:tcBorders>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0000FF"/>
                <w:w w:val="91"/>
              </w:rPr>
              <w:t>8</w:t>
            </w:r>
          </w:p>
        </w:tc>
      </w:tr>
      <w:tr>
        <w:trPr>
          <w:trHeight w:val="146"/>
        </w:trPr>
        <w:tc>
          <w:tcPr>
            <w:tcW w:w="85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DESCRIPTION OF OUR PREFERRED STOCK</w:t>
            </w:r>
          </w:p>
        </w:tc>
        <w:tc>
          <w:tcPr>
            <w:tcW w:w="2600" w:type="dxa"/>
            <w:vAlign w:val="bottom"/>
          </w:tcPr>
          <w:p>
            <w:pPr>
              <w:spacing w:after="0"/>
              <w:rPr>
                <w:sz w:val="12"/>
                <w:szCs w:val="12"/>
                <w:color w:val="auto"/>
              </w:rPr>
            </w:pPr>
          </w:p>
        </w:tc>
        <w:tc>
          <w:tcPr>
            <w:tcW w:w="140" w:type="dxa"/>
            <w:vAlign w:val="bottom"/>
            <w:tcBorders>
              <w:bottom w:val="single" w:sz="8" w:color="0000FF"/>
            </w:tcBorders>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0000FF"/>
                <w:w w:val="91"/>
              </w:rPr>
              <w:t>14</w:t>
            </w:r>
          </w:p>
        </w:tc>
      </w:tr>
      <w:tr>
        <w:trPr>
          <w:trHeight w:val="156"/>
        </w:trPr>
        <w:tc>
          <w:tcPr>
            <w:tcW w:w="85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DESCRIPTION OF OUR DEPOSITARY SHARES</w:t>
            </w:r>
          </w:p>
        </w:tc>
        <w:tc>
          <w:tcPr>
            <w:tcW w:w="26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0000FF"/>
                <w:w w:val="91"/>
              </w:rPr>
              <w:t>15</w:t>
            </w:r>
          </w:p>
        </w:tc>
      </w:tr>
      <w:tr>
        <w:trPr>
          <w:trHeight w:val="146"/>
        </w:trPr>
        <w:tc>
          <w:tcPr>
            <w:tcW w:w="85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DESCRIPTION OF OUR SUBSCRIPTION RIGHTS</w:t>
            </w:r>
          </w:p>
        </w:tc>
        <w:tc>
          <w:tcPr>
            <w:tcW w:w="2600" w:type="dxa"/>
            <w:vAlign w:val="bottom"/>
          </w:tcPr>
          <w:p>
            <w:pPr>
              <w:spacing w:after="0"/>
              <w:rPr>
                <w:sz w:val="12"/>
                <w:szCs w:val="12"/>
                <w:color w:val="auto"/>
              </w:rPr>
            </w:pPr>
          </w:p>
        </w:tc>
        <w:tc>
          <w:tcPr>
            <w:tcW w:w="140" w:type="dxa"/>
            <w:vAlign w:val="bottom"/>
            <w:tcBorders>
              <w:bottom w:val="single" w:sz="8" w:color="0000FF"/>
            </w:tcBorders>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0000FF"/>
                <w:w w:val="91"/>
              </w:rPr>
              <w:t>17</w:t>
            </w:r>
          </w:p>
        </w:tc>
      </w:tr>
      <w:tr>
        <w:trPr>
          <w:trHeight w:val="156"/>
        </w:trPr>
        <w:tc>
          <w:tcPr>
            <w:tcW w:w="85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DESCRIPTION OF OUR WARRANTS</w:t>
            </w:r>
          </w:p>
        </w:tc>
        <w:tc>
          <w:tcPr>
            <w:tcW w:w="26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0000FF"/>
                <w:w w:val="91"/>
              </w:rPr>
              <w:t>19</w:t>
            </w:r>
          </w:p>
        </w:tc>
      </w:tr>
      <w:tr>
        <w:trPr>
          <w:trHeight w:val="146"/>
        </w:trPr>
        <w:tc>
          <w:tcPr>
            <w:tcW w:w="85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DESCRIPTION OF OUR DEBT SECURITIES</w:t>
            </w:r>
          </w:p>
        </w:tc>
        <w:tc>
          <w:tcPr>
            <w:tcW w:w="2600" w:type="dxa"/>
            <w:vAlign w:val="bottom"/>
          </w:tcPr>
          <w:p>
            <w:pPr>
              <w:spacing w:after="0"/>
              <w:rPr>
                <w:sz w:val="12"/>
                <w:szCs w:val="12"/>
                <w:color w:val="auto"/>
              </w:rPr>
            </w:pPr>
          </w:p>
        </w:tc>
        <w:tc>
          <w:tcPr>
            <w:tcW w:w="140" w:type="dxa"/>
            <w:vAlign w:val="bottom"/>
            <w:tcBorders>
              <w:bottom w:val="single" w:sz="8" w:color="0000FF"/>
            </w:tcBorders>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0000FF"/>
                <w:w w:val="91"/>
              </w:rPr>
              <w:t>20</w:t>
            </w:r>
          </w:p>
        </w:tc>
      </w:tr>
      <w:tr>
        <w:trPr>
          <w:trHeight w:val="156"/>
        </w:trPr>
        <w:tc>
          <w:tcPr>
            <w:tcW w:w="85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DESCRIPTION OF UNITS</w:t>
            </w:r>
          </w:p>
        </w:tc>
        <w:tc>
          <w:tcPr>
            <w:tcW w:w="26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0000FF"/>
                <w:w w:val="91"/>
              </w:rPr>
              <w:t>33</w:t>
            </w:r>
          </w:p>
        </w:tc>
      </w:tr>
      <w:tr>
        <w:trPr>
          <w:trHeight w:val="146"/>
        </w:trPr>
        <w:tc>
          <w:tcPr>
            <w:tcW w:w="85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PLAN OF DISTRIBUTION</w:t>
            </w:r>
          </w:p>
        </w:tc>
        <w:tc>
          <w:tcPr>
            <w:tcW w:w="2600" w:type="dxa"/>
            <w:vAlign w:val="bottom"/>
          </w:tcPr>
          <w:p>
            <w:pPr>
              <w:spacing w:after="0"/>
              <w:rPr>
                <w:sz w:val="12"/>
                <w:szCs w:val="12"/>
                <w:color w:val="auto"/>
              </w:rPr>
            </w:pPr>
          </w:p>
        </w:tc>
        <w:tc>
          <w:tcPr>
            <w:tcW w:w="140" w:type="dxa"/>
            <w:vAlign w:val="bottom"/>
            <w:tcBorders>
              <w:bottom w:val="single" w:sz="8" w:color="0000FF"/>
            </w:tcBorders>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0000FF"/>
                <w:w w:val="91"/>
              </w:rPr>
              <w:t>34</w:t>
            </w:r>
          </w:p>
        </w:tc>
      </w:tr>
      <w:tr>
        <w:trPr>
          <w:trHeight w:val="156"/>
        </w:trPr>
        <w:tc>
          <w:tcPr>
            <w:tcW w:w="85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LEGAL MATTERS</w:t>
            </w:r>
          </w:p>
        </w:tc>
        <w:tc>
          <w:tcPr>
            <w:tcW w:w="26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0000FF"/>
                <w:w w:val="91"/>
              </w:rPr>
              <w:t>36</w:t>
            </w:r>
          </w:p>
        </w:tc>
      </w:tr>
      <w:tr>
        <w:trPr>
          <w:trHeight w:val="146"/>
        </w:trPr>
        <w:tc>
          <w:tcPr>
            <w:tcW w:w="85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EXPERTS</w:t>
            </w:r>
          </w:p>
        </w:tc>
        <w:tc>
          <w:tcPr>
            <w:tcW w:w="2600" w:type="dxa"/>
            <w:vAlign w:val="bottom"/>
          </w:tcPr>
          <w:p>
            <w:pPr>
              <w:spacing w:after="0"/>
              <w:rPr>
                <w:sz w:val="12"/>
                <w:szCs w:val="12"/>
                <w:color w:val="auto"/>
              </w:rPr>
            </w:pPr>
          </w:p>
        </w:tc>
        <w:tc>
          <w:tcPr>
            <w:tcW w:w="140" w:type="dxa"/>
            <w:vAlign w:val="bottom"/>
            <w:tcBorders>
              <w:bottom w:val="single" w:sz="8" w:color="0000FF"/>
            </w:tcBorders>
            <w:gridSpan w:val="2"/>
          </w:tcPr>
          <w:p>
            <w:pPr>
              <w:jc w:val="right"/>
              <w:spacing w:after="0" w:line="141" w:lineRule="exact"/>
              <w:rPr>
                <w:sz w:val="20"/>
                <w:szCs w:val="20"/>
                <w:color w:val="auto"/>
              </w:rPr>
            </w:pPr>
            <w:r>
              <w:rPr>
                <w:rFonts w:ascii="Times New Roman" w:cs="Times New Roman" w:eastAsia="Times New Roman" w:hAnsi="Times New Roman"/>
                <w:sz w:val="13"/>
                <w:szCs w:val="13"/>
                <w:color w:val="0000FF"/>
                <w:w w:val="91"/>
              </w:rPr>
              <w:t>37</w:t>
            </w:r>
          </w:p>
        </w:tc>
      </w:tr>
      <w:tr>
        <w:trPr>
          <w:trHeight w:val="156"/>
        </w:trPr>
        <w:tc>
          <w:tcPr>
            <w:tcW w:w="85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AVAILABLE INFORMATION</w:t>
            </w:r>
          </w:p>
        </w:tc>
        <w:tc>
          <w:tcPr>
            <w:tcW w:w="26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0000FF"/>
                <w:w w:val="91"/>
              </w:rPr>
              <w:t>38</w:t>
            </w:r>
          </w:p>
        </w:tc>
      </w:tr>
      <w:tr>
        <w:trPr>
          <w:trHeight w:val="140"/>
        </w:trPr>
        <w:tc>
          <w:tcPr>
            <w:tcW w:w="85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rPr>
              <w:t>INCORPORATION OF CERTAIN INFORMATION BY REFERENCE</w:t>
            </w:r>
          </w:p>
        </w:tc>
        <w:tc>
          <w:tcPr>
            <w:tcW w:w="274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3"/>
                <w:szCs w:val="13"/>
                <w:color w:val="0000FF"/>
              </w:rPr>
              <w:t>39</w:t>
            </w:r>
          </w:p>
        </w:tc>
      </w:tr>
      <w:tr>
        <w:trPr>
          <w:trHeight w:val="652"/>
        </w:trPr>
        <w:tc>
          <w:tcPr>
            <w:tcW w:w="8540" w:type="dxa"/>
            <w:vAlign w:val="bottom"/>
          </w:tcPr>
          <w:p>
            <w:pPr>
              <w:ind w:left="5620"/>
              <w:spacing w:after="0"/>
              <w:rPr>
                <w:sz w:val="20"/>
                <w:szCs w:val="20"/>
                <w:color w:val="auto"/>
              </w:rPr>
            </w:pPr>
            <w:r>
              <w:rPr>
                <w:rFonts w:ascii="Times New Roman" w:cs="Times New Roman" w:eastAsia="Times New Roman" w:hAnsi="Times New Roman"/>
                <w:sz w:val="13"/>
                <w:szCs w:val="13"/>
                <w:color w:val="auto"/>
              </w:rPr>
              <w:t>1</w:t>
            </w:r>
          </w:p>
        </w:tc>
        <w:tc>
          <w:tcPr>
            <w:tcW w:w="260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80"/>
        </w:trPr>
        <w:tc>
          <w:tcPr>
            <w:tcW w:w="8540" w:type="dxa"/>
            <w:vAlign w:val="bottom"/>
            <w:tcBorders>
              <w:bottom w:val="single" w:sz="8" w:color="9A9A9A"/>
            </w:tcBorders>
          </w:tcPr>
          <w:p>
            <w:pPr>
              <w:spacing w:after="0"/>
              <w:rPr>
                <w:sz w:val="6"/>
                <w:szCs w:val="6"/>
                <w:color w:val="auto"/>
              </w:rPr>
            </w:pPr>
          </w:p>
        </w:tc>
        <w:tc>
          <w:tcPr>
            <w:tcW w:w="26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96" w:lineRule="exact"/>
        <w:rPr>
          <w:sz w:val="20"/>
          <w:szCs w:val="20"/>
          <w:color w:val="auto"/>
        </w:rPr>
      </w:pPr>
    </w:p>
    <w:p>
      <w:pPr>
        <w:ind w:firstLine="482"/>
        <w:spacing w:after="0" w:line="264" w:lineRule="auto"/>
        <w:rPr>
          <w:sz w:val="20"/>
          <w:szCs w:val="20"/>
          <w:color w:val="auto"/>
        </w:rPr>
      </w:pPr>
      <w:r>
        <w:rPr>
          <w:rFonts w:ascii="Times New Roman" w:cs="Times New Roman" w:eastAsia="Times New Roman" w:hAnsi="Times New Roman"/>
          <w:sz w:val="13"/>
          <w:szCs w:val="13"/>
          <w:color w:val="auto"/>
        </w:rPr>
        <w:t>This prospectus is part of a registration statement that we have filed with the SEC, using the “shelf” registration process. Under the shelf registration process, which constitutes a delayed offering in reliance on Rule 415 under the Securities Act of 1933 (the “Securities Act”), NewtekOne, Inc. may offer, from time to time, in one or more offerings, up to $650,000,000 of common stock, preferred stock, depositary shares, warrants, subscription rights, debt securities and/or units consisting of some or all of these securities, on terms to be determined at the time of each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Each time we use this prospectus to offer securities, we will provide a prospectus supplement that will contain specific information about the terms of that offering.</w:t>
      </w:r>
    </w:p>
    <w:p>
      <w:pPr>
        <w:spacing w:after="0" w:line="153" w:lineRule="exact"/>
        <w:rPr>
          <w:sz w:val="20"/>
          <w:szCs w:val="20"/>
          <w:color w:val="auto"/>
        </w:rPr>
      </w:pPr>
    </w:p>
    <w:p>
      <w:pPr>
        <w:ind w:right="240" w:firstLine="482"/>
        <w:spacing w:after="0" w:line="265" w:lineRule="auto"/>
        <w:rPr>
          <w:sz w:val="20"/>
          <w:szCs w:val="20"/>
          <w:color w:val="auto"/>
        </w:rPr>
      </w:pPr>
      <w:r>
        <w:rPr>
          <w:rFonts w:ascii="Times New Roman" w:cs="Times New Roman" w:eastAsia="Times New Roman" w:hAnsi="Times New Roman"/>
          <w:sz w:val="13"/>
          <w:szCs w:val="13"/>
          <w:color w:val="auto"/>
        </w:rPr>
        <w:t>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incorporate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you should carefully read both this prospectus and the applicable prospectus supplement and any related free writing prospectus, together with any exhibits and the additional information described in the sections titled “Available Information,” “Incorporation of Certain Information By Reference,” “Prospectus Summary” and “Risk Factors” before making an investment decision.</w:t>
      </w:r>
    </w:p>
    <w:p>
      <w:pPr>
        <w:spacing w:after="0" w:line="153" w:lineRule="exact"/>
        <w:rPr>
          <w:sz w:val="20"/>
          <w:szCs w:val="20"/>
          <w:color w:val="auto"/>
        </w:rPr>
      </w:pPr>
    </w:p>
    <w:p>
      <w:pPr>
        <w:jc w:val="both"/>
        <w:ind w:right="100" w:firstLine="482"/>
        <w:spacing w:after="0" w:line="276" w:lineRule="auto"/>
        <w:rPr>
          <w:sz w:val="20"/>
          <w:szCs w:val="20"/>
          <w:color w:val="auto"/>
        </w:rPr>
      </w:pPr>
      <w:r>
        <w:rPr>
          <w:rFonts w:ascii="Times New Roman" w:cs="Times New Roman" w:eastAsia="Times New Roman" w:hAnsi="Times New Roman"/>
          <w:sz w:val="13"/>
          <w:szCs w:val="13"/>
          <w:color w:val="auto"/>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“Available Information.”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60"/>
          </w:cols>
          <w:pgMar w:left="300" w:top="69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3"/>
          <w:szCs w:val="13"/>
          <w:b w:val="1"/>
          <w:bCs w:val="1"/>
          <w:color w:val="auto"/>
        </w:rPr>
        <w:t>PROSPECTUS SUMMARY</w:t>
      </w:r>
    </w:p>
    <w:p>
      <w:pPr>
        <w:spacing w:after="0" w:line="19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3"/>
          <w:szCs w:val="13"/>
          <w:color w:val="auto"/>
        </w:rPr>
        <w:t>The following summary contains basic information about offerings pursuant to this prospectus. It may not contain all the information that is important to you. For a more complete understanding of offerings pursuant to this prospectus, we encourage you to read this entire prospectus and the documents to which we have referred in this prospectus, together with any accompanying prospectus supplements or free writing prospectuses, including the risks set forth under the captions “Risk Factors” in this prospectus, “Item 1A. Risk Factors” in our most recent Annual Report on Form 10-K and in any subsequent filings we have made with the SEC that are incorporated by reference into this prospectus, together with other information in this prospectus, the documents incorporated by reference, and any free writing prospectus that we may authorize for use in connection with this offering. See “Available Information” for more information. Throughout this prospectus, we refer to NewtekOne, Inc., its consolidated subsidiaries and its predecessor, Newtek Business Services Corp., as the “Company,” “we,” “us,” “our,” and “NewtekOne.”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Business</w:t>
      </w:r>
    </w:p>
    <w:p>
      <w:pPr>
        <w:spacing w:after="0" w:line="176" w:lineRule="exact"/>
        <w:rPr>
          <w:sz w:val="20"/>
          <w:szCs w:val="20"/>
          <w:color w:val="auto"/>
        </w:rPr>
      </w:pPr>
    </w:p>
    <w:p>
      <w:pPr>
        <w:jc w:val="both"/>
        <w:ind w:firstLine="482"/>
        <w:spacing w:after="0" w:line="295" w:lineRule="auto"/>
        <w:rPr>
          <w:sz w:val="20"/>
          <w:szCs w:val="20"/>
          <w:color w:val="auto"/>
        </w:rPr>
      </w:pPr>
      <w:r>
        <w:rPr>
          <w:rFonts w:ascii="Times New Roman" w:cs="Times New Roman" w:eastAsia="Times New Roman" w:hAnsi="Times New Roman"/>
          <w:sz w:val="13"/>
          <w:szCs w:val="13"/>
          <w:color w:val="auto"/>
        </w:rPr>
        <w:t>We are a financial holding company subject to the regulation and supervision of the Federal Reserve and the Federal Reserve Bank of Atlanta that, together with our consolidated subsidiaries, provides a wide range of business and financial solutions under the Newtek® and NewtekOne® brands to the independent business owner (“SMB”) market.</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We define SMBs as companies having revenues of $1.0 million to $100.0 million, and we estimate the SMB market to be over 36 million businesses in the U.S. as of June 2025, according to the SBA.</w:t>
      </w:r>
    </w:p>
    <w:p>
      <w:pPr>
        <w:spacing w:after="0" w:line="172" w:lineRule="exact"/>
        <w:rPr>
          <w:sz w:val="20"/>
          <w:szCs w:val="20"/>
          <w:color w:val="auto"/>
        </w:rPr>
      </w:pPr>
    </w:p>
    <w:p>
      <w:pPr>
        <w:jc w:val="both"/>
        <w:ind w:firstLine="482"/>
        <w:spacing w:after="0" w:line="265" w:lineRule="auto"/>
        <w:rPr>
          <w:sz w:val="20"/>
          <w:szCs w:val="20"/>
          <w:color w:val="auto"/>
        </w:rPr>
      </w:pPr>
      <w:r>
        <w:rPr>
          <w:rFonts w:ascii="Times New Roman" w:cs="Times New Roman" w:eastAsia="Times New Roman" w:hAnsi="Times New Roman"/>
          <w:sz w:val="13"/>
          <w:szCs w:val="13"/>
          <w:color w:val="auto"/>
        </w:rPr>
        <w:t>In addition to Newtek Bank, National Association (“Newtek Bank”) and its consolidated subsidiary, Small Business Lending, LLC, the following are our consolidated non-bank direct and indirect operating subsidiaries: Newtek Small Business Finance, LLC; Newtek Merchant Solutions, LLC, d/b/a Newtek Real-Time Payments Solutions, and its subsidiary Mobil Money, LLC; PMTWorks Payroll, LLC d/b/a Newtek Payroll and Benefits Solutions; Newtek Insurance Agency, LLC; Titanium Asset Management LLC; Newtek Business Services Holdco 6, Inc. d/b/a Newtek ALP Holdings; and POS on Cloud, LLC, d/b/a Newtek Payment Systems. We have an established and reliable platform that is not limited by client size, industry type, or location. We expect to generate revenue from the business operations of our subsidiaries, including a combination of realized gains on the sale of the government guaranteed portions of SBA 7(a) loans, servicing income and other income, including revenue generated from our business lines Newtek Lending, Newtek Payments, Newtek Insurance, Newtek Payroll and Newtek Bank.</w:t>
      </w:r>
    </w:p>
    <w:p>
      <w:pPr>
        <w:spacing w:after="0" w:line="1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As of March 31, 2026, we had consolidated total assets of $2.9 billion, deposits of $1.9 billion and shareholders’ equity of $404.7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 Information</w:t>
      </w:r>
    </w:p>
    <w:p>
      <w:pPr>
        <w:spacing w:after="0" w:line="176" w:lineRule="exact"/>
        <w:rPr>
          <w:sz w:val="20"/>
          <w:szCs w:val="20"/>
          <w:color w:val="auto"/>
        </w:rPr>
      </w:pPr>
    </w:p>
    <w:p>
      <w:pPr>
        <w:jc w:val="both"/>
        <w:ind w:firstLine="482"/>
        <w:spacing w:after="0" w:line="295" w:lineRule="auto"/>
        <w:rPr>
          <w:sz w:val="20"/>
          <w:szCs w:val="20"/>
          <w:color w:val="auto"/>
        </w:rPr>
      </w:pPr>
      <w:r>
        <w:rPr>
          <w:rFonts w:ascii="Times New Roman" w:cs="Times New Roman" w:eastAsia="Times New Roman" w:hAnsi="Times New Roman"/>
          <w:sz w:val="13"/>
          <w:szCs w:val="13"/>
          <w:color w:val="auto"/>
        </w:rPr>
        <w:t>Our principal executive offices are located at 4800 T Rex Avenue, Suite 120, Boca Raton, Florida 33431, our telephone number is (212) 356-9500 and our website may be found at http://www.NewtekOne.com. Information contained in our website is not incorporated by reference into this prospectus, and you should not consider that information to be part of this prospectus.</w:t>
      </w:r>
    </w:p>
    <w:p>
      <w:pPr>
        <w:spacing w:after="0" w:line="114" w:lineRule="exact"/>
        <w:rPr>
          <w:sz w:val="20"/>
          <w:szCs w:val="20"/>
          <w:color w:val="auto"/>
        </w:rPr>
      </w:pPr>
    </w:p>
    <w:p>
      <w:pPr>
        <w:jc w:val="both"/>
        <w:ind w:firstLine="482"/>
        <w:spacing w:after="0" w:line="270" w:lineRule="auto"/>
        <w:rPr>
          <w:sz w:val="20"/>
          <w:szCs w:val="20"/>
          <w:color w:val="auto"/>
        </w:rPr>
      </w:pPr>
      <w:r>
        <w:rPr>
          <w:rFonts w:ascii="Times New Roman" w:cs="Times New Roman" w:eastAsia="Times New Roman" w:hAnsi="Times New Roman"/>
          <w:sz w:val="13"/>
          <w:szCs w:val="13"/>
          <w:color w:val="auto"/>
        </w:rPr>
        <w:t>We are required to file periodic reports, current reports, proxy statements and other information with the SEC. This information is available on the SEC’s website at http://www.sec.gov. This information is also available free of charge by contacting us at NewtekOne, Inc., 4800 T Rex Avenue, Suite 120, Boca Raton, Florida 33431, by telephone at (212) 356-9500 or on our website at http://www.NewtekOne.com. Information contained on our website or on the SEC’s website about us is not incorporated into this prospectus and you should not consider information contained on our website or on the SEC’s website to be part of this prospectus, or the registration statement of which this prospectus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046" w:right="31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96" w:lineRule="exact"/>
        <w:rPr>
          <w:sz w:val="20"/>
          <w:szCs w:val="20"/>
          <w:color w:val="auto"/>
        </w:rPr>
      </w:pPr>
    </w:p>
    <w:p>
      <w:pPr>
        <w:ind w:firstLine="482"/>
        <w:spacing w:after="0" w:line="263" w:lineRule="auto"/>
        <w:rPr>
          <w:sz w:val="20"/>
          <w:szCs w:val="20"/>
          <w:color w:val="auto"/>
        </w:rPr>
      </w:pPr>
      <w:r>
        <w:rPr>
          <w:rFonts w:ascii="Times New Roman" w:cs="Times New Roman" w:eastAsia="Times New Roman" w:hAnsi="Times New Roman"/>
          <w:sz w:val="13"/>
          <w:szCs w:val="13"/>
          <w:color w:val="auto"/>
        </w:rPr>
        <w:t>Investing in our securities involves a high degree of risk. Before deciding whether to invest in our securities, you should carefully consider the risks and uncertainties described the section titled “Risk Factors” in the applicable prospectus supplement and any related free writing prospectus, and discussed in the sections titled “Item 1A. Risk Factors” in our most recent Annual Report on Form 10-K and in any subsequent filings we have made with the SEC that are incorporated by reference into this prospectus, together with other information in this prospectus, the documents incorporated by reference, and any free writing prospectus that we may authorize for use in connection with this offering. See “Available Information“ for more information. The risks described these documents are not the only ones we face. Additional risks and uncertainties that we are unaware of, or that we currently believe are not material, may also become important factors that adversely affect our business. Past financial performance may not be a reliable indicator of future performance, and historical trends should not be used to anticipate results or trends in future periods. If any of these risks actually occurs, our business, reputation, financial condition, results of operations, revenue, and future prospects could be seriously harmed. This could cause the trading price of our securities to decline, resulting in a loss of all or part of your investment. Please also read carefully the section titled “Cautionary Statement Regarding Forward-Looking Statements and Projections.”</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20"/>
          </w:cols>
          <w:pgMar w:left="300" w:top="1377"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t>CAUTIONARY STATEMENT REGARDING</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FORWARD-LOOKING STATEMENTS AND PROJECTIONS</w:t>
      </w:r>
    </w:p>
    <w:p>
      <w:pPr>
        <w:spacing w:after="0" w:line="178" w:lineRule="exact"/>
        <w:rPr>
          <w:sz w:val="20"/>
          <w:szCs w:val="20"/>
          <w:color w:val="auto"/>
        </w:rPr>
      </w:pPr>
    </w:p>
    <w:p>
      <w:pPr>
        <w:jc w:val="both"/>
        <w:ind w:firstLine="482"/>
        <w:spacing w:after="0" w:line="266" w:lineRule="auto"/>
        <w:rPr>
          <w:sz w:val="20"/>
          <w:szCs w:val="20"/>
          <w:color w:val="auto"/>
        </w:rPr>
      </w:pPr>
      <w:r>
        <w:rPr>
          <w:rFonts w:ascii="Times New Roman" w:cs="Times New Roman" w:eastAsia="Times New Roman" w:hAnsi="Times New Roman"/>
          <w:sz w:val="13"/>
          <w:szCs w:val="13"/>
          <w:color w:val="auto"/>
        </w:rPr>
        <w:t>This prospectus, including the documents that we incorporate by reference herein, contains, and any applicable prospectus supplement or free writing prospectus, including the documents we incorporate by reference therein, may contain, forward-looking statements that involve substantial risks and uncertainties. These forward-looking statements are not historical facts, but rather are based on current expectations, estimates and projections about us,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prospectus, any accompanying prospectus supplement, any related free writing prospectus and any documents we may incorporate by reference herein and therein involve risks and uncertainties, including statements as to:</w:t>
      </w:r>
    </w:p>
    <w:p>
      <w:pPr>
        <w:spacing w:after="0" w:line="305" w:lineRule="exact"/>
        <w:rPr>
          <w:sz w:val="20"/>
          <w:szCs w:val="20"/>
          <w:color w:val="auto"/>
        </w:rPr>
      </w:pPr>
    </w:p>
    <w:p>
      <w:pPr>
        <w:ind w:left="480" w:hanging="239"/>
        <w:spacing w:after="0"/>
        <w:tabs>
          <w:tab w:leader="none" w:pos="48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color w:val="auto"/>
        </w:rPr>
        <w:t>our future operating results;</w:t>
      </w:r>
    </w:p>
    <w:p>
      <w:pPr>
        <w:spacing w:after="0" w:line="14" w:lineRule="exact"/>
        <w:rPr>
          <w:rFonts w:ascii="Arial" w:cs="Arial" w:eastAsia="Arial" w:hAnsi="Arial"/>
          <w:sz w:val="13"/>
          <w:szCs w:val="13"/>
          <w:color w:val="auto"/>
        </w:rPr>
      </w:pPr>
    </w:p>
    <w:p>
      <w:pPr>
        <w:ind w:left="480" w:hanging="239"/>
        <w:spacing w:after="0"/>
        <w:tabs>
          <w:tab w:leader="none" w:pos="48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color w:val="auto"/>
        </w:rPr>
        <w:t>our business prospects and the prospects of our subsidiaries;</w:t>
      </w:r>
    </w:p>
    <w:p>
      <w:pPr>
        <w:ind w:left="480" w:hanging="239"/>
        <w:spacing w:after="0"/>
        <w:tabs>
          <w:tab w:leader="none" w:pos="48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color w:val="auto"/>
        </w:rPr>
        <w:t>our contractual arrangements and relationships with third parties;</w:t>
      </w:r>
    </w:p>
    <w:p>
      <w:pPr>
        <w:ind w:left="480" w:hanging="239"/>
        <w:spacing w:after="0"/>
        <w:tabs>
          <w:tab w:leader="none" w:pos="48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color w:val="auto"/>
        </w:rPr>
        <w:t>the dependence of our future success on the general economy and its impact on the industries in which we and our borrowers operate;</w:t>
      </w:r>
    </w:p>
    <w:p>
      <w:pPr>
        <w:ind w:left="480" w:hanging="239"/>
        <w:spacing w:after="0" w:line="224" w:lineRule="auto"/>
        <w:tabs>
          <w:tab w:leader="none" w:pos="48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color w:val="auto"/>
        </w:rPr>
        <w:t>the ability of our business to achieve its objectives;</w:t>
      </w:r>
    </w:p>
    <w:p>
      <w:pPr>
        <w:ind w:left="480" w:hanging="239"/>
        <w:spacing w:after="0"/>
        <w:tabs>
          <w:tab w:leader="none" w:pos="48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color w:val="auto"/>
        </w:rPr>
        <w:t>the impact of a protracted decline in the liquidity of credit markets on our business;</w:t>
      </w:r>
    </w:p>
    <w:p>
      <w:pPr>
        <w:ind w:left="480" w:hanging="239"/>
        <w:spacing w:after="0"/>
        <w:tabs>
          <w:tab w:leader="none" w:pos="48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color w:val="auto"/>
        </w:rPr>
        <w:t>the adequacy of our cash resources and working capital;</w:t>
      </w:r>
    </w:p>
    <w:p>
      <w:pPr>
        <w:ind w:left="480" w:right="160" w:hanging="239"/>
        <w:spacing w:after="0" w:line="241" w:lineRule="auto"/>
        <w:tabs>
          <w:tab w:leader="none" w:pos="477"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color w:val="auto"/>
        </w:rPr>
        <w:t>our ability to operate as a financial holding company and our ability to operate our subsidiary Newtek Bank, a national bank regulated and supervised by the Office of the Comptroller of the Currency (“OCC”), and the increased compliance and other costs associated with such operations;</w:t>
      </w:r>
    </w:p>
    <w:p>
      <w:pPr>
        <w:ind w:left="480" w:hanging="239"/>
        <w:spacing w:after="0"/>
        <w:tabs>
          <w:tab w:leader="none" w:pos="4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adequately manage liquidity, deposits, capital levels and interest rate risk; and</w:t>
      </w:r>
    </w:p>
    <w:p>
      <w:pPr>
        <w:spacing w:after="0" w:line="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color w:val="auto"/>
        </w:rPr>
        <w:t>the timing of cash flows, if any, from the operations of our subsidiaries.</w:t>
      </w:r>
    </w:p>
    <w:p>
      <w:pPr>
        <w:spacing w:after="0" w:line="10" w:lineRule="exact"/>
        <w:rPr>
          <w:rFonts w:ascii="Arial" w:cs="Arial" w:eastAsia="Arial" w:hAnsi="Arial"/>
          <w:sz w:val="13"/>
          <w:szCs w:val="13"/>
          <w:color w:val="auto"/>
        </w:rPr>
      </w:pPr>
    </w:p>
    <w:p>
      <w:pPr>
        <w:ind w:left="480"/>
        <w:spacing w:after="0"/>
        <w:rPr>
          <w:rFonts w:ascii="Arial" w:cs="Arial" w:eastAsia="Arial" w:hAnsi="Arial"/>
          <w:sz w:val="13"/>
          <w:szCs w:val="13"/>
          <w:color w:val="auto"/>
        </w:rPr>
      </w:pPr>
      <w:r>
        <w:rPr>
          <w:rFonts w:ascii="Times New Roman" w:cs="Times New Roman" w:eastAsia="Times New Roman" w:hAnsi="Times New Roman"/>
          <w:sz w:val="13"/>
          <w:szCs w:val="13"/>
          <w:color w:val="auto"/>
        </w:rPr>
        <w:t>These statements are not guarantees of future performance and are subject to risks, uncertainties, and other factors, some of which are beyond our control and difficult to predict and could cause actual</w:t>
      </w:r>
    </w:p>
    <w:p>
      <w:pPr>
        <w:spacing w:after="0" w:line="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results to differ materially from those expressed or forecasted in the forward-looking statements, including without limitation: an economic downturn, which could impair our and our subsidiaries’ ability to continue to operate or repay their borrowings, which could adversely affect our results; a contraction of available credit and/or an inability to access the equity markets, which could impair our lending and business activities; interest rate volatility, which could adversely affect our results; impacts to financial markets and the global macroeconomic and geopolitical environment, including higher inflation and its impacts; higher interest rates and the impacts on macroeconomic conditions and NewtekOne’s funding costs; changes to the SBA 7(a) loan program, including recent revisions to the SBA Standard Operating Procedure; and the risks and uncertainties and other factors described or identified in “Item 1A. Risk Factors” in our most recent Annual Report on Form 10-K, “Part II – Item 1A. Risk Factors” and in any subsequent filings we have made with the SEC that are incorporated by reference into this prospectus, together with other information in this prospectus, the documents incorporated by reference, and any free writing prospectus that we may authorize for use in connection with this offering. See “Available Information” for more information. You should not place undue reliance on these forward-looking statements, which apply only as of the dates of this prospectus, any applicable prospectus supplement or free writing prospectus, including any documents incorporated by reference,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The forward-looking statements in this prospectus are excluded from the safe-harbor protection provided by Section 27A of the Securities Act and Section 21E of the Exchange Act.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9" w:name="page10"/>
    <w:bookmarkEnd w:id="9"/>
    <w:p>
      <w:pPr>
        <w:ind w:left="502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intend to use the net proceeds from the sale of the securities for general corporate purposes unless otherwise indicated in the prospectus supplement relating to a specific offering of securities.</w:t>
      </w:r>
    </w:p>
    <w:p>
      <w:pPr>
        <w:spacing w:after="0" w:line="200" w:lineRule="exact"/>
        <w:rPr>
          <w:sz w:val="20"/>
          <w:szCs w:val="20"/>
          <w:color w:val="auto"/>
        </w:rPr>
      </w:pPr>
    </w:p>
    <w:p>
      <w:pPr>
        <w:spacing w:after="0" w:line="3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0400"/>
          </w:cols>
          <w:pgMar w:left="300" w:top="1026" w:right="11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t>SUMMARY OF THE SECURITIES WE MAY OFFER</w:t>
      </w:r>
    </w:p>
    <w:p>
      <w:pPr>
        <w:spacing w:after="0" w:line="156" w:lineRule="exact"/>
        <w:rPr>
          <w:sz w:val="20"/>
          <w:szCs w:val="20"/>
          <w:color w:val="auto"/>
        </w:rPr>
      </w:pPr>
    </w:p>
    <w:p>
      <w:pPr>
        <w:ind w:right="140" w:firstLine="482"/>
        <w:spacing w:after="0" w:line="276" w:lineRule="auto"/>
        <w:rPr>
          <w:sz w:val="20"/>
          <w:szCs w:val="20"/>
          <w:color w:val="auto"/>
        </w:rPr>
      </w:pPr>
      <w:r>
        <w:rPr>
          <w:rFonts w:ascii="Times New Roman" w:cs="Times New Roman" w:eastAsia="Times New Roman" w:hAnsi="Times New Roman"/>
          <w:sz w:val="13"/>
          <w:szCs w:val="13"/>
          <w:color w:val="auto"/>
        </w:rPr>
        <w:t>We may use this prospectus to offer securities in one or more offerings. The applicable prospectus supplement will describe the amounts, prices and detailed terms of the securities and may describe risks associated with an investment in the securities. We will also include in the prospectus supplement, where applicable, information about material United States federal income tax considerations relating to the securities. Terms used in this prospectus will have the meanings described in this prospectus unless otherwise specified.</w:t>
      </w:r>
    </w:p>
    <w:p>
      <w:pPr>
        <w:spacing w:after="0" w:line="146" w:lineRule="exact"/>
        <w:rPr>
          <w:sz w:val="20"/>
          <w:szCs w:val="20"/>
          <w:color w:val="auto"/>
        </w:rPr>
      </w:pPr>
    </w:p>
    <w:p>
      <w:pPr>
        <w:ind w:firstLine="482"/>
        <w:spacing w:after="0" w:line="267" w:lineRule="auto"/>
        <w:rPr>
          <w:sz w:val="20"/>
          <w:szCs w:val="20"/>
          <w:color w:val="auto"/>
        </w:rPr>
      </w:pPr>
      <w:r>
        <w:rPr>
          <w:rFonts w:ascii="Times New Roman" w:cs="Times New Roman" w:eastAsia="Times New Roman" w:hAnsi="Times New Roman"/>
          <w:sz w:val="13"/>
          <w:szCs w:val="13"/>
          <w:color w:val="auto"/>
        </w:rPr>
        <w:t>Our securities may be offered directly to one or more purchasers, or through agents designated from time to time by us, or to or through underwriters or dealers. The prospectus supplement relating to an offering will identify any agents or underwriters involved in the sale of our securities, and will disclose any applicable purchase price, fee, commission, or discount arrangement between us and our agents or underwriters or among our underwriters or the basis upon which such amount may be calculated. See “Plan of Distribution.” We may not sell any of our securities through agents, underwriters or dealers without delivery of this prospectus and a prospectus supplement describing the method and terms of the offering of securities. This prospectus may not be used to sell securities unless accompanied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85" w:right="31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OUR CAPITAL STOCK</w:t>
      </w:r>
    </w:p>
    <w:p>
      <w:pPr>
        <w:spacing w:after="0" w:line="156" w:lineRule="exact"/>
        <w:rPr>
          <w:sz w:val="20"/>
          <w:szCs w:val="20"/>
          <w:color w:val="auto"/>
        </w:rPr>
      </w:pPr>
    </w:p>
    <w:p>
      <w:pPr>
        <w:ind w:right="480" w:firstLine="482"/>
        <w:spacing w:after="0" w:line="295" w:lineRule="auto"/>
        <w:rPr>
          <w:sz w:val="20"/>
          <w:szCs w:val="20"/>
          <w:color w:val="auto"/>
        </w:rPr>
      </w:pPr>
      <w:r>
        <w:rPr>
          <w:rFonts w:ascii="Times New Roman" w:cs="Times New Roman" w:eastAsia="Times New Roman" w:hAnsi="Times New Roman"/>
          <w:sz w:val="13"/>
          <w:szCs w:val="13"/>
          <w:color w:val="auto"/>
        </w:rPr>
        <w:t>The following description is based on relevant portions of the Maryland General Corporation Law and on our charter and bylaws. This summary is not necessarily complete, and we refer you to Maryland Law and our charter and bylaws for a more detailed description of the provisions summarized below.</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Stock</w:t>
      </w:r>
    </w:p>
    <w:p>
      <w:pPr>
        <w:spacing w:after="0" w:line="135" w:lineRule="exact"/>
        <w:rPr>
          <w:sz w:val="20"/>
          <w:szCs w:val="20"/>
          <w:color w:val="auto"/>
        </w:rPr>
      </w:pPr>
    </w:p>
    <w:p>
      <w:pPr>
        <w:jc w:val="both"/>
        <w:ind w:right="340" w:firstLine="482"/>
        <w:spacing w:after="0" w:line="276" w:lineRule="auto"/>
        <w:rPr>
          <w:sz w:val="20"/>
          <w:szCs w:val="20"/>
          <w:color w:val="auto"/>
        </w:rPr>
      </w:pPr>
      <w:r>
        <w:rPr>
          <w:rFonts w:ascii="Times New Roman" w:cs="Times New Roman" w:eastAsia="Times New Roman" w:hAnsi="Times New Roman"/>
          <w:sz w:val="13"/>
          <w:szCs w:val="13"/>
          <w:color w:val="auto"/>
        </w:rPr>
        <w:t>Our authorized stock consists of 200,000,000 shares of stock, par value $0.02 per share, of which all are designated as common stock, except for the 53,750 shares which are designated as 8.500% Fixed-Rate Reset Non-Cumulative Perpetual Preferred Stock, Series B. Our common stock is traded on the Nasdaq Global Market under the ticker symbol “NEWT.” Under Maryland law, our stockholders generally are not personally liable for our debts or obligations.</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following are our outstanding classes of stock as of June 24, 2026: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tcPr>
          <w:p>
            <w:pPr>
              <w:jc w:val="center"/>
              <w:ind w:right="98"/>
              <w:spacing w:after="0"/>
              <w:rPr>
                <w:sz w:val="20"/>
                <w:szCs w:val="20"/>
                <w:color w:val="auto"/>
              </w:rPr>
            </w:pPr>
            <w:r>
              <w:rPr>
                <w:rFonts w:ascii="Times New Roman" w:cs="Times New Roman" w:eastAsia="Times New Roman" w:hAnsi="Times New Roman"/>
                <w:sz w:val="12"/>
                <w:szCs w:val="12"/>
                <w:b w:val="1"/>
                <w:bCs w:val="1"/>
                <w:color w:val="auto"/>
                <w:w w:val="99"/>
              </w:rPr>
              <w:t>(4)</w:t>
            </w:r>
          </w:p>
        </w:tc>
        <w:tc>
          <w:tcPr>
            <w:tcW w:w="0" w:type="dxa"/>
            <w:vAlign w:val="bottom"/>
          </w:tcPr>
          <w:p>
            <w:pPr>
              <w:spacing w:after="0"/>
              <w:rPr>
                <w:sz w:val="1"/>
                <w:szCs w:val="1"/>
                <w:color w:val="auto"/>
              </w:rPr>
            </w:pPr>
          </w:p>
        </w:tc>
      </w:tr>
      <w:tr>
        <w:trPr>
          <w:trHeight w:val="120"/>
        </w:trPr>
        <w:tc>
          <w:tcPr>
            <w:tcW w:w="5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780" w:type="dxa"/>
            <w:vAlign w:val="bottom"/>
            <w:vMerge w:val="restart"/>
          </w:tcPr>
          <w:p>
            <w:pPr>
              <w:jc w:val="center"/>
              <w:ind w:left="738"/>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500" w:type="dxa"/>
            <w:vAlign w:val="bottom"/>
          </w:tcPr>
          <w:p>
            <w:pPr>
              <w:spacing w:after="0"/>
              <w:rPr>
                <w:sz w:val="10"/>
                <w:szCs w:val="10"/>
                <w:color w:val="auto"/>
              </w:rPr>
            </w:pPr>
          </w:p>
        </w:tc>
        <w:tc>
          <w:tcPr>
            <w:tcW w:w="1460" w:type="dxa"/>
            <w:vAlign w:val="bottom"/>
          </w:tcPr>
          <w:p>
            <w:pPr>
              <w:jc w:val="center"/>
              <w:ind w:right="98"/>
              <w:spacing w:after="0" w:line="121"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0" w:type="dxa"/>
            <w:vAlign w:val="bottom"/>
          </w:tcPr>
          <w:p>
            <w:pPr>
              <w:spacing w:after="0"/>
              <w:rPr>
                <w:sz w:val="1"/>
                <w:szCs w:val="1"/>
                <w:color w:val="auto"/>
              </w:rPr>
            </w:pPr>
          </w:p>
        </w:tc>
      </w:tr>
      <w:tr>
        <w:trPr>
          <w:trHeight w:val="120"/>
        </w:trPr>
        <w:tc>
          <w:tcPr>
            <w:tcW w:w="5680" w:type="dxa"/>
            <w:vAlign w:val="bottom"/>
          </w:tcPr>
          <w:p>
            <w:pPr>
              <w:spacing w:after="0"/>
              <w:rPr>
                <w:sz w:val="10"/>
                <w:szCs w:val="10"/>
                <w:color w:val="auto"/>
              </w:rPr>
            </w:pPr>
          </w:p>
        </w:tc>
        <w:tc>
          <w:tcPr>
            <w:tcW w:w="920" w:type="dxa"/>
            <w:vAlign w:val="bottom"/>
            <w:vMerge w:val="restart"/>
          </w:tcPr>
          <w:p>
            <w:pPr>
              <w:jc w:val="center"/>
              <w:ind w:left="158"/>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17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460" w:type="dxa"/>
            <w:vAlign w:val="bottom"/>
          </w:tcPr>
          <w:p>
            <w:pPr>
              <w:jc w:val="center"/>
              <w:ind w:right="118"/>
              <w:spacing w:after="0" w:line="121" w:lineRule="exact"/>
              <w:rPr>
                <w:sz w:val="20"/>
                <w:szCs w:val="20"/>
                <w:color w:val="auto"/>
              </w:rPr>
            </w:pPr>
            <w:r>
              <w:rPr>
                <w:rFonts w:ascii="Times New Roman" w:cs="Times New Roman" w:eastAsia="Times New Roman" w:hAnsi="Times New Roman"/>
                <w:sz w:val="12"/>
                <w:szCs w:val="12"/>
                <w:b w:val="1"/>
                <w:bCs w:val="1"/>
                <w:color w:val="auto"/>
                <w:w w:val="99"/>
              </w:rPr>
              <w:t>Outstanding</w:t>
            </w:r>
          </w:p>
        </w:tc>
        <w:tc>
          <w:tcPr>
            <w:tcW w:w="0" w:type="dxa"/>
            <w:vAlign w:val="bottom"/>
          </w:tcPr>
          <w:p>
            <w:pPr>
              <w:spacing w:after="0"/>
              <w:rPr>
                <w:sz w:val="1"/>
                <w:szCs w:val="1"/>
                <w:color w:val="auto"/>
              </w:rPr>
            </w:pPr>
          </w:p>
        </w:tc>
      </w:tr>
      <w:tr>
        <w:trPr>
          <w:trHeight w:val="120"/>
        </w:trPr>
        <w:tc>
          <w:tcPr>
            <w:tcW w:w="56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780" w:type="dxa"/>
            <w:vAlign w:val="bottom"/>
          </w:tcPr>
          <w:p>
            <w:pPr>
              <w:jc w:val="center"/>
              <w:ind w:left="738"/>
              <w:spacing w:after="0" w:line="121" w:lineRule="exact"/>
              <w:rPr>
                <w:sz w:val="20"/>
                <w:szCs w:val="20"/>
                <w:color w:val="auto"/>
              </w:rPr>
            </w:pPr>
            <w:r>
              <w:rPr>
                <w:rFonts w:ascii="Times New Roman" w:cs="Times New Roman" w:eastAsia="Times New Roman" w:hAnsi="Times New Roman"/>
                <w:sz w:val="12"/>
                <w:szCs w:val="12"/>
                <w:b w:val="1"/>
                <w:bCs w:val="1"/>
                <w:color w:val="auto"/>
              </w:rPr>
              <w:t>Amount Held</w:t>
            </w:r>
          </w:p>
        </w:tc>
        <w:tc>
          <w:tcPr>
            <w:tcW w:w="500" w:type="dxa"/>
            <w:vAlign w:val="bottom"/>
          </w:tcPr>
          <w:p>
            <w:pPr>
              <w:spacing w:after="0"/>
              <w:rPr>
                <w:sz w:val="10"/>
                <w:szCs w:val="10"/>
                <w:color w:val="auto"/>
              </w:rPr>
            </w:pPr>
          </w:p>
        </w:tc>
        <w:tc>
          <w:tcPr>
            <w:tcW w:w="1460" w:type="dxa"/>
            <w:vAlign w:val="bottom"/>
          </w:tcPr>
          <w:p>
            <w:pPr>
              <w:jc w:val="center"/>
              <w:ind w:right="98"/>
              <w:spacing w:after="0" w:line="121" w:lineRule="exact"/>
              <w:rPr>
                <w:sz w:val="20"/>
                <w:szCs w:val="20"/>
                <w:color w:val="auto"/>
              </w:rPr>
            </w:pPr>
            <w:r>
              <w:rPr>
                <w:rFonts w:ascii="Times New Roman" w:cs="Times New Roman" w:eastAsia="Times New Roman" w:hAnsi="Times New Roman"/>
                <w:sz w:val="12"/>
                <w:szCs w:val="12"/>
                <w:b w:val="1"/>
                <w:bCs w:val="1"/>
                <w:color w:val="auto"/>
              </w:rPr>
              <w:t>Exclusive of</w:t>
            </w:r>
          </w:p>
        </w:tc>
        <w:tc>
          <w:tcPr>
            <w:tcW w:w="0" w:type="dxa"/>
            <w:vAlign w:val="bottom"/>
          </w:tcPr>
          <w:p>
            <w:pPr>
              <w:spacing w:after="0"/>
              <w:rPr>
                <w:sz w:val="1"/>
                <w:szCs w:val="1"/>
                <w:color w:val="auto"/>
              </w:rPr>
            </w:pPr>
          </w:p>
        </w:tc>
      </w:tr>
      <w:tr>
        <w:trPr>
          <w:trHeight w:val="120"/>
        </w:trPr>
        <w:tc>
          <w:tcPr>
            <w:tcW w:w="568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(1) Title of Class</w:t>
            </w:r>
          </w:p>
        </w:tc>
        <w:tc>
          <w:tcPr>
            <w:tcW w:w="920" w:type="dxa"/>
            <w:vAlign w:val="bottom"/>
          </w:tcPr>
          <w:p>
            <w:pPr>
              <w:jc w:val="center"/>
              <w:ind w:left="158"/>
              <w:spacing w:after="0" w:line="121"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780" w:type="dxa"/>
            <w:vAlign w:val="bottom"/>
          </w:tcPr>
          <w:p>
            <w:pPr>
              <w:jc w:val="center"/>
              <w:ind w:left="738"/>
              <w:spacing w:after="0" w:line="121" w:lineRule="exact"/>
              <w:rPr>
                <w:sz w:val="20"/>
                <w:szCs w:val="20"/>
                <w:color w:val="auto"/>
              </w:rPr>
            </w:pPr>
            <w:r>
              <w:rPr>
                <w:rFonts w:ascii="Times New Roman" w:cs="Times New Roman" w:eastAsia="Times New Roman" w:hAnsi="Times New Roman"/>
                <w:sz w:val="12"/>
                <w:szCs w:val="12"/>
                <w:b w:val="1"/>
                <w:bCs w:val="1"/>
                <w:color w:val="auto"/>
              </w:rPr>
              <w:t>by Us or for</w:t>
            </w:r>
          </w:p>
        </w:tc>
        <w:tc>
          <w:tcPr>
            <w:tcW w:w="500" w:type="dxa"/>
            <w:vAlign w:val="bottom"/>
          </w:tcPr>
          <w:p>
            <w:pPr>
              <w:spacing w:after="0"/>
              <w:rPr>
                <w:sz w:val="10"/>
                <w:szCs w:val="10"/>
                <w:color w:val="auto"/>
              </w:rPr>
            </w:pPr>
          </w:p>
        </w:tc>
        <w:tc>
          <w:tcPr>
            <w:tcW w:w="1460" w:type="dxa"/>
            <w:vAlign w:val="bottom"/>
          </w:tcPr>
          <w:p>
            <w:pPr>
              <w:jc w:val="center"/>
              <w:ind w:right="118"/>
              <w:spacing w:after="0" w:line="121" w:lineRule="exact"/>
              <w:rPr>
                <w:sz w:val="20"/>
                <w:szCs w:val="20"/>
                <w:color w:val="auto"/>
              </w:rPr>
            </w:pPr>
            <w:r>
              <w:rPr>
                <w:rFonts w:ascii="Times New Roman" w:cs="Times New Roman" w:eastAsia="Times New Roman" w:hAnsi="Times New Roman"/>
                <w:sz w:val="12"/>
                <w:szCs w:val="12"/>
                <w:b w:val="1"/>
                <w:bCs w:val="1"/>
                <w:color w:val="auto"/>
                <w:w w:val="99"/>
              </w:rPr>
              <w:t>Amounts Shown</w:t>
            </w:r>
          </w:p>
        </w:tc>
        <w:tc>
          <w:tcPr>
            <w:tcW w:w="0" w:type="dxa"/>
            <w:vAlign w:val="bottom"/>
          </w:tcPr>
          <w:p>
            <w:pPr>
              <w:spacing w:after="0"/>
              <w:rPr>
                <w:sz w:val="1"/>
                <w:szCs w:val="1"/>
                <w:color w:val="auto"/>
              </w:rPr>
            </w:pPr>
          </w:p>
        </w:tc>
      </w:tr>
      <w:tr>
        <w:trPr>
          <w:trHeight w:val="160"/>
        </w:trPr>
        <w:tc>
          <w:tcPr>
            <w:tcW w:w="568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tcPr>
          <w:p>
            <w:pPr>
              <w:jc w:val="center"/>
              <w:ind w:left="158"/>
              <w:spacing w:after="0"/>
              <w:rPr>
                <w:sz w:val="20"/>
                <w:szCs w:val="20"/>
                <w:color w:val="auto"/>
              </w:rPr>
            </w:pPr>
            <w:r>
              <w:rPr>
                <w:rFonts w:ascii="Times New Roman" w:cs="Times New Roman" w:eastAsia="Times New Roman" w:hAnsi="Times New Roman"/>
                <w:sz w:val="12"/>
                <w:szCs w:val="12"/>
                <w:b w:val="1"/>
                <w:bCs w:val="1"/>
                <w:color w:val="auto"/>
                <w:w w:val="99"/>
              </w:rPr>
              <w:t>Authorized</w:t>
            </w:r>
          </w:p>
        </w:tc>
        <w:tc>
          <w:tcPr>
            <w:tcW w:w="1780" w:type="dxa"/>
            <w:vAlign w:val="bottom"/>
            <w:tcBorders>
              <w:bottom w:val="single" w:sz="8" w:color="auto"/>
            </w:tcBorders>
          </w:tcPr>
          <w:p>
            <w:pPr>
              <w:jc w:val="center"/>
              <w:ind w:left="738"/>
              <w:spacing w:after="0"/>
              <w:rPr>
                <w:sz w:val="20"/>
                <w:szCs w:val="20"/>
                <w:color w:val="auto"/>
              </w:rPr>
            </w:pPr>
            <w:r>
              <w:rPr>
                <w:rFonts w:ascii="Times New Roman" w:cs="Times New Roman" w:eastAsia="Times New Roman" w:hAnsi="Times New Roman"/>
                <w:sz w:val="12"/>
                <w:szCs w:val="12"/>
                <w:b w:val="1"/>
                <w:bCs w:val="1"/>
                <w:color w:val="auto"/>
                <w:w w:val="98"/>
              </w:rPr>
              <w:t>Our Account</w:t>
            </w:r>
          </w:p>
        </w:tc>
        <w:tc>
          <w:tcPr>
            <w:tcW w:w="5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2"/>
                <w:szCs w:val="12"/>
                <w:b w:val="1"/>
                <w:bCs w:val="1"/>
                <w:color w:val="auto"/>
              </w:rPr>
              <w:t>Under (3)</w:t>
            </w:r>
          </w:p>
        </w:tc>
        <w:tc>
          <w:tcPr>
            <w:tcW w:w="0" w:type="dxa"/>
            <w:vAlign w:val="bottom"/>
          </w:tcPr>
          <w:p>
            <w:pPr>
              <w:spacing w:after="0"/>
              <w:rPr>
                <w:sz w:val="1"/>
                <w:szCs w:val="1"/>
                <w:color w:val="auto"/>
              </w:rPr>
            </w:pPr>
          </w:p>
        </w:tc>
      </w:tr>
      <w:tr>
        <w:trPr>
          <w:trHeight w:val="189"/>
        </w:trPr>
        <w:tc>
          <w:tcPr>
            <w:tcW w:w="56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 par value $0.02 per share</w:t>
            </w:r>
          </w:p>
        </w:tc>
        <w:tc>
          <w:tcPr>
            <w:tcW w:w="2700" w:type="dxa"/>
            <w:vAlign w:val="bottom"/>
            <w:gridSpan w:val="2"/>
          </w:tcPr>
          <w:p>
            <w:pPr>
              <w:jc w:val="right"/>
              <w:ind w:right="1298"/>
              <w:spacing w:after="0"/>
              <w:rPr>
                <w:sz w:val="20"/>
                <w:szCs w:val="20"/>
                <w:color w:val="auto"/>
              </w:rPr>
            </w:pPr>
            <w:r>
              <w:rPr>
                <w:rFonts w:ascii="Times New Roman" w:cs="Times New Roman" w:eastAsia="Times New Roman" w:hAnsi="Times New Roman"/>
                <w:sz w:val="13"/>
                <w:szCs w:val="13"/>
                <w:color w:val="auto"/>
              </w:rPr>
              <w:t>199,946,250</w:t>
            </w:r>
          </w:p>
        </w:tc>
        <w:tc>
          <w:tcPr>
            <w:tcW w:w="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28,891,150</w:t>
            </w:r>
          </w:p>
        </w:tc>
        <w:tc>
          <w:tcPr>
            <w:tcW w:w="0" w:type="dxa"/>
            <w:vAlign w:val="bottom"/>
          </w:tcPr>
          <w:p>
            <w:pPr>
              <w:spacing w:after="0"/>
              <w:rPr>
                <w:sz w:val="1"/>
                <w:szCs w:val="1"/>
                <w:color w:val="auto"/>
              </w:rPr>
            </w:pPr>
          </w:p>
        </w:tc>
      </w:tr>
      <w:tr>
        <w:trPr>
          <w:trHeight w:val="140"/>
        </w:trPr>
        <w:tc>
          <w:tcPr>
            <w:tcW w:w="5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auto"/>
              </w:rPr>
              <w:t>8.500% Fixed-Rate Reset Non-Cumulative Perpetual Preferred Stock, Series B, par value $0.02 per</w:t>
            </w:r>
          </w:p>
        </w:tc>
        <w:tc>
          <w:tcPr>
            <w:tcW w:w="9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tcPr>
          <w:p>
            <w:pPr>
              <w:spacing w:after="0"/>
              <w:rPr>
                <w:sz w:val="15"/>
                <w:szCs w:val="15"/>
                <w:color w:val="auto"/>
              </w:rPr>
            </w:pPr>
          </w:p>
        </w:tc>
        <w:tc>
          <w:tcPr>
            <w:tcW w:w="1780" w:type="dxa"/>
            <w:vAlign w:val="bottom"/>
          </w:tcPr>
          <w:p>
            <w:pPr>
              <w:jc w:val="right"/>
              <w:ind w:right="1298"/>
              <w:spacing w:after="0"/>
              <w:rPr>
                <w:sz w:val="20"/>
                <w:szCs w:val="20"/>
                <w:color w:val="auto"/>
              </w:rPr>
            </w:pPr>
            <w:r>
              <w:rPr>
                <w:rFonts w:ascii="Times New Roman" w:cs="Times New Roman" w:eastAsia="Times New Roman" w:hAnsi="Times New Roman"/>
                <w:sz w:val="13"/>
                <w:szCs w:val="13"/>
                <w:color w:val="auto"/>
              </w:rPr>
              <w:t>53,750</w:t>
            </w:r>
          </w:p>
        </w:tc>
        <w:tc>
          <w:tcPr>
            <w:tcW w:w="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wp:posOffset>
            </wp:positionV>
            <wp:extent cx="653669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36690" cy="6350"/>
                    </a:xfrm>
                    <a:prstGeom prst="rect">
                      <a:avLst/>
                    </a:prstGeom>
                    <a:noFill/>
                  </pic:spPr>
                </pic:pic>
              </a:graphicData>
            </a:graphic>
          </wp:anchor>
        </w:drawing>
      </w:r>
    </w:p>
    <w:p>
      <w:pPr>
        <w:spacing w:after="0" w:line="36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color w:val="auto"/>
        </w:rPr>
        <w:t>(1)</w:t>
        <w:tab/>
        <w:t>An equity compensation plan has been adopted to cover up to 3,000,000 common shares, but no options have been awarded.</w:t>
      </w:r>
    </w:p>
    <w:p>
      <w:pPr>
        <w:spacing w:after="0" w:line="149" w:lineRule="exact"/>
        <w:rPr>
          <w:sz w:val="20"/>
          <w:szCs w:val="20"/>
          <w:color w:val="auto"/>
        </w:rPr>
      </w:pPr>
    </w:p>
    <w:p>
      <w:pPr>
        <w:jc w:val="both"/>
        <w:ind w:right="140" w:firstLine="482"/>
        <w:spacing w:after="0" w:line="276" w:lineRule="auto"/>
        <w:rPr>
          <w:sz w:val="20"/>
          <w:szCs w:val="20"/>
          <w:color w:val="auto"/>
        </w:rPr>
      </w:pPr>
      <w:r>
        <w:rPr>
          <w:rFonts w:ascii="Times New Roman" w:cs="Times New Roman" w:eastAsia="Times New Roman" w:hAnsi="Times New Roman"/>
          <w:sz w:val="13"/>
          <w:szCs w:val="13"/>
          <w:color w:val="auto"/>
        </w:rPr>
        <w:t>Under our charter, our Board is authorized to classify and reclassify any unissued shares of stock into other classes or series of stock without obtaining stockholder approval. Our charter also provides that the Board, without any action by our stockholders, may amend the charter from time to time to increase or decrease the aggregate number of shares of stock or the number of shares of stock of any class or series that we have authority to issue.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Common Stock</w:t>
      </w:r>
    </w:p>
    <w:p>
      <w:pPr>
        <w:spacing w:after="0" w:line="176" w:lineRule="exact"/>
        <w:rPr>
          <w:sz w:val="20"/>
          <w:szCs w:val="20"/>
          <w:color w:val="auto"/>
        </w:rPr>
      </w:pPr>
    </w:p>
    <w:p>
      <w:pPr>
        <w:ind w:firstLine="482"/>
        <w:spacing w:after="0" w:line="263" w:lineRule="auto"/>
        <w:rPr>
          <w:sz w:val="20"/>
          <w:szCs w:val="20"/>
          <w:color w:val="auto"/>
        </w:rPr>
      </w:pPr>
      <w:r>
        <w:rPr>
          <w:rFonts w:ascii="Times New Roman" w:cs="Times New Roman" w:eastAsia="Times New Roman" w:hAnsi="Times New Roman"/>
          <w:sz w:val="13"/>
          <w:szCs w:val="13"/>
          <w:color w:val="auto"/>
        </w:rPr>
        <w:t>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Preferred Stock</w:t>
      </w:r>
    </w:p>
    <w:p>
      <w:pPr>
        <w:spacing w:after="0" w:line="176" w:lineRule="exact"/>
        <w:rPr>
          <w:sz w:val="20"/>
          <w:szCs w:val="20"/>
          <w:color w:val="auto"/>
        </w:rPr>
      </w:pPr>
    </w:p>
    <w:p>
      <w:pPr>
        <w:ind w:right="100" w:firstLine="482"/>
        <w:spacing w:after="0" w:line="267" w:lineRule="auto"/>
        <w:rPr>
          <w:sz w:val="20"/>
          <w:szCs w:val="20"/>
          <w:color w:val="auto"/>
        </w:rPr>
      </w:pPr>
      <w:r>
        <w:rPr>
          <w:rFonts w:ascii="Times New Roman" w:cs="Times New Roman" w:eastAsia="Times New Roman" w:hAnsi="Times New Roman"/>
          <w:sz w:val="13"/>
          <w:szCs w:val="13"/>
          <w:color w:val="auto"/>
        </w:rPr>
        <w:t>Our charter authorizes our Board to classify and reclassify any unissued shares of stock into other classes or series of stock, including preferred stock. The cost of any such reclassification would be borne by our existing common stockholders. Prior to issuance of shares of each class or series, the Board is required by Maryland law and by our charter to set the terms, preferences, conversion or other rights, voting powers, restrictions, limitations as to distributions, qualifications and terms or conditions of redemption for each class or series. Thus, the Board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85" w:right="319" w:bottom="1440" w:gutter="0" w:footer="0" w:header="0"/>
        </w:sectPr>
      </w:pPr>
    </w:p>
    <w:bookmarkStart w:id="12" w:name="page13"/>
    <w:bookmarkEnd w:id="12"/>
    <w:p>
      <w:pPr>
        <w:jc w:val="both"/>
        <w:spacing w:after="0" w:line="267" w:lineRule="auto"/>
        <w:rPr>
          <w:sz w:val="20"/>
          <w:szCs w:val="20"/>
          <w:color w:val="auto"/>
        </w:rPr>
      </w:pPr>
      <w:r>
        <w:rPr>
          <w:rFonts w:ascii="Times New Roman" w:cs="Times New Roman" w:eastAsia="Times New Roman" w:hAnsi="Times New Roman"/>
          <w:sz w:val="13"/>
          <w:szCs w:val="13"/>
          <w:color w:val="auto"/>
        </w:rPr>
        <w:t>On August 20, 2025, the Company closed an offering of 2,000,000 depositary shares (the “Depositary Shares”), each representing a 1/40th interest in a share of the Series B Preferred Stock, with a liquidation preference of $1,000 per share (equivalent to $25.00 per Depositary Share). 50,000 shares of Series B Preferred Stock were issued in connection with offering. The Series B Preferred Stock pays (and the holders of the Depositary Shares correspondingly receive) a non-cumulative 8.500% per annum cash dividend (payable quarterly when, as and if declared by the Company’s Board, on January 1, April 1, July 1 and October 1 of each year) through October 1, 2030, at which time the dividend rate will reset based on the five-year US treasury rate on the relevant determination date plus a fixed spread and thereafter will reset on the fifth anniversary of the preceding reset date, with the dividend rate determined in the same manner.</w:t>
      </w:r>
    </w:p>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For more information on the preferred stock that we may offer, see “Description of our Preferred Stock”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Options and Restricted Stock</w:t>
      </w:r>
    </w:p>
    <w:p>
      <w:pPr>
        <w:spacing w:after="0" w:line="176" w:lineRule="exact"/>
        <w:rPr>
          <w:sz w:val="20"/>
          <w:szCs w:val="20"/>
          <w:color w:val="auto"/>
        </w:rPr>
      </w:pPr>
    </w:p>
    <w:p>
      <w:pPr>
        <w:ind w:firstLine="482"/>
        <w:spacing w:after="0" w:line="269" w:lineRule="auto"/>
        <w:rPr>
          <w:sz w:val="20"/>
          <w:szCs w:val="20"/>
          <w:color w:val="auto"/>
        </w:rPr>
      </w:pPr>
      <w:r>
        <w:rPr>
          <w:rFonts w:ascii="Times New Roman" w:cs="Times New Roman" w:eastAsia="Times New Roman" w:hAnsi="Times New Roman"/>
          <w:sz w:val="13"/>
          <w:szCs w:val="13"/>
          <w:color w:val="auto"/>
        </w:rPr>
        <w:t>From time to time, at the discretion of the Compensation, Corporate Governance and Nominating Committee of the Company’s Board of Directors, and pursuant to the terms of the Company stockholder approved 2023 Stock Incentive Plan, the Company intends to grant awards of shares of restricted common stock and stock options to the named executive officers and other employees to create a clear and strong alignment between compensation and stockholder return and to enable the named executive officers and other employees to develop and maintain a stock ownership position in the Company that will vest over time and act as an incentive for the employee to remain with the Company. See “Executive Compensation” in our most recent definitive proxy statement for a description of equity-based compensation.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Limitation on Liability of Directors and Officers; Indemnification and Advance of Expenses</w:t>
      </w:r>
    </w:p>
    <w:p>
      <w:pPr>
        <w:spacing w:after="0" w:line="176" w:lineRule="exact"/>
        <w:rPr>
          <w:sz w:val="20"/>
          <w:szCs w:val="20"/>
          <w:color w:val="auto"/>
        </w:rPr>
      </w:pPr>
    </w:p>
    <w:p>
      <w:pPr>
        <w:ind w:right="100" w:firstLine="482"/>
        <w:spacing w:after="0" w:line="276" w:lineRule="auto"/>
        <w:rPr>
          <w:sz w:val="20"/>
          <w:szCs w:val="20"/>
          <w:color w:val="auto"/>
        </w:rPr>
      </w:pPr>
      <w:r>
        <w:rPr>
          <w:rFonts w:ascii="Times New Roman" w:cs="Times New Roman" w:eastAsia="Times New Roman" w:hAnsi="Times New Roman"/>
          <w:sz w:val="13"/>
          <w:szCs w:val="13"/>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w:t>
      </w:r>
    </w:p>
    <w:p>
      <w:pPr>
        <w:spacing w:after="0" w:line="126" w:lineRule="exact"/>
        <w:rPr>
          <w:sz w:val="20"/>
          <w:szCs w:val="20"/>
          <w:color w:val="auto"/>
        </w:rPr>
      </w:pPr>
    </w:p>
    <w:p>
      <w:pPr>
        <w:ind w:right="20" w:firstLine="482"/>
        <w:spacing w:after="0" w:line="262" w:lineRule="auto"/>
        <w:rPr>
          <w:sz w:val="20"/>
          <w:szCs w:val="20"/>
          <w:color w:val="auto"/>
        </w:rPr>
      </w:pPr>
      <w:r>
        <w:rPr>
          <w:rFonts w:ascii="Times New Roman" w:cs="Times New Roman" w:eastAsia="Times New Roman" w:hAnsi="Times New Roman"/>
          <w:sz w:val="13"/>
          <w:szCs w:val="13"/>
          <w:color w:val="auto"/>
        </w:rPr>
        <w:t>Our charter authorizes us, to the maximum extent permitted by Maryland law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such capacity and to pay or reimburse their reasonable expenses in advance of final disposition of a proceeding. Our bylaws obligate us, to the maximum extent permitted by Maryland law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w:t>
      </w:r>
    </w:p>
    <w:p>
      <w:pPr>
        <w:spacing w:after="0" w:line="300" w:lineRule="exact"/>
        <w:rPr>
          <w:sz w:val="20"/>
          <w:szCs w:val="20"/>
          <w:color w:val="auto"/>
        </w:rPr>
      </w:pPr>
    </w:p>
    <w:p>
      <w:pPr>
        <w:ind w:firstLine="482"/>
        <w:spacing w:after="0" w:line="262" w:lineRule="auto"/>
        <w:rPr>
          <w:sz w:val="20"/>
          <w:szCs w:val="20"/>
          <w:color w:val="auto"/>
        </w:rPr>
      </w:pPr>
      <w:r>
        <w:rPr>
          <w:rFonts w:ascii="Times New Roman" w:cs="Times New Roman" w:eastAsia="Times New Roman" w:hAnsi="Times New Roman"/>
          <w:sz w:val="13"/>
          <w:szCs w:val="13"/>
          <w:color w:val="auto"/>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99"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color w:val="auto"/>
        </w:rPr>
        <w:t>and (b) a written undertaking by him or her or on his or her behalf to repay the amount paid or reimbursed by the corporation if it is ultimately determined that the standard of conduct was not met.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Certain Provisions of the Maryland General Corporation Law and Our Charter and Bylaws</w:t>
      </w:r>
    </w:p>
    <w:p>
      <w:pPr>
        <w:spacing w:after="0" w:line="176" w:lineRule="exact"/>
        <w:rPr>
          <w:sz w:val="20"/>
          <w:szCs w:val="20"/>
          <w:color w:val="auto"/>
        </w:rPr>
      </w:pPr>
    </w:p>
    <w:p>
      <w:pPr>
        <w:ind w:right="20" w:firstLine="482"/>
        <w:spacing w:after="0" w:line="270" w:lineRule="auto"/>
        <w:rPr>
          <w:sz w:val="20"/>
          <w:szCs w:val="20"/>
          <w:color w:val="auto"/>
        </w:rPr>
      </w:pPr>
      <w:r>
        <w:rPr>
          <w:rFonts w:ascii="Times New Roman" w:cs="Times New Roman" w:eastAsia="Times New Roman" w:hAnsi="Times New Roman"/>
          <w:sz w:val="13"/>
          <w:szCs w:val="13"/>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We believe that the benefits of these provisions outweigh the potential disadvantages of discouraging any such acquisition proposals because, among other things, the negotiation of such proposals may improve their terms.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Classified Board of Directors</w:t>
      </w:r>
    </w:p>
    <w:p>
      <w:pPr>
        <w:spacing w:after="0" w:line="176" w:lineRule="exact"/>
        <w:rPr>
          <w:sz w:val="20"/>
          <w:szCs w:val="20"/>
          <w:color w:val="auto"/>
        </w:rPr>
      </w:pPr>
    </w:p>
    <w:p>
      <w:pPr>
        <w:ind w:right="140" w:firstLine="482"/>
        <w:spacing w:after="0" w:line="270" w:lineRule="auto"/>
        <w:rPr>
          <w:sz w:val="20"/>
          <w:szCs w:val="20"/>
          <w:color w:val="auto"/>
        </w:rPr>
      </w:pPr>
      <w:r>
        <w:rPr>
          <w:rFonts w:ascii="Times New Roman" w:cs="Times New Roman" w:eastAsia="Times New Roman" w:hAnsi="Times New Roman"/>
          <w:sz w:val="13"/>
          <w:szCs w:val="13"/>
          <w:color w:val="auto"/>
        </w:rPr>
        <w:t>Our Board is divided into three classes of directors serving staggered three-year terms. The first class expires in 2027, the second class expires in 2028, and the third class expires in 2029. Upon expiration of their current terms, directors of each class will be elected to serve for three-year terms and until their successors are duly elected and qualify and each year one class of directors will be elected by the stockholders. Barry Sloane, Peter Downs and Thomas Cestare serve in Class I, with terms expiring at the 2027 Annual Meeting; Gregory Zink, Fernando Perez-Hickman and Halli Razon-Feingold serve in Class II, with terms expiring at the 2028 Annual Meeting; and Richard Salute and Craig “CJ” Brunet serve in Class III, with terms expiring at the 2029 Annual Meeting.</w:t>
      </w:r>
    </w:p>
    <w:p>
      <w:pPr>
        <w:spacing w:after="0" w:line="150" w:lineRule="exact"/>
        <w:rPr>
          <w:sz w:val="20"/>
          <w:szCs w:val="20"/>
          <w:color w:val="auto"/>
        </w:rPr>
      </w:pPr>
    </w:p>
    <w:p>
      <w:pPr>
        <w:ind w:right="220" w:firstLine="482"/>
        <w:spacing w:after="0" w:line="295" w:lineRule="auto"/>
        <w:rPr>
          <w:sz w:val="20"/>
          <w:szCs w:val="20"/>
          <w:color w:val="auto"/>
        </w:rPr>
      </w:pPr>
      <w:r>
        <w:rPr>
          <w:rFonts w:ascii="Times New Roman" w:cs="Times New Roman" w:eastAsia="Times New Roman" w:hAnsi="Times New Roman"/>
          <w:sz w:val="13"/>
          <w:szCs w:val="13"/>
          <w:color w:val="auto"/>
        </w:rPr>
        <w:t>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Election of Directors</w:t>
      </w:r>
    </w:p>
    <w:p>
      <w:pPr>
        <w:spacing w:after="0" w:line="176" w:lineRule="exact"/>
        <w:rPr>
          <w:sz w:val="20"/>
          <w:szCs w:val="20"/>
          <w:color w:val="auto"/>
        </w:rPr>
      </w:pPr>
    </w:p>
    <w:p>
      <w:pPr>
        <w:ind w:right="140" w:firstLine="482"/>
        <w:spacing w:after="0" w:line="295" w:lineRule="auto"/>
        <w:rPr>
          <w:sz w:val="20"/>
          <w:szCs w:val="20"/>
          <w:color w:val="auto"/>
        </w:rPr>
      </w:pPr>
      <w:r>
        <w:rPr>
          <w:rFonts w:ascii="Times New Roman" w:cs="Times New Roman" w:eastAsia="Times New Roman" w:hAnsi="Times New Roman"/>
          <w:sz w:val="13"/>
          <w:szCs w:val="13"/>
          <w:color w:val="auto"/>
        </w:rPr>
        <w:t>Our charter and bylaws provide that the affirmative vote of the holders of a plurality of the outstanding shares of stock entitled to vote in the election of directors cast at a meeting of stockholders duly called and at which a quorum is present will be required to elect a director. Pursuant to our charter our Board may amend the bylaws to alter the vote required to elect directors.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Number of Directors; Vacancies; Removal</w:t>
      </w:r>
    </w:p>
    <w:p>
      <w:pPr>
        <w:spacing w:after="0" w:line="176" w:lineRule="exact"/>
        <w:rPr>
          <w:sz w:val="20"/>
          <w:szCs w:val="20"/>
          <w:color w:val="auto"/>
        </w:rPr>
      </w:pPr>
    </w:p>
    <w:p>
      <w:pPr>
        <w:ind w:firstLine="482"/>
        <w:spacing w:after="0" w:line="265" w:lineRule="auto"/>
        <w:rPr>
          <w:sz w:val="20"/>
          <w:szCs w:val="20"/>
          <w:color w:val="auto"/>
        </w:rPr>
      </w:pPr>
      <w:r>
        <w:rPr>
          <w:rFonts w:ascii="Times New Roman" w:cs="Times New Roman" w:eastAsia="Times New Roman" w:hAnsi="Times New Roman"/>
          <w:sz w:val="13"/>
          <w:szCs w:val="13"/>
          <w:color w:val="auto"/>
        </w:rPr>
        <w:t>Our charter provides that the number of directors will be set only by the Board in accordance with our bylaws. Our bylaws provide that a majority of our entire Board may at any time increase or decrease the number of directors. However, unless our bylaws are amended, the number of directors may never be less than one nor more than twelve. Our charter provides that, at such time as we have at least three independent directors and our common stock is registered under the Securities Exchange Act of 1934, as amended (the “Exchange Act”), we elect to be subject to the provision of Subtitle 8 of Title 3 of the Maryland General Corporation Law regarding the filling of vacancies on the board of directors. Accordingly, at such time, except as may be provided by the Board in setting the terms of any class or series of preferred stock, any and all vacancies on the Board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w:t>
      </w:r>
    </w:p>
    <w:p>
      <w:pPr>
        <w:spacing w:after="0" w:line="133" w:lineRule="exact"/>
        <w:rPr>
          <w:sz w:val="20"/>
          <w:szCs w:val="20"/>
          <w:color w:val="auto"/>
        </w:rPr>
      </w:pPr>
    </w:p>
    <w:p>
      <w:pPr>
        <w:ind w:right="80" w:firstLine="482"/>
        <w:spacing w:after="0" w:line="295" w:lineRule="auto"/>
        <w:rPr>
          <w:sz w:val="20"/>
          <w:szCs w:val="20"/>
          <w:color w:val="auto"/>
        </w:rPr>
      </w:pPr>
      <w:r>
        <w:rPr>
          <w:rFonts w:ascii="Times New Roman" w:cs="Times New Roman" w:eastAsia="Times New Roman" w:hAnsi="Times New Roman"/>
          <w:sz w:val="13"/>
          <w:szCs w:val="13"/>
          <w:color w:val="auto"/>
        </w:rPr>
        <w:t>Our charter provides that a director may be removed only for cause, as defined in our charter, and then only by the affirmative vote of at least two-thirds of the votes entitled to be cast in the election of directors.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Action by Stockholders</w:t>
      </w:r>
    </w:p>
    <w:p>
      <w:pPr>
        <w:spacing w:after="0" w:line="176" w:lineRule="exact"/>
        <w:rPr>
          <w:sz w:val="20"/>
          <w:szCs w:val="20"/>
          <w:color w:val="auto"/>
        </w:rPr>
      </w:pPr>
    </w:p>
    <w:p>
      <w:pPr>
        <w:ind w:right="220" w:firstLine="482"/>
        <w:spacing w:after="0" w:line="276" w:lineRule="auto"/>
        <w:rPr>
          <w:sz w:val="20"/>
          <w:szCs w:val="20"/>
          <w:color w:val="auto"/>
        </w:rPr>
      </w:pPr>
      <w:r>
        <w:rPr>
          <w:rFonts w:ascii="Times New Roman" w:cs="Times New Roman" w:eastAsia="Times New Roman" w:hAnsi="Times New Roman"/>
          <w:sz w:val="13"/>
          <w:szCs w:val="13"/>
          <w:color w:val="auto"/>
        </w:rPr>
        <w:t>Under the Maryland General Corporation Law, stockholder action can be taken only at an annual or special meeting of stockholders or (unless the charter provides for stockholder action by less than unanimous written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99"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i w:val="1"/>
          <w:iCs w:val="1"/>
          <w:color w:val="auto"/>
        </w:rPr>
        <w:t>Advance Notice Provisions for Stockholder Nominations and Stockholder Proposals</w:t>
      </w:r>
    </w:p>
    <w:p>
      <w:pPr>
        <w:spacing w:after="0" w:line="176" w:lineRule="exact"/>
        <w:rPr>
          <w:sz w:val="20"/>
          <w:szCs w:val="20"/>
          <w:color w:val="auto"/>
        </w:rPr>
      </w:pPr>
    </w:p>
    <w:p>
      <w:pPr>
        <w:ind w:right="20" w:firstLine="482"/>
        <w:spacing w:after="0" w:line="267" w:lineRule="auto"/>
        <w:rPr>
          <w:sz w:val="20"/>
          <w:szCs w:val="20"/>
          <w:color w:val="auto"/>
        </w:rPr>
      </w:pPr>
      <w:r>
        <w:rPr>
          <w:rFonts w:ascii="Times New Roman" w:cs="Times New Roman" w:eastAsia="Times New Roman" w:hAnsi="Times New Roman"/>
          <w:sz w:val="13"/>
          <w:szCs w:val="13"/>
          <w:color w:val="auto"/>
        </w:rPr>
        <w:t>Our bylaws provide that with respect to an annual meeting of stockholders, nominations of persons for election to the Board and the proposal of business to be considered by stockholders may be made only (a) pursuant to our notice of the meeting, (b) by the Board or (c) by a stockholder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at a special meeting may be made only (1) pursuant to our notice of the meeting, (2) by the Board or (3) provided that the Board has determined that directors will be elected at the meeting, by a stockholder who is entitled to vote at the meeting and who has complied with the advance notice provisions of the bylaws.</w:t>
      </w:r>
    </w:p>
    <w:p>
      <w:pPr>
        <w:spacing w:after="0" w:line="132" w:lineRule="exact"/>
        <w:rPr>
          <w:sz w:val="20"/>
          <w:szCs w:val="20"/>
          <w:color w:val="auto"/>
        </w:rPr>
      </w:pPr>
    </w:p>
    <w:p>
      <w:pPr>
        <w:ind w:right="120" w:firstLine="482"/>
        <w:spacing w:after="0" w:line="265" w:lineRule="auto"/>
        <w:rPr>
          <w:sz w:val="20"/>
          <w:szCs w:val="20"/>
          <w:color w:val="auto"/>
        </w:rPr>
      </w:pPr>
      <w:r>
        <w:rPr>
          <w:rFonts w:ascii="Times New Roman" w:cs="Times New Roman" w:eastAsia="Times New Roman" w:hAnsi="Times New Roman"/>
          <w:sz w:val="13"/>
          <w:szCs w:val="13"/>
          <w:color w:val="auto"/>
        </w:rPr>
        <w:t>The purpose of requiring stockholders to give us advance notice of nominations and other business is to afford our Board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Although our bylaws do not give our Board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Calling of Special Meetings of Stockholders</w:t>
      </w:r>
    </w:p>
    <w:p>
      <w:pPr>
        <w:spacing w:after="0" w:line="176" w:lineRule="exact"/>
        <w:rPr>
          <w:sz w:val="20"/>
          <w:szCs w:val="20"/>
          <w:color w:val="auto"/>
        </w:rPr>
      </w:pPr>
    </w:p>
    <w:p>
      <w:pPr>
        <w:ind w:right="40" w:firstLine="482"/>
        <w:spacing w:after="0" w:line="276" w:lineRule="auto"/>
        <w:rPr>
          <w:sz w:val="20"/>
          <w:szCs w:val="20"/>
          <w:color w:val="auto"/>
        </w:rPr>
      </w:pPr>
      <w:r>
        <w:rPr>
          <w:rFonts w:ascii="Times New Roman" w:cs="Times New Roman" w:eastAsia="Times New Roman" w:hAnsi="Times New Roman"/>
          <w:sz w:val="13"/>
          <w:szCs w:val="13"/>
          <w:color w:val="auto"/>
        </w:rPr>
        <w:t>Our bylaws provide that special meetings of stockholders may be called by our Board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Approval of Extraordinary Corporate Action; Amendment of Charter and Bylaws</w:t>
      </w:r>
    </w:p>
    <w:p>
      <w:pPr>
        <w:spacing w:after="0" w:line="176" w:lineRule="exact"/>
        <w:rPr>
          <w:sz w:val="20"/>
          <w:szCs w:val="20"/>
          <w:color w:val="auto"/>
        </w:rPr>
      </w:pPr>
    </w:p>
    <w:p>
      <w:pPr>
        <w:ind w:firstLine="482"/>
        <w:spacing w:after="0" w:line="261" w:lineRule="auto"/>
        <w:rPr>
          <w:sz w:val="20"/>
          <w:szCs w:val="20"/>
          <w:color w:val="auto"/>
        </w:rPr>
      </w:pPr>
      <w:r>
        <w:rPr>
          <w:rFonts w:ascii="Times New Roman" w:cs="Times New Roman" w:eastAsia="Times New Roman" w:hAnsi="Times New Roman"/>
          <w:sz w:val="13"/>
          <w:szCs w:val="13"/>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stockholder approval of charter amendments (except that the stockholders shall not have the power to alter or repeal any provision of these Bylaws providing indemnification or advancement rights to any person) and extraordinary transactions by an affirmative vote of at least a majority of the stockholder votes entitled to be cast on the matter. Our charter also provides, among other things, that certain charter amendments and any proposal for our liquidation or dissolution requires the approval of the stockholders entitled to cast at least a majority of the votes entitled to be cast on such matter. However, if such amendment or proposal is approved by a majority of our continuing directors (in addition to approval by our Board), such amendment or proposal may be approved by a majority of the votes entitled to be cast on such a matter. The “continuing directors” are defined in our charter as (1) our current directors, (2) those directors whose nomination for election by the stockholders or whose election by the directors to fill vacancies is approved by a majority of our current directors then on the Board or (3) any successor directors whose nomination for election by the stockholders or whose election by the directors to fill vacancies is approved by a majority of continuing directors or the successor continuing directors then in office.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No Appraisal Rights</w:t>
      </w:r>
    </w:p>
    <w:p>
      <w:pPr>
        <w:spacing w:after="0" w:line="176" w:lineRule="exact"/>
        <w:rPr>
          <w:sz w:val="20"/>
          <w:szCs w:val="20"/>
          <w:color w:val="auto"/>
        </w:rPr>
      </w:pPr>
    </w:p>
    <w:p>
      <w:pPr>
        <w:ind w:right="100" w:firstLine="482"/>
        <w:spacing w:after="0" w:line="295" w:lineRule="auto"/>
        <w:rPr>
          <w:sz w:val="20"/>
          <w:szCs w:val="20"/>
          <w:color w:val="auto"/>
        </w:rPr>
      </w:pPr>
      <w:r>
        <w:rPr>
          <w:rFonts w:ascii="Times New Roman" w:cs="Times New Roman" w:eastAsia="Times New Roman" w:hAnsi="Times New Roman"/>
          <w:sz w:val="13"/>
          <w:szCs w:val="13"/>
          <w:color w:val="auto"/>
        </w:rPr>
        <w:t>Except with respect to appraisal rights arising in connection with the Control Share Act discussed below, as permitted by the Maryland General Corporation Law, our charter provides that stockholders will not be entitled to exercise appraisal rights unless a majority of the Board shall determine such rights apply.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Control Share Acquisitions</w:t>
      </w:r>
    </w:p>
    <w:p>
      <w:pPr>
        <w:spacing w:after="0" w:line="176" w:lineRule="exact"/>
        <w:rPr>
          <w:sz w:val="20"/>
          <w:szCs w:val="20"/>
          <w:color w:val="auto"/>
        </w:rPr>
      </w:pPr>
    </w:p>
    <w:p>
      <w:pPr>
        <w:ind w:right="160" w:firstLine="482"/>
        <w:spacing w:after="0" w:line="276" w:lineRule="auto"/>
        <w:rPr>
          <w:sz w:val="20"/>
          <w:szCs w:val="20"/>
          <w:color w:val="auto"/>
        </w:rPr>
      </w:pPr>
      <w:r>
        <w:rPr>
          <w:rFonts w:ascii="Times New Roman" w:cs="Times New Roman" w:eastAsia="Times New Roman" w:hAnsi="Times New Roman"/>
          <w:sz w:val="13"/>
          <w:szCs w:val="13"/>
          <w:color w:val="auto"/>
        </w:rPr>
        <w:t>The Maryland General Corporation Law provides that control shares of a Maryland corporation acquired in a control share acquisition have no voting rights except to the extent approved by a vote of two-thirds of the votes entitled to be cast on the matter (the “Control Share Act”). Shares owned by the acquirer, by officers or by directors who are employees of the corporation are excluded from shares entitled to vote on the matter. Control shares are voting shares of stock which, if</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95" w:right="319" w:bottom="1440" w:gutter="0" w:footer="0" w:header="0"/>
        </w:sectPr>
      </w:pPr>
    </w:p>
    <w:bookmarkStart w:id="15" w:name="page16"/>
    <w:bookmarkEnd w:id="15"/>
    <w:p>
      <w:pPr>
        <w:ind w:right="120"/>
        <w:spacing w:after="0" w:line="295" w:lineRule="auto"/>
        <w:rPr>
          <w:sz w:val="20"/>
          <w:szCs w:val="20"/>
          <w:color w:val="auto"/>
        </w:rPr>
      </w:pPr>
      <w:r>
        <w:rPr>
          <w:rFonts w:ascii="Times New Roman" w:cs="Times New Roman" w:eastAsia="Times New Roman" w:hAnsi="Times New Roman"/>
          <w:sz w:val="13"/>
          <w:szCs w:val="13"/>
          <w:color w:val="auto"/>
        </w:rPr>
        <w:t>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114" w:lineRule="exact"/>
        <w:rPr>
          <w:sz w:val="20"/>
          <w:szCs w:val="20"/>
          <w:color w:val="auto"/>
        </w:rPr>
      </w:pPr>
    </w:p>
    <w:p>
      <w:pPr>
        <w:ind w:left="480" w:hanging="239"/>
        <w:spacing w:after="0"/>
        <w:tabs>
          <w:tab w:leader="none" w:pos="480" w:val="left"/>
        </w:tabs>
        <w:numPr>
          <w:ilvl w:val="0"/>
          <w:numId w:val="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one-tenth or more but less than one-third;</w:t>
      </w:r>
    </w:p>
    <w:p>
      <w:pPr>
        <w:spacing w:after="0" w:line="17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one-third or more but less than a majority; or</w:t>
      </w:r>
    </w:p>
    <w:p>
      <w:pPr>
        <w:spacing w:after="0" w:line="17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 majority or more of all voting power.</w:t>
      </w:r>
    </w:p>
    <w:p>
      <w:pPr>
        <w:spacing w:after="0" w:line="172" w:lineRule="exact"/>
        <w:rPr>
          <w:sz w:val="20"/>
          <w:szCs w:val="20"/>
          <w:color w:val="auto"/>
        </w:rPr>
      </w:pPr>
    </w:p>
    <w:p>
      <w:pPr>
        <w:ind w:firstLine="482"/>
        <w:spacing w:after="0" w:line="295" w:lineRule="auto"/>
        <w:rPr>
          <w:sz w:val="20"/>
          <w:szCs w:val="20"/>
          <w:color w:val="auto"/>
        </w:rPr>
      </w:pPr>
      <w:r>
        <w:rPr>
          <w:rFonts w:ascii="Times New Roman" w:cs="Times New Roman" w:eastAsia="Times New Roman" w:hAnsi="Times New Roman"/>
          <w:sz w:val="13"/>
          <w:szCs w:val="13"/>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14" w:lineRule="exact"/>
        <w:rPr>
          <w:sz w:val="20"/>
          <w:szCs w:val="20"/>
          <w:color w:val="auto"/>
        </w:rPr>
      </w:pPr>
    </w:p>
    <w:p>
      <w:pPr>
        <w:ind w:right="120" w:firstLine="482"/>
        <w:spacing w:after="0" w:line="276" w:lineRule="auto"/>
        <w:rPr>
          <w:sz w:val="20"/>
          <w:szCs w:val="20"/>
          <w:color w:val="auto"/>
        </w:rPr>
      </w:pPr>
      <w:r>
        <w:rPr>
          <w:rFonts w:ascii="Times New Roman" w:cs="Times New Roman" w:eastAsia="Times New Roman" w:hAnsi="Times New Roman"/>
          <w:sz w:val="13"/>
          <w:szCs w:val="13"/>
          <w:color w:val="auto"/>
        </w:rPr>
        <w:t>A person who has made or proposes to make a control share acquisition may compel the Board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26" w:lineRule="exact"/>
        <w:rPr>
          <w:sz w:val="20"/>
          <w:szCs w:val="20"/>
          <w:color w:val="auto"/>
        </w:rPr>
      </w:pPr>
    </w:p>
    <w:p>
      <w:pPr>
        <w:ind w:right="60" w:firstLine="482"/>
        <w:spacing w:after="0" w:line="265" w:lineRule="auto"/>
        <w:rPr>
          <w:sz w:val="20"/>
          <w:szCs w:val="20"/>
          <w:color w:val="auto"/>
        </w:rPr>
      </w:pPr>
      <w:r>
        <w:rPr>
          <w:rFonts w:ascii="Times New Roman" w:cs="Times New Roman" w:eastAsia="Times New Roman" w:hAnsi="Times New Roman"/>
          <w:sz w:val="13"/>
          <w:szCs w:val="13"/>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33" w:lineRule="exact"/>
        <w:rPr>
          <w:sz w:val="20"/>
          <w:szCs w:val="20"/>
          <w:color w:val="auto"/>
        </w:rPr>
      </w:pPr>
    </w:p>
    <w:p>
      <w:pPr>
        <w:ind w:firstLine="482"/>
        <w:spacing w:after="0" w:line="276" w:lineRule="auto"/>
        <w:rPr>
          <w:sz w:val="20"/>
          <w:szCs w:val="20"/>
          <w:color w:val="auto"/>
        </w:rPr>
      </w:pPr>
      <w:r>
        <w:rPr>
          <w:rFonts w:ascii="Times New Roman" w:cs="Times New Roman" w:eastAsia="Times New Roman" w:hAnsi="Times New Roman"/>
          <w:sz w:val="13"/>
          <w:szCs w:val="13"/>
          <w:color w:val="auto"/>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Business Combinations</w:t>
      </w:r>
    </w:p>
    <w:p>
      <w:pPr>
        <w:spacing w:after="0" w:line="176" w:lineRule="exact"/>
        <w:rPr>
          <w:sz w:val="20"/>
          <w:szCs w:val="20"/>
          <w:color w:val="auto"/>
        </w:rPr>
      </w:pPr>
    </w:p>
    <w:p>
      <w:pPr>
        <w:jc w:val="both"/>
        <w:ind w:firstLine="482"/>
        <w:spacing w:after="0" w:line="276" w:lineRule="auto"/>
        <w:rPr>
          <w:sz w:val="20"/>
          <w:szCs w:val="20"/>
          <w:color w:val="auto"/>
        </w:rPr>
      </w:pPr>
      <w:r>
        <w:rPr>
          <w:rFonts w:ascii="Times New Roman" w:cs="Times New Roman" w:eastAsia="Times New Roman" w:hAnsi="Times New Roman"/>
          <w:sz w:val="13"/>
          <w:szCs w:val="13"/>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126" w:lineRule="exact"/>
        <w:rPr>
          <w:sz w:val="20"/>
          <w:szCs w:val="20"/>
          <w:color w:val="auto"/>
        </w:rPr>
      </w:pPr>
    </w:p>
    <w:p>
      <w:pPr>
        <w:ind w:left="480" w:hanging="239"/>
        <w:spacing w:after="0"/>
        <w:tabs>
          <w:tab w:leader="none" w:pos="480" w:val="left"/>
        </w:tabs>
        <w:numPr>
          <w:ilvl w:val="0"/>
          <w:numId w:val="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person who beneficially owns 10% or more of the voting power of the corporation’s outstanding voting stock; or</w:t>
      </w:r>
    </w:p>
    <w:p>
      <w:pPr>
        <w:spacing w:after="0" w:line="171" w:lineRule="exact"/>
        <w:rPr>
          <w:rFonts w:ascii="Times New Roman" w:cs="Times New Roman" w:eastAsia="Times New Roman" w:hAnsi="Times New Roman"/>
          <w:sz w:val="13"/>
          <w:szCs w:val="13"/>
          <w:color w:val="231F20"/>
        </w:rPr>
      </w:pPr>
    </w:p>
    <w:p>
      <w:pPr>
        <w:ind w:left="480" w:right="60" w:hanging="239"/>
        <w:spacing w:after="0" w:line="295" w:lineRule="auto"/>
        <w:tabs>
          <w:tab w:leader="none" w:pos="477" w:val="left"/>
        </w:tabs>
        <w:numPr>
          <w:ilvl w:val="0"/>
          <w:numId w:val="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14" w:lineRule="exact"/>
        <w:rPr>
          <w:sz w:val="20"/>
          <w:szCs w:val="20"/>
          <w:color w:val="auto"/>
        </w:rPr>
      </w:pPr>
    </w:p>
    <w:p>
      <w:pPr>
        <w:ind w:right="140" w:firstLine="482"/>
        <w:spacing w:after="0" w:line="288" w:lineRule="auto"/>
        <w:rPr>
          <w:sz w:val="20"/>
          <w:szCs w:val="20"/>
          <w:color w:val="auto"/>
        </w:rPr>
      </w:pPr>
      <w:r>
        <w:rPr>
          <w:rFonts w:ascii="Times New Roman" w:cs="Times New Roman" w:eastAsia="Times New Roman" w:hAnsi="Times New Roman"/>
          <w:sz w:val="13"/>
          <w:szCs w:val="13"/>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283" w:lineRule="exact"/>
        <w:rPr>
          <w:sz w:val="20"/>
          <w:szCs w:val="20"/>
          <w:color w:val="auto"/>
        </w:rPr>
      </w:pPr>
    </w:p>
    <w:p>
      <w:pPr>
        <w:ind w:right="140" w:firstLine="482"/>
        <w:spacing w:after="0" w:line="295" w:lineRule="auto"/>
        <w:rPr>
          <w:sz w:val="20"/>
          <w:szCs w:val="20"/>
          <w:color w:val="auto"/>
        </w:rPr>
      </w:pPr>
      <w:r>
        <w:rPr>
          <w:rFonts w:ascii="Times New Roman" w:cs="Times New Roman" w:eastAsia="Times New Roman" w:hAnsi="Times New Roman"/>
          <w:sz w:val="13"/>
          <w:szCs w:val="13"/>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114" w:lineRule="exact"/>
        <w:rPr>
          <w:sz w:val="20"/>
          <w:szCs w:val="20"/>
          <w:color w:val="auto"/>
        </w:rPr>
      </w:pPr>
    </w:p>
    <w:p>
      <w:pPr>
        <w:ind w:left="480" w:hanging="239"/>
        <w:spacing w:after="0"/>
        <w:tabs>
          <w:tab w:leader="none" w:pos="480" w:val="left"/>
        </w:tabs>
        <w:numPr>
          <w:ilvl w:val="0"/>
          <w:numId w:val="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80% of the votes entitled to be cast by holders of outstanding shares of voting stock of the corporation; and</w:t>
      </w:r>
    </w:p>
    <w:p>
      <w:pPr>
        <w:spacing w:after="0" w:line="200" w:lineRule="exact"/>
        <w:rPr>
          <w:rFonts w:ascii="Times New Roman" w:cs="Times New Roman" w:eastAsia="Times New Roman" w:hAnsi="Times New Roman"/>
          <w:sz w:val="13"/>
          <w:szCs w:val="13"/>
          <w:color w:val="231F20"/>
        </w:rPr>
      </w:pPr>
    </w:p>
    <w:p>
      <w:pPr>
        <w:spacing w:after="0" w:line="382" w:lineRule="exact"/>
        <w:rPr>
          <w:rFonts w:ascii="Times New Roman" w:cs="Times New Roman" w:eastAsia="Times New Roman" w:hAnsi="Times New Roman"/>
          <w:sz w:val="13"/>
          <w:szCs w:val="13"/>
          <w:color w:val="231F20"/>
        </w:rPr>
      </w:pPr>
    </w:p>
    <w:p>
      <w:pPr>
        <w:ind w:left="5580"/>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99" w:right="319" w:bottom="1440" w:gutter="0" w:footer="0" w:header="0"/>
        </w:sectPr>
      </w:pPr>
    </w:p>
    <w:bookmarkStart w:id="16" w:name="page17"/>
    <w:bookmarkEnd w:id="16"/>
    <w:p>
      <w:pPr>
        <w:ind w:left="480" w:hanging="239"/>
        <w:spacing w:after="0" w:line="295" w:lineRule="auto"/>
        <w:tabs>
          <w:tab w:leader="none" w:pos="477" w:val="left"/>
        </w:tabs>
        <w:numPr>
          <w:ilvl w:val="0"/>
          <w:numId w:val="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14" w:lineRule="exact"/>
        <w:rPr>
          <w:sz w:val="20"/>
          <w:szCs w:val="20"/>
          <w:color w:val="auto"/>
        </w:rPr>
      </w:pPr>
    </w:p>
    <w:p>
      <w:pPr>
        <w:ind w:right="200" w:firstLine="482"/>
        <w:spacing w:after="0" w:line="295" w:lineRule="auto"/>
        <w:rPr>
          <w:sz w:val="20"/>
          <w:szCs w:val="20"/>
          <w:color w:val="auto"/>
        </w:rPr>
      </w:pPr>
      <w:r>
        <w:rPr>
          <w:rFonts w:ascii="Times New Roman" w:cs="Times New Roman" w:eastAsia="Times New Roman" w:hAnsi="Times New Roman"/>
          <w:sz w:val="13"/>
          <w:szCs w:val="13"/>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14" w:lineRule="exact"/>
        <w:rPr>
          <w:sz w:val="20"/>
          <w:szCs w:val="20"/>
          <w:color w:val="auto"/>
        </w:rPr>
      </w:pPr>
    </w:p>
    <w:p>
      <w:pPr>
        <w:ind w:right="140" w:firstLine="482"/>
        <w:spacing w:after="0" w:line="267" w:lineRule="auto"/>
        <w:rPr>
          <w:sz w:val="20"/>
          <w:szCs w:val="20"/>
          <w:color w:val="auto"/>
        </w:rPr>
      </w:pPr>
      <w:r>
        <w:rPr>
          <w:rFonts w:ascii="Times New Roman" w:cs="Times New Roman" w:eastAsia="Times New Roman" w:hAnsi="Times New Roman"/>
          <w:sz w:val="13"/>
          <w:szCs w:val="13"/>
          <w:color w:val="auto"/>
        </w:rPr>
        <w:t>The statute permits various exemptions from its provisions, including business combinations that are exempted by the board of directors before the time that the interested stockholder becomes an interested stockholder. Our Board has adopted a resolution that any business combination between us and any other person is exempted from the provisions of the Business Combination Act, provided that the business combination is first approved by Board, including a majority of the directors who are not interested persons. This resolution may be altered or repealed in whole or in part at any time; however, our Board will adopt resolutions so as to make us subject to the provisions of the Business Combination Act only if the Board determines that it would be in our best interests. If this resolution is repealed, or the Board does not otherwise approve a business combination, the statute may discourage others from trying to acquire control of us and increase the difficulty of consummating any offer.</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40"/>
          </w:cols>
          <w:pgMar w:left="300" w:top="699" w:right="35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DESCRIPTION OF OUR PREFERRED STOCK</w:t>
      </w:r>
    </w:p>
    <w:p>
      <w:pPr>
        <w:spacing w:after="0" w:line="186" w:lineRule="exact"/>
        <w:rPr>
          <w:sz w:val="20"/>
          <w:szCs w:val="20"/>
          <w:color w:val="auto"/>
        </w:rPr>
      </w:pPr>
    </w:p>
    <w:p>
      <w:pPr>
        <w:ind w:right="40" w:firstLine="482"/>
        <w:spacing w:after="0" w:line="228" w:lineRule="auto"/>
        <w:rPr>
          <w:sz w:val="20"/>
          <w:szCs w:val="20"/>
          <w:color w:val="auto"/>
        </w:rPr>
      </w:pPr>
      <w:r>
        <w:rPr>
          <w:rFonts w:ascii="Times New Roman" w:cs="Times New Roman" w:eastAsia="Times New Roman" w:hAnsi="Times New Roman"/>
          <w:sz w:val="13"/>
          <w:szCs w:val="13"/>
          <w:color w:val="auto"/>
        </w:rPr>
        <w:t>In addition to shares of common stock, our charter authorizes the issuance of preferred stock. We may issue preferred stock from time to time. If we offer preferred stock under this prospectus, we will issue an appropriate prospectus supplement. We may issue preferred stock from time to time in one or more classes or series, without stockholder approval. Prior to issuance of shares of each class or series, our</w:t>
      </w:r>
    </w:p>
    <w:p>
      <w:pPr>
        <w:spacing w:after="0" w:line="1"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13"/>
          <w:szCs w:val="13"/>
          <w:color w:val="auto"/>
        </w:rPr>
        <w:t>Board is required by Maryland law and by our charter to set the terms, preferences, conversion or other rights, voting powers, restrictions, limitations as to dividends or other distributions, qualifications and terms or conditions of redemption for each class or series.</w:t>
      </w:r>
    </w:p>
    <w:p>
      <w:pPr>
        <w:spacing w:after="0" w:line="118" w:lineRule="exact"/>
        <w:rPr>
          <w:sz w:val="20"/>
          <w:szCs w:val="20"/>
          <w:color w:val="auto"/>
        </w:rPr>
      </w:pPr>
    </w:p>
    <w:p>
      <w:pPr>
        <w:ind w:firstLine="482"/>
        <w:spacing w:after="0" w:line="263" w:lineRule="auto"/>
        <w:rPr>
          <w:sz w:val="20"/>
          <w:szCs w:val="20"/>
          <w:color w:val="auto"/>
        </w:rPr>
      </w:pPr>
      <w:r>
        <w:rPr>
          <w:rFonts w:ascii="Times New Roman" w:cs="Times New Roman" w:eastAsia="Times New Roman" w:hAnsi="Times New Roman"/>
          <w:sz w:val="13"/>
          <w:szCs w:val="13"/>
          <w:color w:val="auto"/>
        </w:rPr>
        <w:t>The following is a general description of the terms of the preferred stock we may issue from time to time. Particular terms of any preferred stock we offer will be described in the prospectus supplement relating to such preferred stock.</w:t>
      </w:r>
    </w:p>
    <w:p>
      <w:pPr>
        <w:spacing w:after="0" w:line="104" w:lineRule="exact"/>
        <w:rPr>
          <w:sz w:val="20"/>
          <w:szCs w:val="20"/>
          <w:color w:val="auto"/>
        </w:rPr>
      </w:pPr>
    </w:p>
    <w:p>
      <w:pPr>
        <w:ind w:right="40" w:firstLine="482"/>
        <w:spacing w:after="0" w:line="247" w:lineRule="auto"/>
        <w:rPr>
          <w:sz w:val="20"/>
          <w:szCs w:val="20"/>
          <w:color w:val="auto"/>
        </w:rPr>
      </w:pPr>
      <w:r>
        <w:rPr>
          <w:rFonts w:ascii="Times New Roman" w:cs="Times New Roman" w:eastAsia="Times New Roman" w:hAnsi="Times New Roman"/>
          <w:sz w:val="13"/>
          <w:szCs w:val="13"/>
          <w:color w:val="auto"/>
        </w:rPr>
        <w:t>If we issue preferred stock, it will pay dividends to the holders of the preferred stock at either a fixed rate or a rate that will be reset frequently based on short-term interest rates, or as otherwise may be described in a prospectus supplement accompanying each offering of preferred stock.</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For any series of preferred stock that we may issue, our Board will determine and the articles supplementary and prospectus supplement relating to such series will describe:</w:t>
      </w:r>
    </w:p>
    <w:p>
      <w:pPr>
        <w:spacing w:after="0" w:line="141" w:lineRule="exact"/>
        <w:rPr>
          <w:sz w:val="20"/>
          <w:szCs w:val="20"/>
          <w:color w:val="auto"/>
        </w:rPr>
      </w:pPr>
    </w:p>
    <w:p>
      <w:pPr>
        <w:ind w:left="480" w:hanging="239"/>
        <w:spacing w:after="0"/>
        <w:tabs>
          <w:tab w:leader="none" w:pos="480" w:val="left"/>
        </w:tabs>
        <w:numPr>
          <w:ilvl w:val="0"/>
          <w:numId w:val="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designation and number of shares of such series;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rate, whether fixed or variable, and time at which any dividends will be paid on shares of such series, as well as whether such dividends are participating or non-participating;</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provisions relating to convertibility or exchangeability of the shares of such series;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rights and preferences, if any, of holders of shares of such series upon our liquidation, dissolution or winding up of our affairs;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voting powers, if any, of the holders of shares of such series;</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provisions relating to the redemption of the shares of such series;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limitations on our ability to pay dividends or make distributions on, or acquire or redeem, other securities while shares of such series are outstanding;</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conditions or restrictions on our ability to issue additional shares of such series or other securities;</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if applicable, a discussion of certain U.S. federal income tax considerations; and</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other relative powers, preferences and participating, optional or special rights of shares of such series, and the qualifications, limitations or restrictions thereof.</w:t>
      </w:r>
    </w:p>
    <w:p>
      <w:pPr>
        <w:spacing w:after="0" w:line="141" w:lineRule="exact"/>
        <w:rPr>
          <w:sz w:val="20"/>
          <w:szCs w:val="20"/>
          <w:color w:val="auto"/>
        </w:rPr>
      </w:pPr>
    </w:p>
    <w:p>
      <w:pPr>
        <w:ind w:firstLine="482"/>
        <w:spacing w:after="0" w:line="263" w:lineRule="auto"/>
        <w:rPr>
          <w:sz w:val="20"/>
          <w:szCs w:val="20"/>
          <w:color w:val="auto"/>
        </w:rPr>
      </w:pPr>
      <w:r>
        <w:rPr>
          <w:rFonts w:ascii="Times New Roman" w:cs="Times New Roman" w:eastAsia="Times New Roman" w:hAnsi="Times New Roman"/>
          <w:sz w:val="13"/>
          <w:szCs w:val="13"/>
          <w:color w:val="auto"/>
        </w:rPr>
        <w:t>All shares of preferred stock that we may issue will be identical and of equal rank except as to the particular terms thereof that may be fixed by our Board, and all shares of each series of preferred stock will be identical and of equal rank except as to the dates from which dividends, if any, thereon will be cumulative.</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40"/>
          </w:cols>
          <w:pgMar w:left="300" w:top="1036" w:right="35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DESCRIPTION OF OUR DEPOSITARY SHARES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27" w:lineRule="exact"/>
        <w:rPr>
          <w:sz w:val="20"/>
          <w:szCs w:val="20"/>
          <w:color w:val="auto"/>
        </w:rPr>
      </w:pPr>
    </w:p>
    <w:p>
      <w:pPr>
        <w:ind w:right="20" w:firstLine="482"/>
        <w:spacing w:after="0" w:line="263" w:lineRule="auto"/>
        <w:rPr>
          <w:sz w:val="20"/>
          <w:szCs w:val="20"/>
          <w:color w:val="auto"/>
        </w:rPr>
      </w:pPr>
      <w:r>
        <w:rPr>
          <w:rFonts w:ascii="Times New Roman" w:cs="Times New Roman" w:eastAsia="Times New Roman" w:hAnsi="Times New Roman"/>
          <w:sz w:val="13"/>
          <w:szCs w:val="13"/>
          <w:color w:val="auto"/>
        </w:rPr>
        <w:t>We may, at our option, elect to offer fractional shares of preferred stock, rather than full shares of preferred stock. In such event, we will issue receipts for depositary shares, each of which will represent a fraction of a share of a particular series of preferred stock.</w:t>
      </w:r>
    </w:p>
    <w:p>
      <w:pPr>
        <w:spacing w:after="0" w:line="104" w:lineRule="exact"/>
        <w:rPr>
          <w:sz w:val="20"/>
          <w:szCs w:val="20"/>
          <w:color w:val="auto"/>
        </w:rPr>
      </w:pPr>
    </w:p>
    <w:p>
      <w:pPr>
        <w:ind w:right="80" w:firstLine="482"/>
        <w:spacing w:after="0" w:line="228" w:lineRule="auto"/>
        <w:rPr>
          <w:sz w:val="20"/>
          <w:szCs w:val="20"/>
          <w:color w:val="auto"/>
        </w:rPr>
      </w:pPr>
      <w:r>
        <w:rPr>
          <w:rFonts w:ascii="Times New Roman" w:cs="Times New Roman" w:eastAsia="Times New Roman" w:hAnsi="Times New Roman"/>
          <w:sz w:val="13"/>
          <w:szCs w:val="13"/>
          <w:color w:val="auto"/>
        </w:rPr>
        <w:t>The shares of any series of preferred stock represented by depositary shares will be deposited under a deposit agreement between us and the depositary we select. Each owner of a depositary share will be entitled to all the rights and preferences of the underlying preferred stock, including any dividend, voting, redemption, conversion and liquidation rights described in the particular prospectus supplement,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proportion to the applicable fraction of a share of preferred stock represented by such depositary share.</w:t>
      </w:r>
    </w:p>
    <w:p>
      <w:pPr>
        <w:spacing w:after="0" w:line="127" w:lineRule="exact"/>
        <w:rPr>
          <w:sz w:val="20"/>
          <w:szCs w:val="20"/>
          <w:color w:val="auto"/>
        </w:rPr>
      </w:pPr>
    </w:p>
    <w:p>
      <w:pPr>
        <w:ind w:right="340" w:firstLine="482"/>
        <w:spacing w:after="0" w:line="247" w:lineRule="auto"/>
        <w:rPr>
          <w:sz w:val="20"/>
          <w:szCs w:val="20"/>
          <w:color w:val="auto"/>
        </w:rPr>
      </w:pPr>
      <w:r>
        <w:rPr>
          <w:rFonts w:ascii="Times New Roman" w:cs="Times New Roman" w:eastAsia="Times New Roman" w:hAnsi="Times New Roman"/>
          <w:sz w:val="13"/>
          <w:szCs w:val="13"/>
          <w:color w:val="auto"/>
        </w:rPr>
        <w:t>The depositary shares will be evidenced by depositary receipts issued pursuant to the deposit agreement. Depositary receipts will be distributed to those persons purchasing the fractional shares of preferred stock in accordance with the terms of the applicable prospectus supplement.</w:t>
      </w:r>
    </w:p>
    <w:p>
      <w:pPr>
        <w:spacing w:after="0" w:line="124" w:lineRule="exact"/>
        <w:rPr>
          <w:sz w:val="20"/>
          <w:szCs w:val="20"/>
          <w:color w:val="auto"/>
        </w:rPr>
      </w:pPr>
    </w:p>
    <w:p>
      <w:pPr>
        <w:ind w:right="300" w:firstLine="482"/>
        <w:spacing w:after="0" w:line="247" w:lineRule="auto"/>
        <w:rPr>
          <w:sz w:val="20"/>
          <w:szCs w:val="20"/>
          <w:color w:val="auto"/>
        </w:rPr>
      </w:pPr>
      <w:r>
        <w:rPr>
          <w:rFonts w:ascii="Times New Roman" w:cs="Times New Roman" w:eastAsia="Times New Roman" w:hAnsi="Times New Roman"/>
          <w:sz w:val="13"/>
          <w:szCs w:val="13"/>
          <w:color w:val="auto"/>
        </w:rPr>
        <w:t>Set forth below is a summary of the general terms and conditions expect to be included in any deposit agreement with respect to the depositary shares, however specific terms and conditions of the deposit agreement related to the depositary shares will be further described in the particular prospectus supplement.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Dividends and Other Distributions</w:t>
      </w:r>
    </w:p>
    <w:p>
      <w:pPr>
        <w:spacing w:after="0" w:line="156" w:lineRule="exact"/>
        <w:rPr>
          <w:sz w:val="20"/>
          <w:szCs w:val="20"/>
          <w:color w:val="auto"/>
        </w:rPr>
      </w:pPr>
    </w:p>
    <w:p>
      <w:pPr>
        <w:ind w:right="160" w:firstLine="482"/>
        <w:spacing w:after="0" w:line="247" w:lineRule="auto"/>
        <w:rPr>
          <w:sz w:val="20"/>
          <w:szCs w:val="20"/>
          <w:color w:val="auto"/>
        </w:rPr>
      </w:pPr>
      <w:r>
        <w:rPr>
          <w:rFonts w:ascii="Times New Roman" w:cs="Times New Roman" w:eastAsia="Times New Roman" w:hAnsi="Times New Roman"/>
          <w:sz w:val="13"/>
          <w:szCs w:val="13"/>
          <w:color w:val="auto"/>
        </w:rPr>
        <w:t>The preferred stock depositary will distribute all cash dividends or other cash distributions received in respect of the deposited preferred stock to the record holders of depositary shares relating to the preferred stock in proportion to the number of depositary shares owned by the holders.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In the case of a distribution other than in cash, the preferred stock depositary will distribute any property received by it other than cash to the record holders of depositary shares entitled to receive it. If</w:t>
      </w:r>
    </w:p>
    <w:p>
      <w:pPr>
        <w:spacing w:after="0" w:line="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3"/>
          <w:szCs w:val="13"/>
          <w:color w:val="auto"/>
        </w:rPr>
        <w:t>the preferred stock depositary determines that it is not feasible to make such a distribution, it may, with our approval, sell the property and distribute the net proceeds from the sale to the holders of the depositary shares.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amounts distributed in any such distribution, whether in cash or otherwise, will be reduced by any amount required to be withheld by us or the preferred stock depositary on account of taxes.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Redemption, Conversion and Exchange of Preferred Stock</w:t>
      </w:r>
    </w:p>
    <w:p>
      <w:pPr>
        <w:spacing w:after="0" w:line="145" w:lineRule="exact"/>
        <w:rPr>
          <w:sz w:val="20"/>
          <w:szCs w:val="20"/>
          <w:color w:val="auto"/>
        </w:rPr>
      </w:pPr>
    </w:p>
    <w:p>
      <w:pPr>
        <w:ind w:right="120" w:firstLine="482"/>
        <w:spacing w:after="0" w:line="228" w:lineRule="auto"/>
        <w:rPr>
          <w:sz w:val="20"/>
          <w:szCs w:val="20"/>
          <w:color w:val="auto"/>
        </w:rPr>
      </w:pPr>
      <w:r>
        <w:rPr>
          <w:rFonts w:ascii="Times New Roman" w:cs="Times New Roman" w:eastAsia="Times New Roman" w:hAnsi="Times New Roman"/>
          <w:sz w:val="13"/>
          <w:szCs w:val="13"/>
          <w:color w:val="auto"/>
        </w:rPr>
        <w:t>If a series of preferred stock represented by depositary shares is to be redeemed, the depositary shares will be redeemed from the proceeds received by the preferred stock depositary resulting from the redemption, in whole or in part, of that series of preferred stock. The depositary shares will be redeemed by the preferred stock depositary at a price per depositary share equal to the applicable fraction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redemption price per share payable in respect of the shares of preferred stock redeemed.</w:t>
      </w:r>
    </w:p>
    <w:p>
      <w:pPr>
        <w:spacing w:after="0" w:line="127" w:lineRule="exact"/>
        <w:rPr>
          <w:sz w:val="20"/>
          <w:szCs w:val="20"/>
          <w:color w:val="auto"/>
        </w:rPr>
      </w:pPr>
    </w:p>
    <w:p>
      <w:pPr>
        <w:ind w:right="20" w:firstLine="482"/>
        <w:spacing w:after="0" w:line="228" w:lineRule="auto"/>
        <w:rPr>
          <w:sz w:val="20"/>
          <w:szCs w:val="20"/>
          <w:color w:val="auto"/>
        </w:rPr>
      </w:pPr>
      <w:r>
        <w:rPr>
          <w:rFonts w:ascii="Times New Roman" w:cs="Times New Roman" w:eastAsia="Times New Roman" w:hAnsi="Times New Roman"/>
          <w:sz w:val="13"/>
          <w:szCs w:val="13"/>
          <w:color w:val="auto"/>
        </w:rPr>
        <w:t>Whenever we redeem shares of preferred stock held by the preferred stock depositary, the preferred stock depositary will redeem as of the same date the number of depositary shares representing shares of preferred stock redeemed. If fewer than all the depositary shares are to be redeemed, the depositary shares to be redeemed will be selected by the preferred stock depositary by lot or ratably or by any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equitable method, in each case as we may determine.</w:t>
      </w:r>
    </w:p>
    <w:p>
      <w:pPr>
        <w:spacing w:after="0" w:line="127" w:lineRule="exact"/>
        <w:rPr>
          <w:sz w:val="20"/>
          <w:szCs w:val="20"/>
          <w:color w:val="auto"/>
        </w:rPr>
      </w:pPr>
    </w:p>
    <w:p>
      <w:pPr>
        <w:ind w:right="100" w:firstLine="482"/>
        <w:spacing w:after="0" w:line="247" w:lineRule="auto"/>
        <w:rPr>
          <w:sz w:val="20"/>
          <w:szCs w:val="20"/>
          <w:color w:val="auto"/>
        </w:rPr>
      </w:pPr>
      <w:r>
        <w:rPr>
          <w:rFonts w:ascii="Times New Roman" w:cs="Times New Roman" w:eastAsia="Times New Roman" w:hAnsi="Times New Roman"/>
          <w:sz w:val="13"/>
          <w:szCs w:val="13"/>
          <w:color w:val="auto"/>
        </w:rPr>
        <w:t>If a series of preferred stock represented by depositary shares is to be converted or exchanged, the holder of depositary receipts representing the shares of preferred stock being converted or exchanged will have the right or obligation to convert or exchange the depositary shares evidenced by the depositary receipts.</w:t>
      </w:r>
    </w:p>
    <w:p>
      <w:pPr>
        <w:spacing w:after="0" w:line="124" w:lineRule="exact"/>
        <w:rPr>
          <w:sz w:val="20"/>
          <w:szCs w:val="20"/>
          <w:color w:val="auto"/>
        </w:rPr>
      </w:pPr>
    </w:p>
    <w:p>
      <w:pPr>
        <w:ind w:right="480" w:firstLine="482"/>
        <w:spacing w:after="0" w:line="247" w:lineRule="auto"/>
        <w:rPr>
          <w:sz w:val="20"/>
          <w:szCs w:val="20"/>
          <w:color w:val="auto"/>
        </w:rPr>
      </w:pPr>
      <w:r>
        <w:rPr>
          <w:rFonts w:ascii="Times New Roman" w:cs="Times New Roman" w:eastAsia="Times New Roman" w:hAnsi="Times New Roman"/>
          <w:sz w:val="13"/>
          <w:szCs w:val="13"/>
          <w:color w:val="auto"/>
        </w:rPr>
        <w:t>After the redemption, conversion or exchange date, the depositary shares called for redemption, conversion or exchange will no longer be outstanding. When the depositary shares are no longer outstanding, all rights of the holders will end, except the right to receive money, securities or other property payable upon redemption, conversion or exchange.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Voting Deposited Preferred Stock</w:t>
      </w:r>
    </w:p>
    <w:p>
      <w:pPr>
        <w:spacing w:after="0" w:line="156" w:lineRule="exact"/>
        <w:rPr>
          <w:sz w:val="20"/>
          <w:szCs w:val="20"/>
          <w:color w:val="auto"/>
        </w:rPr>
      </w:pPr>
    </w:p>
    <w:p>
      <w:pPr>
        <w:ind w:right="40" w:firstLine="482"/>
        <w:spacing w:after="0" w:line="222" w:lineRule="auto"/>
        <w:rPr>
          <w:sz w:val="20"/>
          <w:szCs w:val="20"/>
          <w:color w:val="auto"/>
        </w:rPr>
      </w:pPr>
      <w:r>
        <w:rPr>
          <w:rFonts w:ascii="Times New Roman" w:cs="Times New Roman" w:eastAsia="Times New Roman" w:hAnsi="Times New Roman"/>
          <w:sz w:val="13"/>
          <w:szCs w:val="13"/>
          <w:color w:val="auto"/>
        </w:rPr>
        <w:t>Upon receipt of notice of any meeting at which the holders of any series of deposited preferred stock are entitled to vote, the preferred stock depositary will mail the information contained in the notice of meeting to the record holders of the depositary receipts evidencing the depositary shares relating to that series of preferred stock. Each record holder of the depositary receipts on the record date will be entitled to instruct the preferred stock depositary to vote the amount of the preferred stock represented by the holder’s depositary shares. The preferred stock depositary will try, if practical, to vote the amount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such series of preferred stock represented by such depositary shares in accordance with such instructions.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60"/>
          </w:cols>
          <w:pgMar w:left="300" w:top="1036" w:right="339" w:bottom="1440" w:gutter="0" w:footer="0" w:header="0"/>
        </w:sectPr>
      </w:pPr>
    </w:p>
    <w:bookmarkStart w:id="19" w:name="page20"/>
    <w:bookmarkEnd w:id="19"/>
    <w:p>
      <w:pPr>
        <w:ind w:right="20" w:firstLine="482"/>
        <w:spacing w:after="0" w:line="247" w:lineRule="auto"/>
        <w:rPr>
          <w:sz w:val="20"/>
          <w:szCs w:val="20"/>
          <w:color w:val="auto"/>
        </w:rPr>
      </w:pPr>
      <w:r>
        <w:rPr>
          <w:rFonts w:ascii="Times New Roman" w:cs="Times New Roman" w:eastAsia="Times New Roman" w:hAnsi="Times New Roman"/>
          <w:sz w:val="13"/>
          <w:szCs w:val="13"/>
          <w:color w:val="auto"/>
        </w:rPr>
        <w:t>We will agree to take all reasonable actions that the preferred stock depositary determines are necessary to enable the preferred stock depositary to vote as instructed. The preferred stock depositary will abstain from voting shares of any series of preferred stock held by it for which it does not receive specific instructions from the holders of depositary shares representing those preferred shares.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Charges of Preferred Stock Depositary; Taxes and Other Governmental Charges</w:t>
      </w:r>
    </w:p>
    <w:p>
      <w:pPr>
        <w:spacing w:after="0" w:line="145" w:lineRule="exact"/>
        <w:rPr>
          <w:sz w:val="20"/>
          <w:szCs w:val="20"/>
          <w:color w:val="auto"/>
        </w:rPr>
      </w:pPr>
    </w:p>
    <w:p>
      <w:pPr>
        <w:ind w:right="380" w:firstLine="482"/>
        <w:spacing w:after="0" w:line="228" w:lineRule="auto"/>
        <w:rPr>
          <w:sz w:val="20"/>
          <w:szCs w:val="20"/>
          <w:color w:val="auto"/>
        </w:rPr>
      </w:pPr>
      <w:r>
        <w:rPr>
          <w:rFonts w:ascii="Times New Roman" w:cs="Times New Roman" w:eastAsia="Times New Roman" w:hAnsi="Times New Roman"/>
          <w:sz w:val="13"/>
          <w:szCs w:val="13"/>
          <w:color w:val="auto"/>
        </w:rPr>
        <w:t>We will pay all transfer and other taxes and governmental charges arising solely from the existence of the depositary arrangements. We also will pay charges of the preferred stock depositary in connection with the initial deposit of preferred stock and any redemption of preferred stock. Holders of depositary receipts will pay other transfer and other taxes and governmental charges and such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charges, including a fee for the withdrawal of shares of preferred stock upon surrender of depositary receipts, as are expressly provided in the deposit agreement to be for their accounts.</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Prospective purchasers of depositary shares should be aware that special tax, accounting and other issues may be applicable to instruments such as depositary shares.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Resignation and Removal of Depositary</w:t>
      </w:r>
    </w:p>
    <w:p>
      <w:pPr>
        <w:spacing w:after="0" w:line="156" w:lineRule="exact"/>
        <w:rPr>
          <w:sz w:val="20"/>
          <w:szCs w:val="20"/>
          <w:color w:val="auto"/>
        </w:rPr>
      </w:pPr>
    </w:p>
    <w:p>
      <w:pPr>
        <w:ind w:right="20" w:firstLine="482"/>
        <w:spacing w:after="0" w:line="232" w:lineRule="auto"/>
        <w:rPr>
          <w:sz w:val="20"/>
          <w:szCs w:val="20"/>
          <w:color w:val="auto"/>
        </w:rPr>
      </w:pPr>
      <w:r>
        <w:rPr>
          <w:rFonts w:ascii="Times New Roman" w:cs="Times New Roman" w:eastAsia="Times New Roman" w:hAnsi="Times New Roman"/>
          <w:sz w:val="13"/>
          <w:szCs w:val="13"/>
          <w:color w:val="auto"/>
        </w:rPr>
        <w:t>Following its appointment, the deposit agreement may provide that the preferred stock depositary may resign at any time by delivering to us notice of its intent to do so, and we may at any time remove the preferred stock depositary, any such resignation or removal to take effect upon the appointment of a successor preferred stock depositary meeting the requirements specified in the deposit agreement and its acceptance of such appointment.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45" w:lineRule="exact"/>
        <w:rPr>
          <w:sz w:val="20"/>
          <w:szCs w:val="20"/>
          <w:color w:val="auto"/>
        </w:rPr>
      </w:pPr>
    </w:p>
    <w:p>
      <w:pPr>
        <w:jc w:val="both"/>
        <w:ind w:right="20" w:firstLine="482"/>
        <w:spacing w:after="0" w:line="247" w:lineRule="auto"/>
        <w:rPr>
          <w:sz w:val="20"/>
          <w:szCs w:val="20"/>
          <w:color w:val="auto"/>
        </w:rPr>
      </w:pPr>
      <w:r>
        <w:rPr>
          <w:rFonts w:ascii="Times New Roman" w:cs="Times New Roman" w:eastAsia="Times New Roman" w:hAnsi="Times New Roman"/>
          <w:sz w:val="13"/>
          <w:szCs w:val="13"/>
          <w:color w:val="auto"/>
        </w:rPr>
        <w:t>The preferred stock depositary will forward all reports and communications from us that are delivered to the preferred stock depositary and that we are required to furnish to the holders of the deposited preferred stock.</w:t>
      </w:r>
    </w:p>
    <w:p>
      <w:pPr>
        <w:spacing w:after="0" w:line="124" w:lineRule="exact"/>
        <w:rPr>
          <w:sz w:val="20"/>
          <w:szCs w:val="20"/>
          <w:color w:val="auto"/>
        </w:rPr>
      </w:pPr>
    </w:p>
    <w:p>
      <w:pPr>
        <w:jc w:val="both"/>
        <w:ind w:firstLine="482"/>
        <w:spacing w:after="0" w:line="222" w:lineRule="auto"/>
        <w:rPr>
          <w:sz w:val="20"/>
          <w:szCs w:val="20"/>
          <w:color w:val="auto"/>
        </w:rPr>
      </w:pPr>
      <w:r>
        <w:rPr>
          <w:rFonts w:ascii="Times New Roman" w:cs="Times New Roman" w:eastAsia="Times New Roman" w:hAnsi="Times New Roman"/>
          <w:sz w:val="13"/>
          <w:szCs w:val="13"/>
          <w:color w:val="auto"/>
        </w:rPr>
        <w:t>Neither we nor the preferred stock depositary will be liable if we are or the preferred stock depositary is prevented or delayed by law or any circumstances beyond our or its control in performing our or its obligations under the deposit agreement. Our obligations and the obligations of the preferred stock depositary under the deposit agreement will be limited to performance in good faith of the duties under the deposit agreement and we and the preferred stock depositary will not be obligated to prosecute or defend any legal proceeding in respect of any depositary shares, depositary receipts or shares of preferred stock</w:t>
      </w:r>
    </w:p>
    <w:p>
      <w:pPr>
        <w:spacing w:after="0" w:line="1"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3"/>
          <w:szCs w:val="13"/>
          <w:color w:val="auto"/>
        </w:rPr>
        <w:t>unless satisfactory indemnity is furnished. We and the preferred stock depositary may rely upon written advice of counsel or accountants, or upon information provided by holders of depositary receipts or other persons believed to be competent and on documents believed to be genuine.</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40"/>
          </w:cols>
          <w:pgMar w:left="300" w:top="689" w:right="3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OUR SUBSCRIPTION RIGHTS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56" w:lineRule="exact"/>
        <w:rPr>
          <w:sz w:val="20"/>
          <w:szCs w:val="20"/>
          <w:color w:val="auto"/>
        </w:rPr>
      </w:pPr>
    </w:p>
    <w:p>
      <w:pPr>
        <w:jc w:val="both"/>
        <w:ind w:right="40" w:firstLine="482"/>
        <w:spacing w:after="0" w:line="232" w:lineRule="auto"/>
        <w:rPr>
          <w:sz w:val="20"/>
          <w:szCs w:val="20"/>
          <w:color w:val="auto"/>
        </w:rPr>
      </w:pPr>
      <w:r>
        <w:rPr>
          <w:rFonts w:ascii="Times New Roman" w:cs="Times New Roman" w:eastAsia="Times New Roman" w:hAnsi="Times New Roman"/>
          <w:sz w:val="13"/>
          <w:szCs w:val="13"/>
          <w:color w:val="auto"/>
        </w:rPr>
        <w:t>We may issue subscription rights to our stockholders to purchase common stock or our other securities.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applicable prospectus supplement would describe the following terms of subscription rights in respect of which this prospectus is being delivered:</w:t>
      </w:r>
    </w:p>
    <w:p>
      <w:pPr>
        <w:spacing w:after="0" w:line="141" w:lineRule="exact"/>
        <w:rPr>
          <w:sz w:val="20"/>
          <w:szCs w:val="20"/>
          <w:color w:val="auto"/>
        </w:rPr>
      </w:pPr>
    </w:p>
    <w:p>
      <w:pPr>
        <w:ind w:left="480" w:right="300" w:hanging="239"/>
        <w:spacing w:after="0" w:line="247" w:lineRule="auto"/>
        <w:tabs>
          <w:tab w:leader="none" w:pos="477" w:val="left"/>
        </w:tabs>
        <w:numPr>
          <w:ilvl w:val="0"/>
          <w:numId w:val="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period of time the offering would remain open (which shall be open a minimum number of days such that all record holders would be eligible to participate in the offering and shall not be open longer than 120 days);</w:t>
      </w:r>
    </w:p>
    <w:p>
      <w:pPr>
        <w:spacing w:after="0" w:line="123"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title of such subscription rights;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exercise price for such subscription rights (or method of calculation thereof);</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ratio of the offering (which, in the case of transferable rights, may require a minimum number of shares to be held of record before a person is entitled to purchase an additional share);</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number of such subscription rights issued to each stockholder;</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extent to which such subscription rights are transferable and the market on which they may be traded if they are transferable;</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if applicable, a discussion of certain U.S. federal income tax considerations applicable to the issuance or exercise of such subscription rights;</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date on which the right to exercise such subscription rights shall commence, and the date on which such right shall expire (subject to any extension);</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extent to which such subscription rights include an over-subscription privilege with respect to unsubscribed securities and the terms of such over-subscription privilege;</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termination right we may have in connection with such subscription rights offering; and</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other terms of such subscription rights, including exercise, settlement and other procedures and limitations relating to the transfer and exercise of such subscription rights.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Exercise of Subscription Rights</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Each subscription right would entitle the holder of the subscription right to purchase for cash such amount of shares of common stock or other securities at such exercise price as shall in each case be set</w:t>
      </w:r>
    </w:p>
    <w:p>
      <w:pPr>
        <w:spacing w:after="0" w:line="5" w:lineRule="exact"/>
        <w:rPr>
          <w:sz w:val="20"/>
          <w:szCs w:val="20"/>
          <w:color w:val="auto"/>
        </w:rPr>
      </w:pPr>
    </w:p>
    <w:p>
      <w:pPr>
        <w:ind w:right="440"/>
        <w:spacing w:after="0" w:line="232" w:lineRule="auto"/>
        <w:rPr>
          <w:sz w:val="20"/>
          <w:szCs w:val="20"/>
          <w:color w:val="auto"/>
        </w:rPr>
      </w:pPr>
      <w:r>
        <w:rPr>
          <w:rFonts w:ascii="Times New Roman" w:cs="Times New Roman" w:eastAsia="Times New Roman" w:hAnsi="Times New Roman"/>
          <w:sz w:val="13"/>
          <w:szCs w:val="13"/>
          <w:color w:val="auto"/>
        </w:rPr>
        <w:t>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Subscription rights may be exercised as set forth in the prospectus supplement relating to the subscription rights offered thereby. Upon receipt of payment and the subscription rights certificate properly</w:t>
      </w:r>
    </w:p>
    <w:p>
      <w:pPr>
        <w:spacing w:after="0" w:line="5"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completed and duly executed at the corporate trust office of the subscription rights agent or any other office indicated in the prospectus supplement we will forward, as soon as practicable, the shares of common stock or other securities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Dilutive Effects</w:t>
      </w:r>
    </w:p>
    <w:p>
      <w:pPr>
        <w:spacing w:after="0" w:line="145" w:lineRule="exact"/>
        <w:rPr>
          <w:sz w:val="20"/>
          <w:szCs w:val="20"/>
          <w:color w:val="auto"/>
        </w:rPr>
      </w:pPr>
    </w:p>
    <w:p>
      <w:pPr>
        <w:ind w:right="140" w:firstLine="482"/>
        <w:spacing w:after="0" w:line="247" w:lineRule="auto"/>
        <w:rPr>
          <w:sz w:val="20"/>
          <w:szCs w:val="20"/>
          <w:color w:val="auto"/>
        </w:rPr>
      </w:pPr>
      <w:r>
        <w:rPr>
          <w:rFonts w:ascii="Times New Roman" w:cs="Times New Roman" w:eastAsia="Times New Roman" w:hAnsi="Times New Roman"/>
          <w:sz w:val="13"/>
          <w:szCs w:val="13"/>
          <w:color w:val="auto"/>
        </w:rPr>
        <w:t>Any stockholder who chooses not to participate in a rights offering should expect to own a smaller interest in the Company upon completion of such rights offering. Any rights offering may dilute the ownership interest and voting power of stockholders who do not fully exercise their subscription rights. The amount of dilution that a stockholder will experience could</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60"/>
          </w:cols>
          <w:pgMar w:left="300" w:top="1367" w:right="339" w:bottom="1440" w:gutter="0" w:footer="0" w:header="0"/>
        </w:sectPr>
      </w:pPr>
    </w:p>
    <w:bookmarkStart w:id="21" w:name="page22"/>
    <w:bookmarkEnd w:id="21"/>
    <w:p>
      <w:pPr>
        <w:spacing w:after="0" w:line="228" w:lineRule="auto"/>
        <w:rPr>
          <w:sz w:val="20"/>
          <w:szCs w:val="20"/>
          <w:color w:val="auto"/>
        </w:rPr>
      </w:pPr>
      <w:r>
        <w:rPr>
          <w:rFonts w:ascii="Times New Roman" w:cs="Times New Roman" w:eastAsia="Times New Roman" w:hAnsi="Times New Roman"/>
          <w:sz w:val="13"/>
          <w:szCs w:val="13"/>
          <w:color w:val="auto"/>
        </w:rPr>
        <w:t>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associated with any rights offering we may conduct, regardless of whether they elect to exercise any rights.</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180"/>
          </w:cols>
          <w:pgMar w:left="300" w:top="689" w:right="41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OUR WARRANTS</w:t>
      </w:r>
    </w:p>
    <w:p>
      <w:pPr>
        <w:spacing w:after="0" w:line="145" w:lineRule="exact"/>
        <w:rPr>
          <w:sz w:val="20"/>
          <w:szCs w:val="20"/>
          <w:color w:val="auto"/>
        </w:rPr>
      </w:pPr>
    </w:p>
    <w:p>
      <w:pPr>
        <w:ind w:right="140" w:firstLine="482"/>
        <w:spacing w:after="0" w:line="263" w:lineRule="auto"/>
        <w:rPr>
          <w:sz w:val="20"/>
          <w:szCs w:val="20"/>
          <w:color w:val="auto"/>
        </w:rPr>
      </w:pPr>
      <w:r>
        <w:rPr>
          <w:rFonts w:ascii="Times New Roman" w:cs="Times New Roman" w:eastAsia="Times New Roman" w:hAnsi="Times New Roman"/>
          <w:sz w:val="13"/>
          <w:szCs w:val="13"/>
          <w:color w:val="auto"/>
        </w:rPr>
        <w:t>The following is a general description of the terms of the warrants we may issue from time to time. Particular terms of any warrants we offer will be described in the prospectus supplement relating to such warrants.</w:t>
      </w:r>
    </w:p>
    <w:p>
      <w:pPr>
        <w:spacing w:after="0" w:line="104" w:lineRule="exact"/>
        <w:rPr>
          <w:sz w:val="20"/>
          <w:szCs w:val="20"/>
          <w:color w:val="auto"/>
        </w:rPr>
      </w:pPr>
    </w:p>
    <w:p>
      <w:pPr>
        <w:ind w:right="100" w:firstLine="482"/>
        <w:spacing w:after="0" w:line="228" w:lineRule="auto"/>
        <w:rPr>
          <w:sz w:val="20"/>
          <w:szCs w:val="20"/>
          <w:color w:val="auto"/>
        </w:rPr>
      </w:pPr>
      <w:r>
        <w:rPr>
          <w:rFonts w:ascii="Times New Roman" w:cs="Times New Roman" w:eastAsia="Times New Roman" w:hAnsi="Times New Roman"/>
          <w:sz w:val="13"/>
          <w:szCs w:val="13"/>
          <w:color w:val="auto"/>
        </w:rPr>
        <w:t>We may issue warrants to purchase shares of our common stock or other securities. Such warrants may be issued independently or together with shares of common stock or other securities and may be attached or separate from such shares of common stock or other securities. We will issue each series of warrants under a separate warrant agreement to be entered into between us and a warrant agent.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warrant agent will act solely as our agent and will not assume any obligation or relationship of agency for or with holders or beneficial owners of warrants.</w:t>
      </w:r>
    </w:p>
    <w:p>
      <w:pPr>
        <w:spacing w:after="0" w:line="1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 prospectus supplement will describe the particular terms of any series of warrants we may issue, including the following:</w:t>
      </w:r>
    </w:p>
    <w:p>
      <w:pPr>
        <w:spacing w:after="0" w:line="141" w:lineRule="exact"/>
        <w:rPr>
          <w:sz w:val="20"/>
          <w:szCs w:val="20"/>
          <w:color w:val="auto"/>
        </w:rPr>
      </w:pPr>
    </w:p>
    <w:p>
      <w:pPr>
        <w:ind w:left="480" w:hanging="239"/>
        <w:spacing w:after="0"/>
        <w:tabs>
          <w:tab w:leader="none" w:pos="480" w:val="left"/>
        </w:tabs>
        <w:numPr>
          <w:ilvl w:val="0"/>
          <w:numId w:val="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title of such warrants;</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aggregate number of such warrants;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price or prices at which such warrants will be issued;</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currency or currencies, including composite currencies, in which the price of such warrants may be payable;</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number of shares of common stock or other securities issuable upon exercise of such warrants;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price at which and the currency or currencies, including composite currencies, in which the shares of common stock or other securities purchasable upon exercise of such warrants may be purchased;</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date on which the right to exercise such warrants shall commence and the date on which such right will expire;</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whether such warrants will be issued in registered form or bearer form;</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if applicable, the minimum or maximum amount of such warrants which may be exercised at any one time;</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if applicable, the number of such warrants issued with each share of common stock or other securities;</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if applicable, the date on and after which such warrants and the related shares of common stock or other securities will be separately transferable;</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information with respect to book-entry procedures, if any;</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if applicable, a discussion of certain U.S. federal income tax considerations; and</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other terms of such warrants, including terms, procedures and limitations relating to the exchange and exercise of such warrants.</w:t>
      </w:r>
    </w:p>
    <w:p>
      <w:pPr>
        <w:spacing w:after="0" w:line="141" w:lineRule="exact"/>
        <w:rPr>
          <w:sz w:val="20"/>
          <w:szCs w:val="20"/>
          <w:color w:val="auto"/>
        </w:rPr>
      </w:pPr>
    </w:p>
    <w:p>
      <w:pPr>
        <w:ind w:right="60" w:firstLine="482"/>
        <w:spacing w:after="0" w:line="247" w:lineRule="auto"/>
        <w:rPr>
          <w:sz w:val="20"/>
          <w:szCs w:val="20"/>
          <w:color w:val="auto"/>
        </w:rPr>
      </w:pPr>
      <w:r>
        <w:rPr>
          <w:rFonts w:ascii="Times New Roman" w:cs="Times New Roman" w:eastAsia="Times New Roman" w:hAnsi="Times New Roman"/>
          <w:sz w:val="13"/>
          <w:szCs w:val="13"/>
          <w:color w:val="auto"/>
        </w:rPr>
        <w:t>The Company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60"/>
          </w:cols>
          <w:pgMar w:left="300" w:top="1026"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OUR DEBT SECURITIES</w:t>
      </w:r>
    </w:p>
    <w:p>
      <w:pPr>
        <w:spacing w:after="0" w:line="156" w:lineRule="exact"/>
        <w:rPr>
          <w:sz w:val="20"/>
          <w:szCs w:val="20"/>
          <w:color w:val="auto"/>
        </w:rPr>
      </w:pPr>
    </w:p>
    <w:p>
      <w:pPr>
        <w:jc w:val="both"/>
        <w:ind w:firstLine="482"/>
        <w:spacing w:after="0" w:line="276" w:lineRule="auto"/>
        <w:rPr>
          <w:sz w:val="20"/>
          <w:szCs w:val="20"/>
          <w:color w:val="auto"/>
        </w:rPr>
      </w:pPr>
      <w:r>
        <w:rPr>
          <w:rFonts w:ascii="Times New Roman" w:cs="Times New Roman" w:eastAsia="Times New Roman" w:hAnsi="Times New Roman"/>
          <w:sz w:val="13"/>
          <w:szCs w:val="13"/>
          <w:color w:val="auto"/>
        </w:rPr>
        <w:t>We may issue senior or subordinated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26" w:lineRule="exact"/>
        <w:rPr>
          <w:sz w:val="20"/>
          <w:szCs w:val="20"/>
          <w:color w:val="auto"/>
        </w:rPr>
      </w:pPr>
    </w:p>
    <w:p>
      <w:pPr>
        <w:jc w:val="both"/>
        <w:ind w:firstLine="482"/>
        <w:spacing w:after="0" w:line="270" w:lineRule="auto"/>
        <w:rPr>
          <w:sz w:val="20"/>
          <w:szCs w:val="20"/>
          <w:color w:val="auto"/>
        </w:rPr>
      </w:pPr>
      <w:r>
        <w:rPr>
          <w:rFonts w:ascii="Times New Roman" w:cs="Times New Roman" w:eastAsia="Times New Roman" w:hAnsi="Times New Roman"/>
          <w:sz w:val="13"/>
          <w:szCs w:val="13"/>
          <w:color w:val="auto"/>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 with respect to the debt securities.</w:t>
      </w:r>
    </w:p>
    <w:p>
      <w:pPr>
        <w:spacing w:after="0" w:line="130" w:lineRule="exact"/>
        <w:rPr>
          <w:sz w:val="20"/>
          <w:szCs w:val="20"/>
          <w:color w:val="auto"/>
        </w:rPr>
      </w:pPr>
    </w:p>
    <w:p>
      <w:pPr>
        <w:jc w:val="both"/>
        <w:ind w:firstLine="482"/>
        <w:spacing w:after="0" w:line="295" w:lineRule="auto"/>
        <w:rPr>
          <w:sz w:val="20"/>
          <w:szCs w:val="20"/>
          <w:color w:val="auto"/>
        </w:rPr>
      </w:pPr>
      <w:r>
        <w:rPr>
          <w:rFonts w:ascii="Times New Roman" w:cs="Times New Roman" w:eastAsia="Times New Roman" w:hAnsi="Times New Roman"/>
          <w:sz w:val="13"/>
          <w:szCs w:val="13"/>
          <w:color w:val="auto"/>
        </w:rPr>
        <w:t>Currently, we have the following debt securities outstanding issued pursuant to an Indenture (the “senior notes indenture”), dated as of August 31, 2023 between Newtek, as issuer and U.S. Bank Trust Company, National Association, as trustee (the “trustee”):</w:t>
      </w:r>
    </w:p>
    <w:p>
      <w:pPr>
        <w:spacing w:after="0" w:line="114" w:lineRule="exact"/>
        <w:rPr>
          <w:sz w:val="20"/>
          <w:szCs w:val="20"/>
          <w:color w:val="auto"/>
        </w:rPr>
      </w:pPr>
    </w:p>
    <w:p>
      <w:pPr>
        <w:ind w:left="480" w:hanging="239"/>
        <w:spacing w:after="0"/>
        <w:tabs>
          <w:tab w:leader="none" w:pos="480" w:val="left"/>
        </w:tabs>
        <w:numPr>
          <w:ilvl w:val="0"/>
          <w:numId w:val="9"/>
        </w:numPr>
        <w:rPr>
          <w:rFonts w:ascii="Arial" w:cs="Arial" w:eastAsia="Arial" w:hAnsi="Arial"/>
          <w:sz w:val="13"/>
          <w:szCs w:val="13"/>
          <w:color w:val="auto"/>
        </w:rPr>
      </w:pPr>
      <w:r>
        <w:rPr>
          <w:rFonts w:ascii="Times New Roman" w:cs="Times New Roman" w:eastAsia="Times New Roman" w:hAnsi="Times New Roman"/>
          <w:sz w:val="13"/>
          <w:szCs w:val="13"/>
          <w:color w:val="auto"/>
        </w:rPr>
        <w:t>$40.0 million of the 8.00% Notes due 2028;</w:t>
      </w:r>
    </w:p>
    <w:p>
      <w:pPr>
        <w:spacing w:after="0" w:line="171" w:lineRule="exact"/>
        <w:rPr>
          <w:rFonts w:ascii="Arial" w:cs="Arial" w:eastAsia="Arial" w:hAnsi="Arial"/>
          <w:sz w:val="13"/>
          <w:szCs w:val="13"/>
          <w:color w:val="auto"/>
        </w:rPr>
      </w:pPr>
    </w:p>
    <w:p>
      <w:pPr>
        <w:ind w:left="480" w:hanging="239"/>
        <w:spacing w:after="0"/>
        <w:tabs>
          <w:tab w:leader="none" w:pos="4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$71.8 million of the 8.50% Notes due 2029;</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$75.4 million of the 8.625% Notes due 2029; and</w:t>
      </w:r>
    </w:p>
    <w:p>
      <w:pPr>
        <w:spacing w:after="0" w:line="17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$7.9 million of the 8.50% Notes due 2031 (together, the “existing notes”).</w:t>
      </w:r>
    </w:p>
    <w:p>
      <w:pPr>
        <w:spacing w:after="0" w:line="17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3"/>
          <w:szCs w:val="13"/>
          <w:color w:val="auto"/>
        </w:rPr>
        <w:t>The senior notes indenture was entered into with the connection with the consummation of the acquisition of the National Bank of New York City and the Company becoming a financial holding company and to the extent the Company were to issue any subordinated debt securities, it plans to enter into a subordinated notes indenture in respect thereof (the “subordinated notes indenture”, and together with the senior indenture, the “indentures” and the securities to be issued thereunder each, “debt securities”). The senior notes indenture and form of subordinated notes indenture are included as exhibits to our Registration Statement on Form S-3 of which this prospectus is a part. We will file a supplemental indenture with the SEC in connection with any debt offering, at which time such supplemental indenture would be publicly available. See “Available Information” for information on how to obtain a copy of the senior notes indenture or any supplemental indenture we may enter into at the time of an offering of debt securities.</w:t>
      </w:r>
    </w:p>
    <w:p>
      <w:pPr>
        <w:spacing w:after="0" w:line="122" w:lineRule="exact"/>
        <w:rPr>
          <w:sz w:val="20"/>
          <w:szCs w:val="20"/>
          <w:color w:val="auto"/>
        </w:rPr>
      </w:pPr>
    </w:p>
    <w:p>
      <w:pPr>
        <w:jc w:val="both"/>
        <w:ind w:firstLine="482"/>
        <w:spacing w:after="0" w:line="295" w:lineRule="auto"/>
        <w:rPr>
          <w:sz w:val="20"/>
          <w:szCs w:val="20"/>
          <w:color w:val="auto"/>
        </w:rPr>
      </w:pPr>
      <w:r>
        <w:rPr>
          <w:rFonts w:ascii="Times New Roman" w:cs="Times New Roman" w:eastAsia="Times New Roman" w:hAnsi="Times New Roman"/>
          <w:sz w:val="13"/>
          <w:szCs w:val="13"/>
          <w:color w:val="auto"/>
        </w:rPr>
        <w:t>This section includes a description of the material provisions of the indentures. Because this section is a summary, however, it does not describe every aspect of the debt securities and the indentures. We urge you to read the indentures because they, and not this description, define your rights as a holder of debt securities.</w:t>
      </w:r>
    </w:p>
    <w:p>
      <w:pPr>
        <w:spacing w:after="0" w:line="1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prospectus supplement, which will accompany this prospectus, will describe the particular series of debt securities being offered thereby including:</w:t>
      </w:r>
    </w:p>
    <w:p>
      <w:pPr>
        <w:spacing w:after="0" w:line="141" w:lineRule="exact"/>
        <w:rPr>
          <w:sz w:val="20"/>
          <w:szCs w:val="20"/>
          <w:color w:val="auto"/>
        </w:rPr>
      </w:pPr>
    </w:p>
    <w:p>
      <w:pPr>
        <w:ind w:left="480" w:hanging="239"/>
        <w:spacing w:after="0"/>
        <w:tabs>
          <w:tab w:leader="none" w:pos="480" w:val="left"/>
        </w:tabs>
        <w:numPr>
          <w:ilvl w:val="0"/>
          <w:numId w:val="1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designation or title of the series of debt securities;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total principal amount of the series of debt securities;</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percentage of the principal amount at which the series of debt securities will be offered;</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date or dates on which principal will be payable;</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rate or rates (which may be either fixed or variable) and/or the method of determining such rate or rates of interest, if any;</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0"/>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date or dates from which any interest will accrue, or the method of determining such date or dates, and the date or dates on which any interest will be payable;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026" w:right="319" w:bottom="1440" w:gutter="0" w:footer="0" w:header="0"/>
        </w:sectPr>
      </w:pPr>
    </w:p>
    <w:bookmarkStart w:id="24" w:name="page25"/>
    <w:bookmarkEnd w:id="24"/>
    <w:p>
      <w:pPr>
        <w:ind w:left="480" w:hanging="239"/>
        <w:spacing w:after="0"/>
        <w:tabs>
          <w:tab w:leader="none" w:pos="48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whether any interest may be paid by issuing additional securities of the same series in lieu of cash (and the terms upon which any such interest may be paid by issuing additional securities);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terms for redemption, extension or early repayment, if any;</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currencies in which the series of debt securities are issued and payable;</w:t>
      </w:r>
    </w:p>
    <w:p>
      <w:pPr>
        <w:spacing w:after="0" w:line="141" w:lineRule="exact"/>
        <w:rPr>
          <w:rFonts w:ascii="Times New Roman" w:cs="Times New Roman" w:eastAsia="Times New Roman" w:hAnsi="Times New Roman"/>
          <w:sz w:val="13"/>
          <w:szCs w:val="13"/>
          <w:color w:val="231F20"/>
        </w:rPr>
      </w:pPr>
    </w:p>
    <w:p>
      <w:pPr>
        <w:ind w:left="480" w:right="60" w:hanging="239"/>
        <w:spacing w:after="0" w:line="247" w:lineRule="auto"/>
        <w:tabs>
          <w:tab w:leader="none" w:pos="477"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123"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place or places, if any, other than or in addition to the Borough of Manhattan in the City of New York, of payment, transfer, conversion and/or exchange of the debt securities;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denominations in which the offered debt securities will be issued (if other than $1,000 and any integral multiple thereof);</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provision for any sinking fund;</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restrictive covenants;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Events of Default (as defined in “Events of Default” below);</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whether the series of debt securities are issuable in certificated form;</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provisions for defeasance or covenant defeasance;</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special federal income tax implications, including, if applicable, federal income tax considerations relating to original issue discount;</w:t>
      </w:r>
    </w:p>
    <w:p>
      <w:pPr>
        <w:spacing w:after="0" w:line="141" w:lineRule="exact"/>
        <w:rPr>
          <w:rFonts w:ascii="Times New Roman" w:cs="Times New Roman" w:eastAsia="Times New Roman" w:hAnsi="Times New Roman"/>
          <w:sz w:val="13"/>
          <w:szCs w:val="13"/>
          <w:color w:val="231F20"/>
        </w:rPr>
      </w:pPr>
    </w:p>
    <w:p>
      <w:pPr>
        <w:ind w:left="480" w:right="40" w:hanging="239"/>
        <w:spacing w:after="0" w:line="263" w:lineRule="auto"/>
        <w:tabs>
          <w:tab w:leader="none" w:pos="477"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103"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provisions for convertibility or exchangeability of the debt securities into or for any other securities;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whether the debt securities are subject to subordination and the terms of such subordination;</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whether the debt securities are secured and the terms of any security interest;</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listing, if any, on a securities exchange; and</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other terms.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debt securities may be secured or unsecured obligations.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45" w:lineRule="exact"/>
        <w:rPr>
          <w:sz w:val="20"/>
          <w:szCs w:val="20"/>
          <w:color w:val="auto"/>
        </w:rPr>
      </w:pPr>
    </w:p>
    <w:p>
      <w:pPr>
        <w:ind w:right="60" w:firstLine="482"/>
        <w:spacing w:after="0" w:line="263" w:lineRule="auto"/>
        <w:rPr>
          <w:sz w:val="20"/>
          <w:szCs w:val="20"/>
          <w:color w:val="auto"/>
        </w:rPr>
      </w:pPr>
      <w:r>
        <w:rPr>
          <w:rFonts w:ascii="Times New Roman" w:cs="Times New Roman" w:eastAsia="Times New Roman" w:hAnsi="Times New Roman"/>
          <w:sz w:val="13"/>
          <w:szCs w:val="13"/>
          <w:color w:val="auto"/>
        </w:rPr>
        <w:t>The indentures provide that any debt securities proposed to be sold under this prospectus and the accompanying prospectus supplement (“offered debt securities”) may be issued under the indentures in one or more series.</w:t>
      </w:r>
    </w:p>
    <w:p>
      <w:pPr>
        <w:spacing w:after="0" w:line="104" w:lineRule="exact"/>
        <w:rPr>
          <w:sz w:val="20"/>
          <w:szCs w:val="20"/>
          <w:color w:val="auto"/>
        </w:rPr>
      </w:pPr>
    </w:p>
    <w:p>
      <w:pPr>
        <w:ind w:right="440" w:firstLine="482"/>
        <w:spacing w:after="0" w:line="247" w:lineRule="auto"/>
        <w:rPr>
          <w:sz w:val="20"/>
          <w:szCs w:val="20"/>
          <w:color w:val="auto"/>
        </w:rPr>
      </w:pPr>
      <w:r>
        <w:rPr>
          <w:rFonts w:ascii="Times New Roman" w:cs="Times New Roman" w:eastAsia="Times New Roman" w:hAnsi="Times New Roman"/>
          <w:sz w:val="13"/>
          <w:szCs w:val="13"/>
          <w:color w:val="auto"/>
        </w:rPr>
        <w:t>For purposes of this prospectus, any reference to the payment of principal of, or premium or interest, if any, on debt securities will include additional amounts if required by the terms of the debt securities.</w:t>
      </w:r>
    </w:p>
    <w:p>
      <w:pPr>
        <w:spacing w:after="0" w:line="124" w:lineRule="exact"/>
        <w:rPr>
          <w:sz w:val="20"/>
          <w:szCs w:val="20"/>
          <w:color w:val="auto"/>
        </w:rPr>
      </w:pPr>
    </w:p>
    <w:p>
      <w:pPr>
        <w:ind w:firstLine="482"/>
        <w:spacing w:after="0" w:line="222" w:lineRule="auto"/>
        <w:rPr>
          <w:sz w:val="20"/>
          <w:szCs w:val="20"/>
          <w:color w:val="auto"/>
        </w:rPr>
      </w:pPr>
      <w:r>
        <w:rPr>
          <w:rFonts w:ascii="Times New Roman" w:cs="Times New Roman" w:eastAsia="Times New Roman" w:hAnsi="Times New Roman"/>
          <w:sz w:val="13"/>
          <w:szCs w:val="13"/>
          <w:color w:val="auto"/>
        </w:rPr>
        <w:t>The indentures do not limit the amount of debt securities that may be issued under a particular indenture from time to time. Debt securities issued under an indenture, when a single trustee is acting for all debt securities issued under an indenture, are called the “indenture securities.” The indentures also provide that there may be more than one trustee thereunder, each with respect to one or more different series of indenture securities. See “— Resignation of Trustee” below. At a time when two or more trustees are acting under an indenture, each with respect to only certain series, the term “indenture securities” means</w:t>
      </w:r>
    </w:p>
    <w:p>
      <w:pPr>
        <w:spacing w:after="0" w:line="1"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13"/>
          <w:szCs w:val="13"/>
          <w:color w:val="auto"/>
        </w:rPr>
        <w:t>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60"/>
          </w:cols>
          <w:pgMar w:left="300" w:top="689" w:right="339" w:bottom="1440" w:gutter="0" w:footer="0" w:header="0"/>
        </w:sectPr>
      </w:pPr>
    </w:p>
    <w:bookmarkStart w:id="25" w:name="page26"/>
    <w:bookmarkEnd w:id="25"/>
    <w:p>
      <w:pPr>
        <w:ind w:right="40" w:firstLine="482"/>
        <w:spacing w:after="0" w:line="247" w:lineRule="auto"/>
        <w:rPr>
          <w:sz w:val="20"/>
          <w:szCs w:val="20"/>
          <w:color w:val="auto"/>
        </w:rPr>
      </w:pPr>
      <w:r>
        <w:rPr>
          <w:rFonts w:ascii="Times New Roman" w:cs="Times New Roman" w:eastAsia="Times New Roman" w:hAnsi="Times New Roman"/>
          <w:sz w:val="13"/>
          <w:szCs w:val="13"/>
          <w:color w:val="auto"/>
        </w:rPr>
        <w:t>Except as described under “— Events of Default” and “— Merger or Consolidation” below, the indentures do not contain any provisions that give you protection in the event we issue a large amount of debt or we are acquired by another entity.</w:t>
      </w:r>
    </w:p>
    <w:p>
      <w:pPr>
        <w:spacing w:after="0" w:line="124" w:lineRule="exact"/>
        <w:rPr>
          <w:sz w:val="20"/>
          <w:szCs w:val="20"/>
          <w:color w:val="auto"/>
        </w:rPr>
      </w:pPr>
    </w:p>
    <w:p>
      <w:pPr>
        <w:ind w:right="160" w:firstLine="482"/>
        <w:spacing w:after="0" w:line="247" w:lineRule="auto"/>
        <w:rPr>
          <w:sz w:val="20"/>
          <w:szCs w:val="20"/>
          <w:color w:val="auto"/>
        </w:rPr>
      </w:pPr>
      <w:r>
        <w:rPr>
          <w:rFonts w:ascii="Times New Roman" w:cs="Times New Roman" w:eastAsia="Times New Roman" w:hAnsi="Times New Roman"/>
          <w:sz w:val="13"/>
          <w:szCs w:val="13"/>
          <w:color w:val="auto"/>
        </w:rPr>
        <w:t>We refer you to the prospectus supplement for information with respect to any deletions from, modifications of or additions to the Events of Default or our covenants, as applicable, that are described below, including any addition of a covenant or other provision providing event risk protection or similar protection.</w:t>
      </w:r>
    </w:p>
    <w:p>
      <w:pPr>
        <w:spacing w:after="0" w:line="114" w:lineRule="exact"/>
        <w:rPr>
          <w:sz w:val="20"/>
          <w:szCs w:val="20"/>
          <w:color w:val="auto"/>
        </w:rPr>
      </w:pPr>
    </w:p>
    <w:p>
      <w:pPr>
        <w:ind w:right="120" w:firstLine="482"/>
        <w:spacing w:after="0" w:line="263" w:lineRule="auto"/>
        <w:rPr>
          <w:sz w:val="20"/>
          <w:szCs w:val="20"/>
          <w:color w:val="auto"/>
        </w:rPr>
      </w:pPr>
      <w:r>
        <w:rPr>
          <w:rFonts w:ascii="Times New Roman" w:cs="Times New Roman" w:eastAsia="Times New Roman" w:hAnsi="Times New Roman"/>
          <w:sz w:val="13"/>
          <w:szCs w:val="13"/>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Ranking of Debt Securities; Holding Company Structure</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i w:val="1"/>
          <w:iCs w:val="1"/>
          <w:color w:val="auto"/>
        </w:rPr>
        <w:t>Senior Debt Securities</w:t>
      </w:r>
      <w:r>
        <w:rPr>
          <w:rFonts w:ascii="Times New Roman" w:cs="Times New Roman" w:eastAsia="Times New Roman" w:hAnsi="Times New Roman"/>
          <w:sz w:val="13"/>
          <w:szCs w:val="13"/>
          <w:color w:val="auto"/>
        </w:rPr>
        <w:t>. Payment of the principal of, premium, if any, and interest on senior debt securities will rank on a parity with all of our other unsecured and unsubordinated debt.</w:t>
      </w:r>
    </w:p>
    <w:p>
      <w:pPr>
        <w:spacing w:after="0" w:line="152" w:lineRule="exact"/>
        <w:rPr>
          <w:sz w:val="20"/>
          <w:szCs w:val="20"/>
          <w:color w:val="auto"/>
        </w:rPr>
      </w:pPr>
    </w:p>
    <w:p>
      <w:pPr>
        <w:jc w:val="both"/>
        <w:ind w:right="60" w:firstLine="482"/>
        <w:spacing w:after="0" w:line="223" w:lineRule="auto"/>
        <w:rPr>
          <w:sz w:val="20"/>
          <w:szCs w:val="20"/>
          <w:color w:val="auto"/>
        </w:rPr>
      </w:pPr>
      <w:r>
        <w:rPr>
          <w:rFonts w:ascii="Times New Roman" w:cs="Times New Roman" w:eastAsia="Times New Roman" w:hAnsi="Times New Roman"/>
          <w:sz w:val="13"/>
          <w:szCs w:val="13"/>
          <w:i w:val="1"/>
          <w:iCs w:val="1"/>
          <w:color w:val="auto"/>
        </w:rPr>
        <w:t>Subordinated Debt Securities</w:t>
      </w:r>
      <w:r>
        <w:rPr>
          <w:rFonts w:ascii="Times New Roman" w:cs="Times New Roman" w:eastAsia="Times New Roman" w:hAnsi="Times New Roman"/>
          <w:sz w:val="13"/>
          <w:szCs w:val="13"/>
          <w:color w:val="auto"/>
        </w:rPr>
        <w:t>. Payment of the principal of, premium, if any, and interest on subordinated debt securities will be junior in right of payment to the prior payment in full of all of our senior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debt, including senior debt securities. We will state in the applicable prospectus supplement relating to any subordinated debt securities the subordination terms of the securities as well as the aggregate amount of outstanding debt, as of the most recent practicable date, that by its terms would be senior to those subordinated debt securities. We will also state in that prospectus supplement limitations, if any, 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incurrence of senior or subordinated indebtedness or general obligations, including indebtedness ranking on an equal basis with the subordinated debt securities offered by such prospectus supplement.</w:t>
      </w:r>
    </w:p>
    <w:p>
      <w:pPr>
        <w:spacing w:after="0" w:line="125" w:lineRule="exact"/>
        <w:rPr>
          <w:sz w:val="20"/>
          <w:szCs w:val="20"/>
          <w:color w:val="auto"/>
        </w:rPr>
      </w:pPr>
    </w:p>
    <w:p>
      <w:pPr>
        <w:ind w:right="140" w:firstLine="482"/>
        <w:spacing w:after="0" w:line="230" w:lineRule="auto"/>
        <w:rPr>
          <w:sz w:val="20"/>
          <w:szCs w:val="20"/>
          <w:color w:val="auto"/>
        </w:rPr>
      </w:pPr>
      <w:r>
        <w:rPr>
          <w:rFonts w:ascii="Times New Roman" w:cs="Times New Roman" w:eastAsia="Times New Roman" w:hAnsi="Times New Roman"/>
          <w:sz w:val="13"/>
          <w:szCs w:val="13"/>
          <w:i w:val="1"/>
          <w:iCs w:val="1"/>
          <w:color w:val="auto"/>
        </w:rPr>
        <w:t>Holding Company Structure</w:t>
      </w:r>
      <w:r>
        <w:rPr>
          <w:rFonts w:ascii="Times New Roman" w:cs="Times New Roman" w:eastAsia="Times New Roman" w:hAnsi="Times New Roman"/>
          <w:sz w:val="13"/>
          <w:szCs w:val="13"/>
          <w:color w:val="auto"/>
        </w:rPr>
        <w:t>. The debt securities will be our exclusive obligations. We are a holding company and substantially all of our consolidated assets are held by our subsidiaries. Accordingly,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cash flows and our ability to service our debt, including the debt securities, are dependent upon the results of operations of our subsidiaries and the distribution of funds by our subsidiaries to us. Various</w:t>
      </w:r>
    </w:p>
    <w:p>
      <w:pPr>
        <w:spacing w:after="0"/>
        <w:rPr>
          <w:sz w:val="20"/>
          <w:szCs w:val="20"/>
          <w:color w:val="auto"/>
        </w:rPr>
      </w:pPr>
      <w:r>
        <w:rPr>
          <w:rFonts w:ascii="Times New Roman" w:cs="Times New Roman" w:eastAsia="Times New Roman" w:hAnsi="Times New Roman"/>
          <w:sz w:val="13"/>
          <w:szCs w:val="13"/>
          <w:color w:val="auto"/>
        </w:rPr>
        <w:t>statutory and regulatory restrictions, however, limit directly or indirectly the amount of dividends our subsidiaries can pay, and also restrict certain subsidiaries from making investments in or loans to us.</w:t>
      </w:r>
    </w:p>
    <w:p>
      <w:pPr>
        <w:spacing w:after="0" w:line="127" w:lineRule="exact"/>
        <w:rPr>
          <w:sz w:val="20"/>
          <w:szCs w:val="20"/>
          <w:color w:val="auto"/>
        </w:rPr>
      </w:pPr>
    </w:p>
    <w:p>
      <w:pPr>
        <w:ind w:right="260" w:firstLine="482"/>
        <w:spacing w:after="0" w:line="228" w:lineRule="auto"/>
        <w:rPr>
          <w:sz w:val="20"/>
          <w:szCs w:val="20"/>
          <w:color w:val="auto"/>
        </w:rPr>
      </w:pPr>
      <w:r>
        <w:rPr>
          <w:rFonts w:ascii="Times New Roman" w:cs="Times New Roman" w:eastAsia="Times New Roman" w:hAnsi="Times New Roman"/>
          <w:sz w:val="13"/>
          <w:szCs w:val="13"/>
          <w:color w:val="auto"/>
        </w:rPr>
        <w:t>Because we are a holding company, the debt securities will be effectively subordinated to all existing and future liabilities of our subsidiaries, including indebtedness, bank customer deposits, trade payables, guarantees and lease obligations. Therefore, our rights and the rights of our creditors, including the holders of the debt securities, to participate in the assets of any subsidiary upon that subsidiary’s</w:t>
      </w:r>
    </w:p>
    <w:p>
      <w:pPr>
        <w:spacing w:after="0" w:line="1" w:lineRule="exact"/>
        <w:rPr>
          <w:sz w:val="20"/>
          <w:szCs w:val="20"/>
          <w:color w:val="auto"/>
        </w:rPr>
      </w:pPr>
    </w:p>
    <w:p>
      <w:pPr>
        <w:ind w:right="140"/>
        <w:spacing w:after="0" w:line="214" w:lineRule="auto"/>
        <w:rPr>
          <w:sz w:val="20"/>
          <w:szCs w:val="20"/>
          <w:color w:val="auto"/>
        </w:rPr>
      </w:pPr>
      <w:r>
        <w:rPr>
          <w:rFonts w:ascii="Times New Roman" w:cs="Times New Roman" w:eastAsia="Times New Roman" w:hAnsi="Times New Roman"/>
          <w:sz w:val="13"/>
          <w:szCs w:val="13"/>
          <w:color w:val="auto"/>
        </w:rPr>
        <w:t>liquidation or reorganization will be subject to the prior claims of the subsidiary’s creditors and, if applicable, its depositors, except to the extent that we may ourselves be a creditor with recognized claims against the subsidiary, in which case our claims would still be effectively subordinate to any security interest in, or mortgages or other liens on, the assets of the subsidiary and would be subordinate to any indebtedness of the subsidiary senior to that which is held by us. If a receiver or conservator were appointed for Newtek Bank, the Federal Deposit Insurance Act recognizes a priority in favor of the holders of</w:t>
      </w:r>
    </w:p>
    <w:p>
      <w:pPr>
        <w:spacing w:after="0" w:line="1"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3"/>
          <w:szCs w:val="13"/>
          <w:color w:val="auto"/>
        </w:rPr>
        <w:t>withdrawable deposits (including the FDIC as subrogee or transferee) over general creditors. Claims for customer deposits would have a priority over any claims that we may ourselves have as a creditor of Newtek Bank. Unless otherwise specified in the applicable prospectus supplement, the applicable indenture will not limit the amount of indebtedness or other liabilities that we and our subsidiaries may incur.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Conversion and Exchange</w:t>
      </w:r>
    </w:p>
    <w:p>
      <w:pPr>
        <w:spacing w:after="0" w:line="156" w:lineRule="exact"/>
        <w:rPr>
          <w:sz w:val="20"/>
          <w:szCs w:val="20"/>
          <w:color w:val="auto"/>
        </w:rPr>
      </w:pPr>
    </w:p>
    <w:p>
      <w:pPr>
        <w:ind w:firstLine="482"/>
        <w:spacing w:after="0" w:line="222" w:lineRule="auto"/>
        <w:rPr>
          <w:sz w:val="20"/>
          <w:szCs w:val="20"/>
          <w:color w:val="auto"/>
        </w:rPr>
      </w:pPr>
      <w:r>
        <w:rPr>
          <w:rFonts w:ascii="Times New Roman" w:cs="Times New Roman" w:eastAsia="Times New Roman" w:hAnsi="Times New Roman"/>
          <w:sz w:val="13"/>
          <w:szCs w:val="13"/>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w:t>
      </w:r>
    </w:p>
    <w:p>
      <w:pPr>
        <w:spacing w:after="0" w:line="1"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3"/>
          <w:szCs w:val="13"/>
          <w:color w:val="auto"/>
        </w:rPr>
        <w:t>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Issuance of Securities in Registered Form</w:t>
      </w:r>
    </w:p>
    <w:p>
      <w:pPr>
        <w:spacing w:after="0" w:line="156" w:lineRule="exact"/>
        <w:rPr>
          <w:sz w:val="20"/>
          <w:szCs w:val="20"/>
          <w:color w:val="auto"/>
        </w:rPr>
      </w:pPr>
    </w:p>
    <w:p>
      <w:pPr>
        <w:ind w:right="520" w:firstLine="482"/>
        <w:spacing w:after="0" w:line="247" w:lineRule="auto"/>
        <w:rPr>
          <w:sz w:val="20"/>
          <w:szCs w:val="20"/>
          <w:color w:val="auto"/>
        </w:rPr>
      </w:pPr>
      <w:r>
        <w:rPr>
          <w:rFonts w:ascii="Times New Roman" w:cs="Times New Roman" w:eastAsia="Times New Roman" w:hAnsi="Times New Roman"/>
          <w:sz w:val="13"/>
          <w:szCs w:val="13"/>
          <w:color w:val="auto"/>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Book-Entry Holders</w:t>
      </w:r>
    </w:p>
    <w:p>
      <w:pPr>
        <w:spacing w:after="0" w:line="156" w:lineRule="exact"/>
        <w:rPr>
          <w:sz w:val="20"/>
          <w:szCs w:val="20"/>
          <w:color w:val="auto"/>
        </w:rPr>
      </w:pPr>
    </w:p>
    <w:p>
      <w:pPr>
        <w:ind w:right="160" w:firstLine="482"/>
        <w:spacing w:after="0" w:line="232" w:lineRule="auto"/>
        <w:rPr>
          <w:sz w:val="20"/>
          <w:szCs w:val="20"/>
          <w:color w:val="auto"/>
        </w:rPr>
      </w:pPr>
      <w:r>
        <w:rPr>
          <w:rFonts w:ascii="Times New Roman" w:cs="Times New Roman" w:eastAsia="Times New Roman" w:hAnsi="Times New Roman"/>
          <w:sz w:val="13"/>
          <w:szCs w:val="13"/>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60"/>
          </w:cols>
          <w:pgMar w:left="300" w:top="689" w:right="339" w:bottom="1440" w:gutter="0" w:footer="0" w:header="0"/>
        </w:sectPr>
      </w:pPr>
    </w:p>
    <w:bookmarkStart w:id="26" w:name="page27"/>
    <w:bookmarkEnd w:id="26"/>
    <w:p>
      <w:pPr>
        <w:ind w:right="200" w:firstLine="482"/>
        <w:spacing w:after="0" w:line="228" w:lineRule="auto"/>
        <w:rPr>
          <w:sz w:val="20"/>
          <w:szCs w:val="20"/>
          <w:color w:val="auto"/>
        </w:rPr>
      </w:pPr>
      <w:r>
        <w:rPr>
          <w:rFonts w:ascii="Times New Roman" w:cs="Times New Roman" w:eastAsia="Times New Roman" w:hAnsi="Times New Roman"/>
          <w:sz w:val="13"/>
          <w:szCs w:val="13"/>
          <w:color w:val="auto"/>
        </w:rPr>
        <w:t>Under the indentures,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w:t>
      </w:r>
    </w:p>
    <w:p>
      <w:pPr>
        <w:spacing w:after="0" w:line="1"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13"/>
          <w:szCs w:val="13"/>
          <w:color w:val="auto"/>
        </w:rPr>
        <w:t>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As a result, investors will not own debt securities directly. Instead, they will own beneficial interests in a global security, through a bank, broker or other financial institution that participates in the</w:t>
      </w:r>
    </w:p>
    <w:p>
      <w:pPr>
        <w:spacing w:after="0" w:line="5"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3"/>
          <w:szCs w:val="13"/>
          <w:color w:val="auto"/>
        </w:rPr>
        <w:t>depositary’s book-entry system or holds an interest through a participant. As long as the debt securities are represented by one or more global securities, investors will be indirect holders, and not holders, of the debt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Street Name Holders</w:t>
      </w:r>
    </w:p>
    <w:p>
      <w:pPr>
        <w:spacing w:after="0" w:line="156" w:lineRule="exact"/>
        <w:rPr>
          <w:sz w:val="20"/>
          <w:szCs w:val="20"/>
          <w:color w:val="auto"/>
        </w:rPr>
      </w:pPr>
    </w:p>
    <w:p>
      <w:pPr>
        <w:ind w:right="240" w:firstLine="482"/>
        <w:spacing w:after="0" w:line="232" w:lineRule="auto"/>
        <w:rPr>
          <w:sz w:val="20"/>
          <w:szCs w:val="20"/>
          <w:color w:val="auto"/>
        </w:rPr>
      </w:pPr>
      <w:r>
        <w:rPr>
          <w:rFonts w:ascii="Times New Roman" w:cs="Times New Roman" w:eastAsia="Times New Roman" w:hAnsi="Times New Roman"/>
          <w:sz w:val="13"/>
          <w:szCs w:val="13"/>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spacing w:after="0" w:line="128" w:lineRule="exact"/>
        <w:rPr>
          <w:sz w:val="20"/>
          <w:szCs w:val="20"/>
          <w:color w:val="auto"/>
        </w:rPr>
      </w:pPr>
    </w:p>
    <w:p>
      <w:pPr>
        <w:jc w:val="both"/>
        <w:ind w:right="200" w:firstLine="482"/>
        <w:spacing w:after="0" w:line="232" w:lineRule="auto"/>
        <w:rPr>
          <w:sz w:val="20"/>
          <w:szCs w:val="20"/>
          <w:color w:val="auto"/>
        </w:rPr>
      </w:pPr>
      <w:r>
        <w:rPr>
          <w:rFonts w:ascii="Times New Roman" w:cs="Times New Roman" w:eastAsia="Times New Roman" w:hAnsi="Times New Roman"/>
          <w:sz w:val="13"/>
          <w:szCs w:val="13"/>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Legal Holders</w:t>
      </w:r>
    </w:p>
    <w:p>
      <w:pPr>
        <w:spacing w:after="0" w:line="145" w:lineRule="exact"/>
        <w:rPr>
          <w:sz w:val="20"/>
          <w:szCs w:val="20"/>
          <w:color w:val="auto"/>
        </w:rPr>
      </w:pPr>
    </w:p>
    <w:p>
      <w:pPr>
        <w:ind w:right="160" w:firstLine="482"/>
        <w:spacing w:after="0" w:line="228" w:lineRule="auto"/>
        <w:rPr>
          <w:sz w:val="20"/>
          <w:szCs w:val="20"/>
          <w:color w:val="auto"/>
        </w:rPr>
      </w:pPr>
      <w:r>
        <w:rPr>
          <w:rFonts w:ascii="Times New Roman" w:cs="Times New Roman" w:eastAsia="Times New Roman" w:hAnsi="Times New Roman"/>
          <w:sz w:val="13"/>
          <w:szCs w:val="13"/>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security or has no choice because we are issuing the debt securities only in book-entry form.</w:t>
      </w:r>
    </w:p>
    <w:p>
      <w:pPr>
        <w:spacing w:after="0" w:line="127" w:lineRule="exact"/>
        <w:rPr>
          <w:sz w:val="20"/>
          <w:szCs w:val="20"/>
          <w:color w:val="auto"/>
        </w:rPr>
      </w:pPr>
    </w:p>
    <w:p>
      <w:pPr>
        <w:ind w:right="20" w:firstLine="482"/>
        <w:spacing w:after="0" w:line="228" w:lineRule="auto"/>
        <w:rPr>
          <w:sz w:val="20"/>
          <w:szCs w:val="20"/>
          <w:color w:val="auto"/>
        </w:rPr>
      </w:pPr>
      <w:r>
        <w:rPr>
          <w:rFonts w:ascii="Times New Roman" w:cs="Times New Roman" w:eastAsia="Times New Roman" w:hAnsi="Times New Roman"/>
          <w:sz w:val="13"/>
          <w:szCs w:val="13"/>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w:t>
      </w:r>
    </w:p>
    <w:p>
      <w:pPr>
        <w:spacing w:after="0" w:line="1"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3"/>
          <w:szCs w:val="13"/>
          <w:color w:val="auto"/>
        </w:rPr>
        <w:t>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18" w:lineRule="exact"/>
        <w:rPr>
          <w:sz w:val="20"/>
          <w:szCs w:val="20"/>
          <w:color w:val="auto"/>
        </w:rPr>
      </w:pPr>
    </w:p>
    <w:p>
      <w:pPr>
        <w:ind w:firstLine="482"/>
        <w:spacing w:after="0" w:line="263" w:lineRule="auto"/>
        <w:rPr>
          <w:sz w:val="20"/>
          <w:szCs w:val="20"/>
          <w:color w:val="auto"/>
        </w:rPr>
      </w:pPr>
      <w:r>
        <w:rPr>
          <w:rFonts w:ascii="Times New Roman" w:cs="Times New Roman" w:eastAsia="Times New Roman" w:hAnsi="Times New Roman"/>
          <w:sz w:val="13"/>
          <w:szCs w:val="13"/>
          <w:color w:val="auto"/>
        </w:rPr>
        <w:t>When we refer to you in this Description of Our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Special Considerations for Indirect Holders</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If you hold debt securities through a bank, broker or other financial institution, either in book-entry form or in street name, we urge you to check with that institution to find out:</w:t>
      </w:r>
    </w:p>
    <w:p>
      <w:pPr>
        <w:spacing w:after="0" w:line="152" w:lineRule="exact"/>
        <w:rPr>
          <w:sz w:val="20"/>
          <w:szCs w:val="20"/>
          <w:color w:val="auto"/>
        </w:rPr>
      </w:pPr>
    </w:p>
    <w:p>
      <w:pPr>
        <w:ind w:left="480" w:hanging="239"/>
        <w:spacing w:after="0"/>
        <w:tabs>
          <w:tab w:leader="none" w:pos="480" w:val="left"/>
        </w:tabs>
        <w:numPr>
          <w:ilvl w:val="0"/>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how it handles securities payments and notices;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whether it imposes fees or charges;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how it would handle a request for the holders’ consent, if ever required;</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whether and how you can instruct it to send you debt securities registered in your own name so you can be a holder, if that is permitted in the future for a particular series of debt securities;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how it would exercise rights under the debt securities if there were a default or other event triggering the need for holders to act to protect their interests; and</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if the debt securities are in book-entry form, how the depositary’s rules and procedures will affect these matters.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89"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color w:val="auto"/>
        </w:rPr>
        <w:t>Global Securities</w:t>
      </w:r>
    </w:p>
    <w:p>
      <w:pPr>
        <w:spacing w:after="0" w:line="145" w:lineRule="exact"/>
        <w:rPr>
          <w:sz w:val="20"/>
          <w:szCs w:val="20"/>
          <w:color w:val="auto"/>
        </w:rPr>
      </w:pPr>
    </w:p>
    <w:p>
      <w:pPr>
        <w:ind w:right="200" w:firstLine="482"/>
        <w:spacing w:after="0" w:line="263" w:lineRule="auto"/>
        <w:rPr>
          <w:sz w:val="20"/>
          <w:szCs w:val="20"/>
          <w:color w:val="auto"/>
        </w:rPr>
      </w:pPr>
      <w:r>
        <w:rPr>
          <w:rFonts w:ascii="Times New Roman" w:cs="Times New Roman" w:eastAsia="Times New Roman" w:hAnsi="Times New Roman"/>
          <w:sz w:val="13"/>
          <w:szCs w:val="13"/>
          <w:color w:val="auto"/>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04" w:lineRule="exact"/>
        <w:rPr>
          <w:sz w:val="20"/>
          <w:szCs w:val="20"/>
          <w:color w:val="auto"/>
        </w:rPr>
      </w:pPr>
    </w:p>
    <w:p>
      <w:pPr>
        <w:jc w:val="both"/>
        <w:ind w:right="180" w:firstLine="482"/>
        <w:spacing w:after="0" w:line="228" w:lineRule="auto"/>
        <w:rPr>
          <w:sz w:val="20"/>
          <w:szCs w:val="20"/>
          <w:color w:val="auto"/>
        </w:rPr>
      </w:pPr>
      <w:r>
        <w:rPr>
          <w:rFonts w:ascii="Times New Roman" w:cs="Times New Roman" w:eastAsia="Times New Roman" w:hAnsi="Times New Roman"/>
          <w:sz w:val="13"/>
          <w:szCs w:val="13"/>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will be the depositary for all debt securities issued in book-entry form.</w:t>
      </w:r>
    </w:p>
    <w:p>
      <w:pPr>
        <w:spacing w:after="0" w:line="127" w:lineRule="exact"/>
        <w:rPr>
          <w:sz w:val="20"/>
          <w:szCs w:val="20"/>
          <w:color w:val="auto"/>
        </w:rPr>
      </w:pPr>
    </w:p>
    <w:p>
      <w:pPr>
        <w:ind w:right="120" w:firstLine="482"/>
        <w:spacing w:after="0" w:line="228" w:lineRule="auto"/>
        <w:rPr>
          <w:sz w:val="20"/>
          <w:szCs w:val="20"/>
          <w:color w:val="auto"/>
        </w:rPr>
      </w:pPr>
      <w:r>
        <w:rPr>
          <w:rFonts w:ascii="Times New Roman" w:cs="Times New Roman" w:eastAsia="Times New Roman" w:hAnsi="Times New Roman"/>
          <w:sz w:val="13"/>
          <w:szCs w:val="13"/>
          <w:color w:val="auto"/>
        </w:rPr>
        <w:t>A global security may not be transferred to or registered in the name of anyone other than the depositary or its nominee, unless special termination situations arise. We describe those situations below under “— Termination of a Global Security.” As a result of these arrangements, the depositary, or its nominee, will be the sole registered owner and holder of all debt securities represented by a global security,</w:t>
      </w:r>
    </w:p>
    <w:p>
      <w:pPr>
        <w:spacing w:after="0" w:line="1" w:lineRule="exact"/>
        <w:rPr>
          <w:sz w:val="20"/>
          <w:szCs w:val="20"/>
          <w:color w:val="auto"/>
        </w:rPr>
      </w:pPr>
    </w:p>
    <w:p>
      <w:pPr>
        <w:jc w:val="both"/>
        <w:ind w:right="160"/>
        <w:spacing w:after="0" w:line="224" w:lineRule="auto"/>
        <w:rPr>
          <w:sz w:val="20"/>
          <w:szCs w:val="20"/>
          <w:color w:val="auto"/>
        </w:rPr>
      </w:pPr>
      <w:r>
        <w:rPr>
          <w:rFonts w:ascii="Times New Roman" w:cs="Times New Roman" w:eastAsia="Times New Roman" w:hAnsi="Times New Roman"/>
          <w:sz w:val="13"/>
          <w:szCs w:val="13"/>
          <w:color w:val="auto"/>
        </w:rPr>
        <w:t>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Special Considerations for Global Securities</w:t>
      </w:r>
    </w:p>
    <w:p>
      <w:pPr>
        <w:spacing w:after="0" w:line="145" w:lineRule="exact"/>
        <w:rPr>
          <w:sz w:val="20"/>
          <w:szCs w:val="20"/>
          <w:color w:val="auto"/>
        </w:rPr>
      </w:pPr>
    </w:p>
    <w:p>
      <w:pPr>
        <w:ind w:right="60" w:firstLine="482"/>
        <w:spacing w:after="0" w:line="247" w:lineRule="auto"/>
        <w:rPr>
          <w:sz w:val="20"/>
          <w:szCs w:val="20"/>
          <w:color w:val="auto"/>
        </w:rPr>
      </w:pPr>
      <w:r>
        <w:rPr>
          <w:rFonts w:ascii="Times New Roman" w:cs="Times New Roman" w:eastAsia="Times New Roman" w:hAnsi="Times New Roman"/>
          <w:sz w:val="13"/>
          <w:szCs w:val="13"/>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debt securities are issued only in the form of a global security, an investor should be aware of the following:</w:t>
      </w:r>
    </w:p>
    <w:p>
      <w:pPr>
        <w:spacing w:after="0" w:line="141" w:lineRule="exact"/>
        <w:rPr>
          <w:sz w:val="20"/>
          <w:szCs w:val="20"/>
          <w:color w:val="auto"/>
        </w:rPr>
      </w:pPr>
    </w:p>
    <w:p>
      <w:pPr>
        <w:ind w:left="480" w:right="380" w:hanging="239"/>
        <w:spacing w:after="0" w:line="247" w:lineRule="auto"/>
        <w:tabs>
          <w:tab w:leader="none" w:pos="477"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 investor cannot cause the debt securities to be registered in his or her name and cannot obtain certificates for his or her interest in the debt securities, except in the special situations we describe below;</w:t>
      </w:r>
    </w:p>
    <w:p>
      <w:pPr>
        <w:spacing w:after="0" w:line="123" w:lineRule="exact"/>
        <w:rPr>
          <w:rFonts w:ascii="Times New Roman" w:cs="Times New Roman" w:eastAsia="Times New Roman" w:hAnsi="Times New Roman"/>
          <w:sz w:val="13"/>
          <w:szCs w:val="13"/>
          <w:color w:val="231F20"/>
        </w:rPr>
      </w:pPr>
    </w:p>
    <w:p>
      <w:pPr>
        <w:ind w:left="480" w:right="60" w:hanging="239"/>
        <w:spacing w:after="0" w:line="247" w:lineRule="auto"/>
        <w:tabs>
          <w:tab w:leader="none" w:pos="477"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 investor will be an indirect holder and must look to his or her own bank, broker or other financial institution for payments on the debt securities and protection of his or her legal rights relating to the debt securities, as we describe under “— Issuance of Securities in Registered Form” above;</w:t>
      </w:r>
    </w:p>
    <w:p>
      <w:pPr>
        <w:spacing w:after="0" w:line="113"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 investor may not be able to sell interests in the debt securities to some insurance companies and other institutions that are required by law to own their securities in non-book-entry form;</w:t>
      </w:r>
    </w:p>
    <w:p>
      <w:pPr>
        <w:spacing w:after="0" w:line="151" w:lineRule="exact"/>
        <w:rPr>
          <w:rFonts w:ascii="Times New Roman" w:cs="Times New Roman" w:eastAsia="Times New Roman" w:hAnsi="Times New Roman"/>
          <w:sz w:val="13"/>
          <w:szCs w:val="13"/>
          <w:color w:val="231F20"/>
        </w:rPr>
      </w:pPr>
    </w:p>
    <w:p>
      <w:pPr>
        <w:ind w:left="480" w:right="60" w:hanging="239"/>
        <w:spacing w:after="0" w:line="247" w:lineRule="auto"/>
        <w:tabs>
          <w:tab w:leader="none" w:pos="477"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113" w:lineRule="exact"/>
        <w:rPr>
          <w:rFonts w:ascii="Times New Roman" w:cs="Times New Roman" w:eastAsia="Times New Roman" w:hAnsi="Times New Roman"/>
          <w:sz w:val="13"/>
          <w:szCs w:val="13"/>
          <w:color w:val="231F20"/>
        </w:rPr>
      </w:pPr>
    </w:p>
    <w:p>
      <w:pPr>
        <w:ind w:left="480" w:right="20" w:hanging="239"/>
        <w:spacing w:after="0" w:line="263" w:lineRule="auto"/>
        <w:tabs>
          <w:tab w:leader="none" w:pos="477"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103"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if we redeem less than all the debt securities of a particular series being redeemed, DTC’s practice is to determine by lot the amount to be redeemed from each of its participants holding that series;</w:t>
      </w:r>
    </w:p>
    <w:p>
      <w:pPr>
        <w:spacing w:after="0" w:line="141" w:lineRule="exact"/>
        <w:rPr>
          <w:rFonts w:ascii="Times New Roman" w:cs="Times New Roman" w:eastAsia="Times New Roman" w:hAnsi="Times New Roman"/>
          <w:sz w:val="13"/>
          <w:szCs w:val="13"/>
          <w:color w:val="231F20"/>
        </w:rPr>
      </w:pPr>
    </w:p>
    <w:p>
      <w:pPr>
        <w:ind w:left="480" w:hanging="239"/>
        <w:spacing w:after="0" w:line="263" w:lineRule="auto"/>
        <w:tabs>
          <w:tab w:leader="none" w:pos="477"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103" w:lineRule="exact"/>
        <w:rPr>
          <w:rFonts w:ascii="Times New Roman" w:cs="Times New Roman" w:eastAsia="Times New Roman" w:hAnsi="Times New Roman"/>
          <w:sz w:val="13"/>
          <w:szCs w:val="13"/>
          <w:color w:val="231F20"/>
        </w:rPr>
      </w:pPr>
    </w:p>
    <w:p>
      <w:pPr>
        <w:ind w:left="480" w:right="500" w:hanging="239"/>
        <w:spacing w:after="0" w:line="247" w:lineRule="auto"/>
        <w:tabs>
          <w:tab w:leader="none" w:pos="477"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spacing w:after="0" w:line="123" w:lineRule="exact"/>
        <w:rPr>
          <w:rFonts w:ascii="Times New Roman" w:cs="Times New Roman" w:eastAsia="Times New Roman" w:hAnsi="Times New Roman"/>
          <w:sz w:val="13"/>
          <w:szCs w:val="13"/>
          <w:color w:val="231F20"/>
        </w:rPr>
      </w:pPr>
    </w:p>
    <w:p>
      <w:pPr>
        <w:ind w:left="480" w:right="180" w:hanging="239"/>
        <w:spacing w:after="0" w:line="232" w:lineRule="auto"/>
        <w:tabs>
          <w:tab w:leader="none" w:pos="477"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nor are we responsible for the actions of, any of those intermediaries.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Termination of a Global Security</w:t>
      </w:r>
    </w:p>
    <w:p>
      <w:pPr>
        <w:spacing w:after="0" w:line="145" w:lineRule="exact"/>
        <w:rPr>
          <w:sz w:val="20"/>
          <w:szCs w:val="20"/>
          <w:color w:val="auto"/>
        </w:rPr>
      </w:pPr>
    </w:p>
    <w:p>
      <w:pPr>
        <w:ind w:right="180" w:firstLine="482"/>
        <w:spacing w:after="0" w:line="247" w:lineRule="auto"/>
        <w:rPr>
          <w:sz w:val="20"/>
          <w:szCs w:val="20"/>
          <w:color w:val="auto"/>
        </w:rPr>
      </w:pPr>
      <w:r>
        <w:rPr>
          <w:rFonts w:ascii="Times New Roman" w:cs="Times New Roman" w:eastAsia="Times New Roman" w:hAnsi="Times New Roman"/>
          <w:sz w:val="13"/>
          <w:szCs w:val="13"/>
          <w:color w:val="auto"/>
        </w:rPr>
        <w:t>If a global security is terminated for any reason, interests in it will be exchanged for certificates in non-book-entry form (certificated securities). After that exchange, the choice of whether to hold the certificated debt securities directly or in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85" w:right="319" w:bottom="1440" w:gutter="0" w:footer="0" w:header="0"/>
        </w:sectPr>
      </w:pPr>
    </w:p>
    <w:bookmarkStart w:id="28" w:name="page29"/>
    <w:bookmarkEnd w:id="28"/>
    <w:p>
      <w:pPr>
        <w:ind w:right="220"/>
        <w:spacing w:after="0" w:line="247" w:lineRule="auto"/>
        <w:rPr>
          <w:sz w:val="20"/>
          <w:szCs w:val="20"/>
          <w:color w:val="auto"/>
        </w:rPr>
      </w:pPr>
      <w:r>
        <w:rPr>
          <w:rFonts w:ascii="Times New Roman" w:cs="Times New Roman" w:eastAsia="Times New Roman" w:hAnsi="Times New Roman"/>
          <w:sz w:val="13"/>
          <w:szCs w:val="13"/>
          <w:color w:val="auto"/>
        </w:rPr>
        <w:t>street name will be up to the investor. Investors must consult their own banks, brokers or other financial institution to find out how to have their interests in a global security transferred on termination to their own names, so that they will be holders. We have described the rights of legal holders and street name investors under “— Issuance of Securities in Registered Form” above.</w:t>
      </w:r>
    </w:p>
    <w:p>
      <w:pPr>
        <w:spacing w:after="0" w:line="124" w:lineRule="exact"/>
        <w:rPr>
          <w:sz w:val="20"/>
          <w:szCs w:val="20"/>
          <w:color w:val="auto"/>
        </w:rPr>
      </w:pPr>
    </w:p>
    <w:p>
      <w:pPr>
        <w:ind w:right="60" w:firstLine="482"/>
        <w:spacing w:after="0" w:line="232" w:lineRule="auto"/>
        <w:rPr>
          <w:sz w:val="20"/>
          <w:szCs w:val="20"/>
          <w:color w:val="auto"/>
        </w:rPr>
      </w:pPr>
      <w:r>
        <w:rPr>
          <w:rFonts w:ascii="Times New Roman" w:cs="Times New Roman" w:eastAsia="Times New Roman" w:hAnsi="Times New Roman"/>
          <w:sz w:val="13"/>
          <w:szCs w:val="13"/>
          <w:color w:val="auto"/>
        </w:rPr>
        <w:t>The prospectus supplement may list situations for terminating a global security that would apply only to the particular series of debt securities covered by the prospectus supplement. If a global security is terminated, only the depositary, and not us or the applicable trustee, is responsible for deciding the investors in whose names the debt securities represented by the global security will be registered and, therefore, who will be the holders of those debt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Payment and Paying Agents</w:t>
      </w:r>
    </w:p>
    <w:p>
      <w:pPr>
        <w:spacing w:after="0" w:line="145" w:lineRule="exact"/>
        <w:rPr>
          <w:sz w:val="20"/>
          <w:szCs w:val="20"/>
          <w:color w:val="auto"/>
        </w:rPr>
      </w:pPr>
    </w:p>
    <w:p>
      <w:pPr>
        <w:ind w:right="220" w:firstLine="482"/>
        <w:spacing w:after="0" w:line="228" w:lineRule="auto"/>
        <w:rPr>
          <w:sz w:val="20"/>
          <w:szCs w:val="20"/>
          <w:color w:val="auto"/>
        </w:rPr>
      </w:pPr>
      <w:r>
        <w:rPr>
          <w:rFonts w:ascii="Times New Roman" w:cs="Times New Roman" w:eastAsia="Times New Roman" w:hAnsi="Times New Roman"/>
          <w:sz w:val="13"/>
          <w:szCs w:val="13"/>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Since we will pay all the interest for an</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3"/>
          <w:szCs w:val="13"/>
          <w:color w:val="auto"/>
        </w:rPr>
        <w:t>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Payments on Global Securities</w:t>
      </w:r>
    </w:p>
    <w:p>
      <w:pPr>
        <w:spacing w:after="0" w:line="156" w:lineRule="exact"/>
        <w:rPr>
          <w:sz w:val="20"/>
          <w:szCs w:val="20"/>
          <w:color w:val="auto"/>
        </w:rPr>
      </w:pPr>
    </w:p>
    <w:p>
      <w:pPr>
        <w:jc w:val="both"/>
        <w:ind w:right="360" w:firstLine="482"/>
        <w:spacing w:after="0" w:line="232" w:lineRule="auto"/>
        <w:rPr>
          <w:sz w:val="20"/>
          <w:szCs w:val="20"/>
          <w:color w:val="auto"/>
        </w:rPr>
      </w:pPr>
      <w:r>
        <w:rPr>
          <w:rFonts w:ascii="Times New Roman" w:cs="Times New Roman" w:eastAsia="Times New Roman" w:hAnsi="Times New Roman"/>
          <w:sz w:val="13"/>
          <w:szCs w:val="13"/>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Special Considerations for Global Securities.”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Payments on Certificated Securities</w:t>
      </w:r>
    </w:p>
    <w:p>
      <w:pPr>
        <w:spacing w:after="0" w:line="145" w:lineRule="exact"/>
        <w:rPr>
          <w:sz w:val="20"/>
          <w:szCs w:val="20"/>
          <w:color w:val="auto"/>
        </w:rPr>
      </w:pPr>
    </w:p>
    <w:p>
      <w:pPr>
        <w:ind w:right="20" w:firstLine="482"/>
        <w:spacing w:after="0" w:line="228" w:lineRule="auto"/>
        <w:rPr>
          <w:sz w:val="20"/>
          <w:szCs w:val="20"/>
          <w:color w:val="auto"/>
        </w:rPr>
      </w:pPr>
      <w:r>
        <w:rPr>
          <w:rFonts w:ascii="Times New Roman" w:cs="Times New Roman" w:eastAsia="Times New Roman" w:hAnsi="Times New Roman"/>
          <w:sz w:val="13"/>
          <w:szCs w:val="13"/>
          <w:color w:val="auto"/>
        </w:rPr>
        <w:t>We will make payments on a certificated debt security as follows. We will pay interest that is due on an interest payment date to the holder of debt securities as shown on the trustee’s records as of the close of business on the regular record date at our office in New York, New York, as applicable, and/or at other offices that may be specified in the prospectus supplement. We will make all payments of principal</w:t>
      </w:r>
    </w:p>
    <w:p>
      <w:pPr>
        <w:spacing w:after="0" w:line="1"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3"/>
          <w:szCs w:val="13"/>
          <w:color w:val="auto"/>
        </w:rPr>
        <w:t>and premium, if any, by check at the office of the applicable trustee in New York, New York and/or at other offices that may be specified in the prospectus supplement or in a notice to holders against surrender of the debt security.</w:t>
      </w:r>
    </w:p>
    <w:p>
      <w:pPr>
        <w:spacing w:after="0" w:line="118" w:lineRule="exact"/>
        <w:rPr>
          <w:sz w:val="20"/>
          <w:szCs w:val="20"/>
          <w:color w:val="auto"/>
        </w:rPr>
      </w:pPr>
    </w:p>
    <w:p>
      <w:pPr>
        <w:ind w:firstLine="482"/>
        <w:spacing w:after="0" w:line="263" w:lineRule="auto"/>
        <w:rPr>
          <w:sz w:val="20"/>
          <w:szCs w:val="20"/>
          <w:color w:val="auto"/>
        </w:rPr>
      </w:pPr>
      <w:r>
        <w:rPr>
          <w:rFonts w:ascii="Times New Roman" w:cs="Times New Roman" w:eastAsia="Times New Roman" w:hAnsi="Times New Roman"/>
          <w:sz w:val="13"/>
          <w:szCs w:val="13"/>
          <w:color w:val="auto"/>
        </w:rPr>
        <w:t>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Payment When Offices Are Closed</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If any payment is due on a debt security on a day that is not a business day, we will make the payment on the next day that is a business day. Payments made on the next business day in this situation</w:t>
      </w:r>
    </w:p>
    <w:p>
      <w:pPr>
        <w:spacing w:after="0" w:line="5"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3"/>
          <w:szCs w:val="13"/>
          <w:color w:val="auto"/>
        </w:rPr>
        <w:t>will be treated under the indentures as if they were made on the original due date, except as otherwise indicated in any prospectus supplement. Such payment will not result in a default under any debt security or the indentures, and no interest will accrue on the payment amount from the original due date to the next day that is a business day.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Book-entry and other indirect holders should consult their banks or brokers for information on how they will receive payments on their debt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Events of Default</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Unless otherwise indicated in the applicable prospectus supplement, the following are Events of Default under the senior notes indenture with respect to the senior debt securities:</w:t>
      </w:r>
    </w:p>
    <w:p>
      <w:pPr>
        <w:spacing w:after="0" w:line="141" w:lineRule="exact"/>
        <w:rPr>
          <w:sz w:val="20"/>
          <w:szCs w:val="20"/>
          <w:color w:val="auto"/>
        </w:rPr>
      </w:pPr>
    </w:p>
    <w:p>
      <w:pPr>
        <w:ind w:left="480" w:hanging="239"/>
        <w:spacing w:after="0"/>
        <w:tabs>
          <w:tab w:leader="none" w:pos="480" w:val="left"/>
        </w:tabs>
        <w:numPr>
          <w:ilvl w:val="0"/>
          <w:numId w:val="1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default in the payment of all or any part of the principal (or premium, if any), if any, on senior debt securities at maturity;</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default in the payment of any interest on the senior debt securities, when it becomes due and payable, and continuance of such default for a period of 30 days which continues for 30 days;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default in the deposit of any sinking fund payment on the senior debt securities when due;</w:t>
      </w:r>
    </w:p>
    <w:p>
      <w:pPr>
        <w:spacing w:after="0" w:line="141" w:lineRule="exact"/>
        <w:rPr>
          <w:rFonts w:ascii="Times New Roman" w:cs="Times New Roman" w:eastAsia="Times New Roman" w:hAnsi="Times New Roman"/>
          <w:sz w:val="13"/>
          <w:szCs w:val="13"/>
          <w:color w:val="231F20"/>
        </w:rPr>
      </w:pPr>
    </w:p>
    <w:p>
      <w:pPr>
        <w:ind w:left="480" w:right="80" w:hanging="239"/>
        <w:spacing w:after="0" w:line="263" w:lineRule="auto"/>
        <w:tabs>
          <w:tab w:leader="none" w:pos="477" w:val="left"/>
        </w:tabs>
        <w:numPr>
          <w:ilvl w:val="0"/>
          <w:numId w:val="1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default in the performance or breach of any covenant or warranty in the applicable indenture for the benefit of that series of senior debt securities, and continuance of such default or breach for a period of 90 days after written notice has been given of the default or breach in accordance with the senior notes indenture;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89" w:right="319" w:bottom="1440" w:gutter="0" w:footer="0" w:header="0"/>
        </w:sectPr>
      </w:pPr>
    </w:p>
    <w:bookmarkStart w:id="29" w:name="page30"/>
    <w:bookmarkEnd w:id="29"/>
    <w:p>
      <w:pPr>
        <w:ind w:left="480" w:hanging="239"/>
        <w:spacing w:after="0"/>
        <w:tabs>
          <w:tab w:leader="none" w:pos="480" w:val="left"/>
        </w:tabs>
        <w:numPr>
          <w:ilvl w:val="0"/>
          <w:numId w:val="1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specified events of bankruptcy, insolvency or reorganization; and</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other event of default provided with respect to the senior debt securities of any series.</w:t>
      </w:r>
    </w:p>
    <w:p>
      <w:pPr>
        <w:spacing w:after="0" w:line="151" w:lineRule="exact"/>
        <w:rPr>
          <w:rFonts w:ascii="Times New Roman" w:cs="Times New Roman" w:eastAsia="Times New Roman" w:hAnsi="Times New Roman"/>
          <w:sz w:val="13"/>
          <w:szCs w:val="13"/>
          <w:color w:val="231F20"/>
        </w:rPr>
      </w:pPr>
    </w:p>
    <w:p>
      <w:pPr>
        <w:ind w:left="480"/>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Unless otherwise indicated in the applicable prospectus supplement, the following will be Events of Default under the subordinated notes indenture with respect to the subordinated debt securities: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specified events of bankruptcy, insolvency or reorganization; and</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other event of default provided with respect to the subordinated debt securities of any series.</w:t>
      </w:r>
    </w:p>
    <w:p>
      <w:pPr>
        <w:spacing w:after="0" w:line="152" w:lineRule="exact"/>
        <w:rPr>
          <w:sz w:val="20"/>
          <w:szCs w:val="20"/>
          <w:color w:val="auto"/>
        </w:rPr>
      </w:pPr>
    </w:p>
    <w:p>
      <w:pPr>
        <w:ind w:right="140" w:firstLine="482"/>
        <w:spacing w:after="0" w:line="232" w:lineRule="auto"/>
        <w:rPr>
          <w:sz w:val="20"/>
          <w:szCs w:val="20"/>
          <w:color w:val="auto"/>
        </w:rPr>
      </w:pPr>
      <w:r>
        <w:rPr>
          <w:rFonts w:ascii="Times New Roman" w:cs="Times New Roman" w:eastAsia="Times New Roman" w:hAnsi="Times New Roman"/>
          <w:sz w:val="13"/>
          <w:szCs w:val="13"/>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interest, or sinking or purchase fund installment, if it in good faith considers the withholding of notice to be in the interest of the holders.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Remedies if an Event of Default Occurs</w:t>
      </w:r>
    </w:p>
    <w:p>
      <w:pPr>
        <w:spacing w:after="0" w:line="145" w:lineRule="exact"/>
        <w:rPr>
          <w:sz w:val="20"/>
          <w:szCs w:val="20"/>
          <w:color w:val="auto"/>
        </w:rPr>
      </w:pPr>
    </w:p>
    <w:p>
      <w:pPr>
        <w:ind w:right="40" w:firstLine="482"/>
        <w:spacing w:after="0" w:line="228" w:lineRule="auto"/>
        <w:rPr>
          <w:sz w:val="20"/>
          <w:szCs w:val="20"/>
          <w:color w:val="auto"/>
        </w:rPr>
      </w:pPr>
      <w:r>
        <w:rPr>
          <w:rFonts w:ascii="Times New Roman" w:cs="Times New Roman" w:eastAsia="Times New Roman" w:hAnsi="Times New Roman"/>
          <w:sz w:val="13"/>
          <w:szCs w:val="13"/>
          <w:color w:val="auto"/>
        </w:rPr>
        <w:t>Under the indentures, if an Event of Default has occurred and is continuing, the trustee or the holders of not less than 25.0% in principal amount of the debt securities of the affected series may (and the trustee shall at the request of such holders) declare the entire principal amount of all the outstanding debt securities of that series to be due and immediately payable. This is called a declaration of acceleration of</w:t>
      </w:r>
    </w:p>
    <w:p>
      <w:pPr>
        <w:spacing w:after="0" w:line="1" w:lineRule="exact"/>
        <w:rPr>
          <w:sz w:val="20"/>
          <w:szCs w:val="20"/>
          <w:color w:val="auto"/>
        </w:rPr>
      </w:pPr>
    </w:p>
    <w:p>
      <w:pPr>
        <w:ind w:right="220"/>
        <w:spacing w:after="0" w:line="224" w:lineRule="auto"/>
        <w:rPr>
          <w:sz w:val="20"/>
          <w:szCs w:val="20"/>
          <w:color w:val="auto"/>
        </w:rPr>
      </w:pPr>
      <w:r>
        <w:rPr>
          <w:rFonts w:ascii="Times New Roman" w:cs="Times New Roman" w:eastAsia="Times New Roman" w:hAnsi="Times New Roman"/>
          <w:sz w:val="13"/>
          <w:szCs w:val="13"/>
          <w:color w:val="auto"/>
        </w:rPr>
        <w:t>maturity. A declaration of acceleration of maturity may be cancelled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spacing w:after="0" w:line="129" w:lineRule="exact"/>
        <w:rPr>
          <w:sz w:val="20"/>
          <w:szCs w:val="20"/>
          <w:color w:val="auto"/>
        </w:rPr>
      </w:pPr>
    </w:p>
    <w:p>
      <w:pPr>
        <w:ind w:firstLine="482"/>
        <w:spacing w:after="0" w:line="222" w:lineRule="auto"/>
        <w:rPr>
          <w:sz w:val="20"/>
          <w:szCs w:val="20"/>
          <w:color w:val="auto"/>
        </w:rPr>
      </w:pPr>
      <w:r>
        <w:rPr>
          <w:rFonts w:ascii="Times New Roman" w:cs="Times New Roman" w:eastAsia="Times New Roman" w:hAnsi="Times New Roman"/>
          <w:sz w:val="13"/>
          <w:szCs w:val="13"/>
          <w:color w:val="auto"/>
        </w:rPr>
        <w:t>The trustee is not required to take any action under an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exercising any right or remedy will be treated as a waiver of that right, remedy or Event of Default.</w:t>
      </w:r>
    </w:p>
    <w:p>
      <w:pPr>
        <w:spacing w:after="0" w:line="127" w:lineRule="exact"/>
        <w:rPr>
          <w:sz w:val="20"/>
          <w:szCs w:val="20"/>
          <w:color w:val="auto"/>
        </w:rPr>
      </w:pPr>
    </w:p>
    <w:p>
      <w:pPr>
        <w:ind w:right="20" w:firstLine="482"/>
        <w:spacing w:after="0" w:line="247" w:lineRule="auto"/>
        <w:rPr>
          <w:sz w:val="20"/>
          <w:szCs w:val="20"/>
          <w:color w:val="auto"/>
        </w:rPr>
      </w:pPr>
      <w:r>
        <w:rPr>
          <w:rFonts w:ascii="Times New Roman" w:cs="Times New Roman" w:eastAsia="Times New Roman" w:hAnsi="Times New Roman"/>
          <w:sz w:val="13"/>
          <w:szCs w:val="13"/>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124" w:lineRule="exact"/>
        <w:rPr>
          <w:sz w:val="20"/>
          <w:szCs w:val="20"/>
          <w:color w:val="auto"/>
        </w:rPr>
      </w:pPr>
    </w:p>
    <w:p>
      <w:pPr>
        <w:ind w:left="480" w:hanging="239"/>
        <w:spacing w:after="0"/>
        <w:tabs>
          <w:tab w:leader="none" w:pos="480" w:val="left"/>
        </w:tabs>
        <w:numPr>
          <w:ilvl w:val="0"/>
          <w:numId w:val="1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you must give the trustee written notice that an Event of Default with respect to the relevant series of debt securities has occurred and remains uncured;</w:t>
      </w:r>
    </w:p>
    <w:p>
      <w:pPr>
        <w:spacing w:after="0" w:line="141" w:lineRule="exact"/>
        <w:rPr>
          <w:rFonts w:ascii="Times New Roman" w:cs="Times New Roman" w:eastAsia="Times New Roman" w:hAnsi="Times New Roman"/>
          <w:sz w:val="13"/>
          <w:szCs w:val="13"/>
          <w:color w:val="231F20"/>
        </w:rPr>
      </w:pPr>
    </w:p>
    <w:p>
      <w:pPr>
        <w:ind w:left="480" w:right="200" w:hanging="239"/>
        <w:spacing w:after="0" w:line="247" w:lineRule="auto"/>
        <w:tabs>
          <w:tab w:leader="none" w:pos="477" w:val="left"/>
        </w:tabs>
        <w:numPr>
          <w:ilvl w:val="0"/>
          <w:numId w:val="1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holders of at least 25.0% in principal amount of all outstanding debt securities of the relevant series must make a written request that the trustee take action because of the default and must offer a reasonable indemnity to the trustee against the costs, expenses, and other liabilities of taking that action;</w:t>
      </w:r>
    </w:p>
    <w:p>
      <w:pPr>
        <w:spacing w:after="0" w:line="123"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trustee must not have taken action for 60 days after receipt of the above notice and offer of indemnity; and</w:t>
      </w:r>
    </w:p>
    <w:p>
      <w:pPr>
        <w:spacing w:after="0" w:line="141" w:lineRule="exact"/>
        <w:rPr>
          <w:rFonts w:ascii="Times New Roman" w:cs="Times New Roman" w:eastAsia="Times New Roman" w:hAnsi="Times New Roman"/>
          <w:sz w:val="13"/>
          <w:szCs w:val="13"/>
          <w:color w:val="231F20"/>
        </w:rPr>
      </w:pPr>
    </w:p>
    <w:p>
      <w:pPr>
        <w:ind w:left="480" w:right="960" w:hanging="239"/>
        <w:spacing w:after="0" w:line="471" w:lineRule="auto"/>
        <w:tabs>
          <w:tab w:leader="none" w:pos="477" w:val="left"/>
        </w:tabs>
        <w:numPr>
          <w:ilvl w:val="0"/>
          <w:numId w:val="1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holders of a majority in principal amount of the debt securities of that series must not have given the trustee a direction inconsistent with the above notice during that 60-day period. However, you are entitled at any time to bring a lawsuit for the payment of money due on your debt securities on or after the due date.</w:t>
      </w:r>
    </w:p>
    <w:p>
      <w:pPr>
        <w:spacing w:after="0" w:line="1" w:lineRule="exact"/>
        <w:rPr>
          <w:sz w:val="20"/>
          <w:szCs w:val="20"/>
          <w:color w:val="auto"/>
        </w:rPr>
      </w:pPr>
    </w:p>
    <w:p>
      <w:pPr>
        <w:ind w:right="340" w:firstLine="482"/>
        <w:spacing w:after="0" w:line="253" w:lineRule="auto"/>
        <w:rPr>
          <w:sz w:val="20"/>
          <w:szCs w:val="20"/>
          <w:color w:val="auto"/>
        </w:rPr>
      </w:pPr>
      <w:r>
        <w:rPr>
          <w:rFonts w:ascii="Times New Roman" w:cs="Times New Roman" w:eastAsia="Times New Roman" w:hAnsi="Times New Roman"/>
          <w:sz w:val="13"/>
          <w:szCs w:val="13"/>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10" w:lineRule="exact"/>
        <w:rPr>
          <w:sz w:val="20"/>
          <w:szCs w:val="20"/>
          <w:color w:val="auto"/>
        </w:rPr>
      </w:pPr>
    </w:p>
    <w:p>
      <w:pPr>
        <w:ind w:right="560" w:firstLine="482"/>
        <w:spacing w:after="0" w:line="263" w:lineRule="auto"/>
        <w:rPr>
          <w:sz w:val="20"/>
          <w:szCs w:val="20"/>
          <w:color w:val="auto"/>
        </w:rPr>
      </w:pPr>
      <w:r>
        <w:rPr>
          <w:rFonts w:ascii="Times New Roman" w:cs="Times New Roman" w:eastAsia="Times New Roman" w:hAnsi="Times New Roman"/>
          <w:sz w:val="13"/>
          <w:szCs w:val="13"/>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Waiver of Default</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Holders of a majority in principal amount of the outstanding debt securities of the affected series may waive any past defaults other than:</w:t>
      </w:r>
    </w:p>
    <w:p>
      <w:pPr>
        <w:spacing w:after="0" w:line="152" w:lineRule="exact"/>
        <w:rPr>
          <w:sz w:val="20"/>
          <w:szCs w:val="20"/>
          <w:color w:val="auto"/>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payment of principal, any premium or interest on the debt securities of such series; or</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in respect of a covenant that cannot be modified or amended without the consent of each holder of the affected series.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89"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color w:val="auto"/>
        </w:rPr>
        <w:t>Merger or Consolidation</w:t>
      </w:r>
    </w:p>
    <w:p>
      <w:pPr>
        <w:spacing w:after="0" w:line="145" w:lineRule="exact"/>
        <w:rPr>
          <w:sz w:val="20"/>
          <w:szCs w:val="20"/>
          <w:color w:val="auto"/>
        </w:rPr>
      </w:pPr>
    </w:p>
    <w:p>
      <w:pPr>
        <w:ind w:right="560" w:firstLine="482"/>
        <w:spacing w:after="0" w:line="263" w:lineRule="auto"/>
        <w:rPr>
          <w:sz w:val="20"/>
          <w:szCs w:val="20"/>
          <w:color w:val="auto"/>
        </w:rPr>
      </w:pPr>
      <w:r>
        <w:rPr>
          <w:rFonts w:ascii="Times New Roman" w:cs="Times New Roman" w:eastAsia="Times New Roman" w:hAnsi="Times New Roman"/>
          <w:sz w:val="13"/>
          <w:szCs w:val="13"/>
          <w:color w:val="auto"/>
        </w:rPr>
        <w:t>Under the terms of the indentures, we are generally permitted to consolidate or merge with another entity that is incorporated under U.S. federal or state law. We are also permitted to sell all or substantially all of our assets to any such entity. However, we may not take any of these actions unless all the following conditions are met:</w:t>
      </w:r>
    </w:p>
    <w:p>
      <w:pPr>
        <w:spacing w:after="0" w:line="104" w:lineRule="exact"/>
        <w:rPr>
          <w:sz w:val="20"/>
          <w:szCs w:val="20"/>
          <w:color w:val="auto"/>
        </w:rPr>
      </w:pPr>
    </w:p>
    <w:p>
      <w:pPr>
        <w:ind w:left="480" w:hanging="239"/>
        <w:spacing w:after="0"/>
        <w:tabs>
          <w:tab w:leader="none" w:pos="480" w:val="left"/>
        </w:tabs>
        <w:numPr>
          <w:ilvl w:val="0"/>
          <w:numId w:val="1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where we merge out of existence or sell substantially all of our assets, the resulting entity or transferee must agree to be legally responsible for our obligations under the debt securities;</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immediately after giving effect to the transaction, no event of default under the indenture shall have occurred and be continuing;</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we must deliver certain certificates and documents to the trustee; and</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1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we must satisfy any other requirements specified in the indenture and/or supplemental indenture relating to a particular series of debt securities.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Modification or Waiver</w:t>
      </w:r>
    </w:p>
    <w:p>
      <w:pPr>
        <w:spacing w:after="0" w:line="156" w:lineRule="exact"/>
        <w:rPr>
          <w:sz w:val="20"/>
          <w:szCs w:val="20"/>
          <w:color w:val="auto"/>
        </w:rPr>
      </w:pPr>
    </w:p>
    <w:p>
      <w:pPr>
        <w:ind w:firstLine="482"/>
        <w:spacing w:after="0" w:line="279" w:lineRule="auto"/>
        <w:rPr>
          <w:sz w:val="20"/>
          <w:szCs w:val="20"/>
          <w:color w:val="auto"/>
        </w:rPr>
      </w:pPr>
      <w:r>
        <w:rPr>
          <w:rFonts w:ascii="Times New Roman" w:cs="Times New Roman" w:eastAsia="Times New Roman" w:hAnsi="Times New Roman"/>
          <w:sz w:val="13"/>
          <w:szCs w:val="13"/>
          <w:color w:val="auto"/>
        </w:rPr>
        <w:t>Unless otherwise indicated in the applicable prospectus supplement, without the consent of any holders of any series of debt securities, the Company, when authorized by a board resolution, and the trustee, at any time and from time to time, may enter into one or more supplemental indentures, in form satisfactory to the trustee, for any of the following purposes:</w:t>
      </w:r>
    </w:p>
    <w:p>
      <w:pPr>
        <w:spacing w:after="0" w:line="124" w:lineRule="exact"/>
        <w:rPr>
          <w:sz w:val="20"/>
          <w:szCs w:val="20"/>
          <w:color w:val="auto"/>
        </w:rPr>
      </w:pPr>
    </w:p>
    <w:p>
      <w:pPr>
        <w:ind w:left="480" w:hanging="239"/>
        <w:spacing w:after="0"/>
        <w:tabs>
          <w:tab w:leader="none" w:pos="480" w:val="left"/>
        </w:tabs>
        <w:numPr>
          <w:ilvl w:val="0"/>
          <w:numId w:val="19"/>
        </w:numPr>
        <w:rPr>
          <w:rFonts w:ascii="Arial" w:cs="Arial" w:eastAsia="Arial" w:hAnsi="Arial"/>
          <w:sz w:val="13"/>
          <w:szCs w:val="13"/>
          <w:color w:val="auto"/>
        </w:rPr>
      </w:pPr>
      <w:r>
        <w:rPr>
          <w:rFonts w:ascii="Times New Roman" w:cs="Times New Roman" w:eastAsia="Times New Roman" w:hAnsi="Times New Roman"/>
          <w:sz w:val="13"/>
          <w:szCs w:val="13"/>
          <w:color w:val="auto"/>
        </w:rPr>
        <w:t>to evidence the succession of another person to the Company and the assumption by any such successor of the covenants of the Company in the applicable indenture and in the debt securities; or</w:t>
      </w:r>
    </w:p>
    <w:p>
      <w:pPr>
        <w:spacing w:after="0" w:line="14" w:lineRule="exact"/>
        <w:rPr>
          <w:rFonts w:ascii="Arial" w:cs="Arial" w:eastAsia="Arial" w:hAnsi="Arial"/>
          <w:sz w:val="13"/>
          <w:szCs w:val="13"/>
          <w:color w:val="auto"/>
        </w:rPr>
      </w:pPr>
    </w:p>
    <w:p>
      <w:pPr>
        <w:ind w:left="480" w:right="160" w:hanging="239"/>
        <w:spacing w:after="0" w:line="241" w:lineRule="auto"/>
        <w:tabs>
          <w:tab w:leader="none" w:pos="477"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to the covenants of the Company for the benefit of the holders of all or any series of debt securities under the applicable indenture (and if such covenants are to be for the benefit of less than all series of debt securities, stating that such covenants are expressly being included solely for the benefit of such series), or to surrender any right or power conferred upon the Company pursuant to an indenture; or</w:t>
      </w:r>
    </w:p>
    <w:p>
      <w:pPr>
        <w:spacing w:after="0" w:line="1" w:lineRule="exact"/>
        <w:rPr>
          <w:rFonts w:ascii="Times New Roman" w:cs="Times New Roman" w:eastAsia="Times New Roman" w:hAnsi="Times New Roman"/>
          <w:sz w:val="13"/>
          <w:szCs w:val="13"/>
          <w:color w:val="auto"/>
        </w:rPr>
      </w:pPr>
    </w:p>
    <w:p>
      <w:pPr>
        <w:ind w:left="480" w:right="20" w:hanging="239"/>
        <w:spacing w:after="0" w:line="241" w:lineRule="auto"/>
        <w:tabs>
          <w:tab w:leader="none" w:pos="477"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any additional Events of Default for the benefit of the holders of all or any series of debt securities under the applicable indenture (and if such additional Events of Default are to be for the benefit of less than all series of debt securities under the applicable indenture, stating that such additional Events of Default are expressly being included solely for the benefit of such series); or</w:t>
      </w:r>
    </w:p>
    <w:p>
      <w:pPr>
        <w:ind w:left="480" w:right="60" w:hanging="239"/>
        <w:spacing w:after="0" w:line="241" w:lineRule="auto"/>
        <w:tabs>
          <w:tab w:leader="none" w:pos="477"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to or change any of the provisions of an indenture to such extent as will be necessary to permit or facilitate the issuance of debt securities, registrable or not registrable as to principal, and with or without interest coupons, or to permit or facilitate the issuance of debt securities in uncertificated form; or</w:t>
      </w:r>
    </w:p>
    <w:p>
      <w:pPr>
        <w:ind w:left="480" w:right="160" w:hanging="239"/>
        <w:spacing w:after="0" w:line="241" w:lineRule="auto"/>
        <w:tabs>
          <w:tab w:leader="none" w:pos="477"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to, change or eliminate any of the provisions of an indenture in respect of one or more series of debt securities under the applicable indenture, provided that any such addition, change or elimination (i) will neither (A) apply to any such debt securities of any series created prior to the execution of such supplemental indenture and entitled to the benefit of such provision nor (B) modify the rights of the holder of any such securities with respect to such provision or (ii) will become effective only when there is no such securities outstanding; or</w:t>
      </w:r>
    </w:p>
    <w:p>
      <w:pPr>
        <w:spacing w:after="0" w:line="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secure any debt securities or provide for guarantees of any debt securities; or</w:t>
      </w:r>
    </w:p>
    <w:p>
      <w:pPr>
        <w:spacing w:after="0" w:line="1" w:lineRule="exact"/>
        <w:rPr>
          <w:rFonts w:ascii="Times New Roman" w:cs="Times New Roman" w:eastAsia="Times New Roman" w:hAnsi="Times New Roman"/>
          <w:sz w:val="13"/>
          <w:szCs w:val="13"/>
          <w:color w:val="auto"/>
        </w:rPr>
      </w:pPr>
    </w:p>
    <w:p>
      <w:pPr>
        <w:ind w:left="480" w:hanging="239"/>
        <w:spacing w:after="0" w:line="225" w:lineRule="auto"/>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establish the form or terms of debt securities of any series as permitted pursuant to the applicable indenture; or</w:t>
      </w:r>
    </w:p>
    <w:p>
      <w:pPr>
        <w:ind w:left="480" w:right="380" w:hanging="239"/>
        <w:spacing w:after="0" w:line="241" w:lineRule="auto"/>
        <w:tabs>
          <w:tab w:leader="none" w:pos="477"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evidence and provide for the acceptance of appointment under an indenture by a successor Trustee with respect to the debt securities of one or more series under such indenture and to add to or change any of the provisions of an indenture as will be necessary to provide for or facilitate the administration of the trusts thereunder by more than one Trustee; or</w:t>
      </w:r>
    </w:p>
    <w:p>
      <w:pPr>
        <w:ind w:left="480" w:hanging="239"/>
        <w:spacing w:after="0"/>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comply with any requirements of the SEC in connection with qualifying an indenture under the Trust Indenture Act; or</w:t>
      </w:r>
    </w:p>
    <w:p>
      <w:pPr>
        <w:spacing w:after="0" w:line="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cure any ambiguity, to correct or supplement any provision in an indenture which may be defective or inconsistent with any other provision therein; or</w:t>
      </w:r>
    </w:p>
    <w:p>
      <w:pPr>
        <w:spacing w:after="0" w:line="7" w:lineRule="exact"/>
        <w:rPr>
          <w:rFonts w:ascii="Times New Roman" w:cs="Times New Roman" w:eastAsia="Times New Roman" w:hAnsi="Times New Roman"/>
          <w:sz w:val="13"/>
          <w:szCs w:val="13"/>
          <w:color w:val="auto"/>
        </w:rPr>
      </w:pPr>
    </w:p>
    <w:p>
      <w:pPr>
        <w:ind w:left="480" w:right="140" w:hanging="239"/>
        <w:spacing w:after="0" w:line="233" w:lineRule="auto"/>
        <w:tabs>
          <w:tab w:leader="none" w:pos="477"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supplement any of the provisions of an indenture to the extent necessary to permit or facilitate the defeasance and discharge of any series of debt securities pursuant to the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3"/>
          <w:szCs w:val="13"/>
          <w:color w:val="auto"/>
        </w:rPr>
        <w:t xml:space="preserve"> that any such action will not adversely affect the interests of the holders of securities of any series in any material respect; or</w:t>
      </w:r>
    </w:p>
    <w:p>
      <w:pPr>
        <w:spacing w:after="0" w:line="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make provisions with respect to conversion or exchange rights of holders of securities of any series; or</w:t>
      </w:r>
    </w:p>
    <w:p>
      <w:pPr>
        <w:spacing w:after="0" w:line="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delete from or revise the conditions, limitations or restrictions on issue, authentication and delivery of securities; or</w:t>
      </w:r>
    </w:p>
    <w:p>
      <w:pPr>
        <w:spacing w:after="0" w:line="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conform the terms of the debt securities or an indenture with the description set forth in this prospectus or the applicable prospectus supplement or with the requirements of the Trust Indenture Act; or</w:t>
      </w:r>
    </w:p>
    <w:p>
      <w:pPr>
        <w:spacing w:after="0" w:line="1" w:lineRule="exact"/>
        <w:rPr>
          <w:rFonts w:ascii="Times New Roman" w:cs="Times New Roman" w:eastAsia="Times New Roman" w:hAnsi="Times New Roman"/>
          <w:sz w:val="13"/>
          <w:szCs w:val="13"/>
          <w:color w:val="auto"/>
        </w:rPr>
      </w:pPr>
    </w:p>
    <w:p>
      <w:pPr>
        <w:ind w:left="480" w:right="60" w:hanging="239"/>
        <w:spacing w:after="0" w:line="257" w:lineRule="auto"/>
        <w:tabs>
          <w:tab w:leader="none" w:pos="477"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make any other provisions with respect to matters or questions arising under an indenture, provided that such action pursuant to this clause will not adversely affect the interests of the holders of debt securities of any series under the applicable indenture in any material respect.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85" w:right="319" w:bottom="1440" w:gutter="0" w:footer="0" w:header="0"/>
        </w:sectPr>
      </w:pPr>
    </w:p>
    <w:bookmarkStart w:id="31" w:name="page32"/>
    <w:bookmarkEnd w:id="31"/>
    <w:p>
      <w:pPr>
        <w:jc w:val="both"/>
        <w:spacing w:after="0" w:line="251" w:lineRule="auto"/>
        <w:rPr>
          <w:sz w:val="20"/>
          <w:szCs w:val="20"/>
          <w:color w:val="auto"/>
        </w:rPr>
      </w:pPr>
      <w:r>
        <w:rPr>
          <w:rFonts w:ascii="Times New Roman" w:cs="Times New Roman" w:eastAsia="Times New Roman" w:hAnsi="Times New Roman"/>
          <w:sz w:val="13"/>
          <w:szCs w:val="13"/>
          <w:color w:val="auto"/>
        </w:rPr>
        <w:t xml:space="preserve">With the consent of the holders of not less than a majority in principal amount of the outstanding principal amount of each series debt securities affected by such supplemental indenture, by act of such holders delivered to the Company and the trustee, the Company, when authorized by a board resolution, and the Trustee may enter into one or more supplemental indentures for the purpose of adding any provisions to or changing in any manner or eliminating any of the provisions of an indenture or of modifying in any manner the rights of the holders of debt securities under an indenture;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3"/>
          <w:szCs w:val="13"/>
          <w:color w:val="auto"/>
        </w:rPr>
        <w:t>, that no such supplemental indenture will, without the consent of the holder of each outstanding debt security affected thereby:</w:t>
      </w:r>
    </w:p>
    <w:p>
      <w:pPr>
        <w:spacing w:after="0" w:line="151" w:lineRule="exact"/>
        <w:rPr>
          <w:sz w:val="20"/>
          <w:szCs w:val="20"/>
          <w:color w:val="auto"/>
        </w:rPr>
      </w:pPr>
    </w:p>
    <w:p>
      <w:pPr>
        <w:ind w:left="480" w:right="60" w:hanging="239"/>
        <w:spacing w:after="0" w:line="242" w:lineRule="auto"/>
        <w:tabs>
          <w:tab w:leader="none" w:pos="477" w:val="left"/>
        </w:tabs>
        <w:numPr>
          <w:ilvl w:val="0"/>
          <w:numId w:val="20"/>
        </w:numPr>
        <w:rPr>
          <w:rFonts w:ascii="Arial" w:cs="Arial" w:eastAsia="Arial" w:hAnsi="Arial"/>
          <w:sz w:val="13"/>
          <w:szCs w:val="13"/>
          <w:color w:val="auto"/>
        </w:rPr>
      </w:pPr>
      <w:r>
        <w:rPr>
          <w:rFonts w:ascii="Times New Roman" w:cs="Times New Roman" w:eastAsia="Times New Roman" w:hAnsi="Times New Roman"/>
          <w:sz w:val="13"/>
          <w:szCs w:val="13"/>
          <w:color w:val="auto"/>
        </w:rPr>
        <w:t>change the stated maturity of the principal of, or any installment of principal of or interest on, any debt securities, or reduce the principal amount thereof or the rate of interest thereon or any premium payable upon the redemption thereof, or reduce the amount of the principal of any debt securities which would be due and payable upon a declaration of acceleration of the maturity thereof pursuant to the terms of the applicable indenture, adversely affect any right of repayment at the option of the holder of any debt security, or change any place of payment where any debt securities or any premium or interest thereon is payable, or impair the right to institute suit for the enforcement of any such payment on or after the stated maturity thereof (or, in the case of redemption, on or after the redemption date), or</w:t>
      </w:r>
    </w:p>
    <w:p>
      <w:pPr>
        <w:spacing w:after="0" w:line="2" w:lineRule="exact"/>
        <w:rPr>
          <w:rFonts w:ascii="Arial" w:cs="Arial" w:eastAsia="Arial" w:hAnsi="Arial"/>
          <w:sz w:val="13"/>
          <w:szCs w:val="13"/>
          <w:color w:val="auto"/>
        </w:rPr>
      </w:pPr>
    </w:p>
    <w:p>
      <w:pPr>
        <w:ind w:left="480" w:right="320" w:hanging="239"/>
        <w:spacing w:after="0" w:line="241" w:lineRule="auto"/>
        <w:tabs>
          <w:tab w:leader="none" w:pos="477"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percentage in principal amount of the outstanding holders of any series of debt securities, the consent of whose holders is required for any such supplemental indenture, or the consent of whose holders is required for any waiver (of compliance with certain provisions of an indenture or certain defaults thereunder and their consequences) provided for in the applicable indenture, or</w:t>
      </w:r>
    </w:p>
    <w:p>
      <w:pPr>
        <w:ind w:left="480" w:right="260" w:hanging="239"/>
        <w:spacing w:after="0" w:line="246" w:lineRule="auto"/>
        <w:tabs>
          <w:tab w:leader="none" w:pos="477"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modify any of the provisions of this paragraph or certain provisions of an indenture relating to waivers of past defaults and waivers of certain covenants, except to increase any such percentage or to provide that certain other provisions of an indenture cannot be modified or waived without the consent of the holder of each outstanding debt security affected thereby;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this clause will not be deemed to require the consent of any holder with respect to changes in the references to “the Trustee” and concomitant changes in this paragraph, or the deletion of this proviso, in certain circumstances.</w:t>
      </w:r>
    </w:p>
    <w:p>
      <w:pPr>
        <w:spacing w:after="0" w:line="1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A supplemental indenture which changes or eliminates any covenant or other provision of an indenture which has expressly been included solely for the benefit of one or more particular series of debt securities, or which modifies the rights of the holders of debt securities of such series with respect to such covenant or other provision, will be deemed not to affect the rights under the applicable indenture of the holders of debt securities of any other series.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connection with any modification, amendment, supplement or waiver in respect of an indenture or debt securities, we must deliver to the trustee an officers’ certificate and an opinion of counsel, each stating</w:t>
      </w:r>
    </w:p>
    <w:p>
      <w:pPr>
        <w:spacing w:after="0" w:line="15" w:lineRule="exact"/>
        <w:rPr>
          <w:sz w:val="20"/>
          <w:szCs w:val="20"/>
          <w:color w:val="auto"/>
        </w:rPr>
      </w:pPr>
    </w:p>
    <w:p>
      <w:pPr>
        <w:spacing w:after="0" w:line="241" w:lineRule="auto"/>
        <w:tabs>
          <w:tab w:leader="none" w:pos="167"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such modification, amendment, supplement or waiver is authorized or permitted pursuant to the terms of the applicable indenture and the debt securities, and (ii) that all related conditions precedent to such modification, amendment, supplement or waiver have been complied with; and (iii) that such supplemental indenture will be valid and binding upon the Company in accordance with its terms.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Further Details Concerning Voting</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When taking a vote, we will use the following rules to decide how much principal to attribute to a debt security:</w:t>
      </w:r>
    </w:p>
    <w:p>
      <w:pPr>
        <w:spacing w:after="0" w:line="141" w:lineRule="exact"/>
        <w:rPr>
          <w:sz w:val="20"/>
          <w:szCs w:val="20"/>
          <w:color w:val="auto"/>
        </w:rPr>
      </w:pPr>
    </w:p>
    <w:p>
      <w:pPr>
        <w:ind w:left="480" w:right="100" w:hanging="239"/>
        <w:spacing w:after="0" w:line="247" w:lineRule="auto"/>
        <w:tabs>
          <w:tab w:leader="none" w:pos="477" w:val="left"/>
        </w:tabs>
        <w:numPr>
          <w:ilvl w:val="0"/>
          <w:numId w:val="2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for original issue discount securities, we will use the principal amount that would be due and payable on the voting date if the maturity of these debt securities were accelerated to that date because of a default;</w:t>
      </w:r>
    </w:p>
    <w:p>
      <w:pPr>
        <w:spacing w:after="0" w:line="123" w:lineRule="exact"/>
        <w:rPr>
          <w:rFonts w:ascii="Times New Roman" w:cs="Times New Roman" w:eastAsia="Times New Roman" w:hAnsi="Times New Roman"/>
          <w:sz w:val="13"/>
          <w:szCs w:val="13"/>
          <w:color w:val="231F20"/>
        </w:rPr>
      </w:pPr>
    </w:p>
    <w:p>
      <w:pPr>
        <w:ind w:left="480" w:right="160" w:hanging="239"/>
        <w:spacing w:after="0" w:line="247" w:lineRule="auto"/>
        <w:tabs>
          <w:tab w:leader="none" w:pos="477" w:val="left"/>
        </w:tabs>
        <w:numPr>
          <w:ilvl w:val="0"/>
          <w:numId w:val="2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for debt securities whose principal amount is not known (for example, because it is based on an index), we will use the principal face amount at original issuance or a special rule for that debt security described in the prospectus supplement; and</w:t>
      </w:r>
    </w:p>
    <w:p>
      <w:pPr>
        <w:spacing w:after="0" w:line="113" w:lineRule="exact"/>
        <w:rPr>
          <w:rFonts w:ascii="Times New Roman" w:cs="Times New Roman" w:eastAsia="Times New Roman" w:hAnsi="Times New Roman"/>
          <w:sz w:val="13"/>
          <w:szCs w:val="13"/>
          <w:color w:val="231F20"/>
        </w:rPr>
      </w:pPr>
    </w:p>
    <w:p>
      <w:pPr>
        <w:ind w:left="480" w:right="40" w:hanging="239"/>
        <w:spacing w:after="0" w:line="237" w:lineRule="auto"/>
        <w:tabs>
          <w:tab w:leader="none" w:pos="477" w:val="left"/>
        </w:tabs>
        <w:numPr>
          <w:ilvl w:val="0"/>
          <w:numId w:val="2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for debt securities denominated in one or more foreign currencies, we will use the U.S. dollar equivalent. 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 Defeasance — Full Defeasance”.</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We will generally be entitled to set any day as a record date for the purpose of determining the holders of outstanding indenture securities that are entitled to vote or take other action under an indenture.</w:t>
      </w:r>
    </w:p>
    <w:p>
      <w:pPr>
        <w:spacing w:after="0" w:line="5"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3"/>
          <w:szCs w:val="13"/>
          <w:color w:val="auto"/>
        </w:rPr>
        <w:t>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245" w:lineRule="exact"/>
        <w:rPr>
          <w:sz w:val="20"/>
          <w:szCs w:val="20"/>
          <w:color w:val="auto"/>
        </w:rPr>
      </w:pPr>
    </w:p>
    <w:p>
      <w:pPr>
        <w:ind w:right="420" w:firstLine="482"/>
        <w:spacing w:after="0" w:line="253" w:lineRule="auto"/>
        <w:rPr>
          <w:sz w:val="20"/>
          <w:szCs w:val="20"/>
          <w:color w:val="auto"/>
        </w:rPr>
      </w:pPr>
      <w:r>
        <w:rPr>
          <w:rFonts w:ascii="Times New Roman" w:cs="Times New Roman" w:eastAsia="Times New Roman" w:hAnsi="Times New Roman"/>
          <w:sz w:val="13"/>
          <w:szCs w:val="13"/>
          <w:b w:val="1"/>
          <w:bCs w:val="1"/>
          <w:color w:val="auto"/>
        </w:rPr>
        <w:t>Book-entry and other indirect holders should consult their banks or brokers for information on how approval may be granted or denied if we seek to change the indenture or the debt securities or requests a waiver.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89"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color w:val="auto"/>
        </w:rPr>
        <w:t>Defeasance</w:t>
      </w:r>
    </w:p>
    <w:p>
      <w:pPr>
        <w:spacing w:after="0" w:line="145" w:lineRule="exact"/>
        <w:rPr>
          <w:sz w:val="20"/>
          <w:szCs w:val="20"/>
          <w:color w:val="auto"/>
        </w:rPr>
      </w:pPr>
    </w:p>
    <w:p>
      <w:pPr>
        <w:ind w:right="140" w:firstLine="482"/>
        <w:spacing w:after="0" w:line="263" w:lineRule="auto"/>
        <w:rPr>
          <w:sz w:val="20"/>
          <w:szCs w:val="20"/>
          <w:color w:val="auto"/>
        </w:rPr>
      </w:pPr>
      <w:r>
        <w:rPr>
          <w:rFonts w:ascii="Times New Roman" w:cs="Times New Roman" w:eastAsia="Times New Roman" w:hAnsi="Times New Roman"/>
          <w:sz w:val="13"/>
          <w:szCs w:val="13"/>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Covenant Defeasance</w:t>
      </w:r>
    </w:p>
    <w:p>
      <w:pPr>
        <w:spacing w:after="0" w:line="145" w:lineRule="exact"/>
        <w:rPr>
          <w:sz w:val="20"/>
          <w:szCs w:val="20"/>
          <w:color w:val="auto"/>
        </w:rPr>
      </w:pPr>
    </w:p>
    <w:p>
      <w:pPr>
        <w:ind w:right="40" w:firstLine="482"/>
        <w:spacing w:after="0" w:line="245" w:lineRule="auto"/>
        <w:rPr>
          <w:sz w:val="20"/>
          <w:szCs w:val="20"/>
          <w:color w:val="auto"/>
        </w:rPr>
      </w:pPr>
      <w:r>
        <w:rPr>
          <w:rFonts w:ascii="Times New Roman" w:cs="Times New Roman" w:eastAsia="Times New Roman" w:hAnsi="Times New Roman"/>
          <w:sz w:val="13"/>
          <w:szCs w:val="13"/>
          <w:color w:val="auto"/>
        </w:rPr>
        <w:t>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 Subordination” below, such subordination would not prevent the trustee under an indenture from applying the funds available to it from the deposit described in the first bullet below to the payment of amounts due in respect of such debt securities for the benefit of the subordinated debt holders however, in the case of subordinated debt securities, no covenant defeasance or full defeasance will be permitted if there is then having occurred or continuing any default or event of default in respect of any senior debt. In order to achieve covenant defeasance, the following must occur:</w:t>
      </w:r>
    </w:p>
    <w:p>
      <w:pPr>
        <w:spacing w:after="0" w:line="1" w:lineRule="exact"/>
        <w:rPr>
          <w:sz w:val="20"/>
          <w:szCs w:val="20"/>
          <w:color w:val="auto"/>
        </w:rPr>
      </w:pPr>
    </w:p>
    <w:p>
      <w:pPr>
        <w:ind w:left="480" w:right="120" w:hanging="239"/>
        <w:spacing w:after="0" w:line="230" w:lineRule="auto"/>
        <w:tabs>
          <w:tab w:leader="none" w:pos="477" w:val="left"/>
        </w:tabs>
        <w:numPr>
          <w:ilvl w:val="0"/>
          <w:numId w:val="2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118" w:lineRule="exact"/>
        <w:rPr>
          <w:rFonts w:ascii="Times New Roman" w:cs="Times New Roman" w:eastAsia="Times New Roman" w:hAnsi="Times New Roman"/>
          <w:sz w:val="13"/>
          <w:szCs w:val="13"/>
          <w:color w:val="231F20"/>
        </w:rPr>
      </w:pPr>
    </w:p>
    <w:p>
      <w:pPr>
        <w:ind w:left="480" w:right="280" w:hanging="239"/>
        <w:spacing w:after="0" w:line="247" w:lineRule="auto"/>
        <w:tabs>
          <w:tab w:leader="none" w:pos="477" w:val="left"/>
        </w:tabs>
        <w:numPr>
          <w:ilvl w:val="0"/>
          <w:numId w:val="2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we must deliver to the trustee a legal opinion of our counsel confirming that, under current U.S. federal income tax law, we may make the above deposit without causing you to be taxed on the debt securities any differently than if we did not make the deposit;</w:t>
      </w:r>
    </w:p>
    <w:p>
      <w:pPr>
        <w:spacing w:after="0" w:line="113" w:lineRule="exact"/>
        <w:rPr>
          <w:rFonts w:ascii="Times New Roman" w:cs="Times New Roman" w:eastAsia="Times New Roman" w:hAnsi="Times New Roman"/>
          <w:sz w:val="13"/>
          <w:szCs w:val="13"/>
          <w:color w:val="231F20"/>
        </w:rPr>
      </w:pPr>
    </w:p>
    <w:p>
      <w:pPr>
        <w:ind w:left="480" w:right="120" w:hanging="239"/>
        <w:spacing w:after="0" w:line="263" w:lineRule="auto"/>
        <w:tabs>
          <w:tab w:leader="none" w:pos="477" w:val="left"/>
        </w:tabs>
        <w:numPr>
          <w:ilvl w:val="0"/>
          <w:numId w:val="2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103"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2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defeasance must not result in a breach or violation of, or result in a default under, of the indenture or any of our other material agreements or instruments, as applicable;</w:t>
      </w:r>
    </w:p>
    <w:p>
      <w:pPr>
        <w:spacing w:after="0" w:line="141" w:lineRule="exact"/>
        <w:rPr>
          <w:rFonts w:ascii="Times New Roman" w:cs="Times New Roman" w:eastAsia="Times New Roman" w:hAnsi="Times New Roman"/>
          <w:sz w:val="13"/>
          <w:szCs w:val="13"/>
          <w:color w:val="231F20"/>
        </w:rPr>
      </w:pPr>
    </w:p>
    <w:p>
      <w:pPr>
        <w:ind w:left="480" w:right="320" w:hanging="239"/>
        <w:spacing w:after="0" w:line="263" w:lineRule="auto"/>
        <w:tabs>
          <w:tab w:leader="none" w:pos="477" w:val="left"/>
        </w:tabs>
        <w:numPr>
          <w:ilvl w:val="0"/>
          <w:numId w:val="2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no default or event of default with respect to such debt securities shall have occurred and be continuing and no defaults or events of default related to bankruptcy, insolvency or reorganization shall occur during the next 120 days; and</w:t>
      </w:r>
    </w:p>
    <w:p>
      <w:pPr>
        <w:spacing w:after="0" w:line="103"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2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satisfy the conditions for covenant defeasance contained in any supplemental indentures.</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If we accomplish covenant defeasance, you can still look to us for repayment of the debt securities if there were a shortfall in the trust deposit or the trustee is prevented from making payment. For</w:t>
      </w:r>
    </w:p>
    <w:p>
      <w:pPr>
        <w:spacing w:after="0" w:line="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3"/>
          <w:szCs w:val="13"/>
          <w:color w:val="auto"/>
        </w:rPr>
        <w:t>example, if one of the remaining Events of Default occurred (such as our bankruptcy) and the debt securities became immediately due and payable, there might be such a shortfall. However, there is no assurance that we would have sufficient funds to make payment of the shortfall.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Full Defeasance</w:t>
      </w:r>
    </w:p>
    <w:p>
      <w:pPr>
        <w:spacing w:after="0" w:line="156" w:lineRule="exact"/>
        <w:rPr>
          <w:sz w:val="20"/>
          <w:szCs w:val="20"/>
          <w:color w:val="auto"/>
        </w:rPr>
      </w:pPr>
    </w:p>
    <w:p>
      <w:pPr>
        <w:ind w:firstLine="482"/>
        <w:spacing w:after="0" w:line="247" w:lineRule="auto"/>
        <w:rPr>
          <w:sz w:val="20"/>
          <w:szCs w:val="20"/>
          <w:color w:val="auto"/>
        </w:rPr>
      </w:pPr>
      <w:r>
        <w:rPr>
          <w:rFonts w:ascii="Times New Roman" w:cs="Times New Roman" w:eastAsia="Times New Roman" w:hAnsi="Times New Roman"/>
          <w:sz w:val="13"/>
          <w:szCs w:val="13"/>
          <w:color w:val="auto"/>
        </w:rPr>
        <w:t>If there is a change in U.S. federal tax law or we obtain an IRS ruling, as described in the second bullet below, we can legally release ourself from all payment and other obligations on the debt securities of a particular series (called “full defeasance”) if we put in place the following other arrangements for you to be repaid:</w:t>
      </w:r>
    </w:p>
    <w:p>
      <w:pPr>
        <w:spacing w:after="0" w:line="114" w:lineRule="exact"/>
        <w:rPr>
          <w:sz w:val="20"/>
          <w:szCs w:val="20"/>
          <w:color w:val="auto"/>
        </w:rPr>
      </w:pPr>
    </w:p>
    <w:p>
      <w:pPr>
        <w:ind w:left="480" w:right="120" w:hanging="239"/>
        <w:spacing w:after="0" w:line="237" w:lineRule="auto"/>
        <w:tabs>
          <w:tab w:leader="none" w:pos="477" w:val="left"/>
        </w:tabs>
        <w:numPr>
          <w:ilvl w:val="0"/>
          <w:numId w:val="2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119" w:lineRule="exact"/>
        <w:rPr>
          <w:rFonts w:ascii="Times New Roman" w:cs="Times New Roman" w:eastAsia="Times New Roman" w:hAnsi="Times New Roman"/>
          <w:sz w:val="13"/>
          <w:szCs w:val="13"/>
          <w:color w:val="231F20"/>
        </w:rPr>
      </w:pPr>
    </w:p>
    <w:p>
      <w:pPr>
        <w:ind w:left="480" w:right="60" w:hanging="239"/>
        <w:spacing w:after="0" w:line="230" w:lineRule="auto"/>
        <w:tabs>
          <w:tab w:leader="none" w:pos="477" w:val="left"/>
        </w:tabs>
        <w:numPr>
          <w:ilvl w:val="0"/>
          <w:numId w:val="2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129" w:lineRule="exact"/>
        <w:rPr>
          <w:rFonts w:ascii="Times New Roman" w:cs="Times New Roman" w:eastAsia="Times New Roman" w:hAnsi="Times New Roman"/>
          <w:sz w:val="13"/>
          <w:szCs w:val="13"/>
          <w:color w:val="231F20"/>
        </w:rPr>
      </w:pPr>
    </w:p>
    <w:p>
      <w:pPr>
        <w:ind w:left="480" w:right="20" w:hanging="239"/>
        <w:spacing w:after="0" w:line="247" w:lineRule="auto"/>
        <w:tabs>
          <w:tab w:leader="none" w:pos="477" w:val="left"/>
        </w:tabs>
        <w:numPr>
          <w:ilvl w:val="0"/>
          <w:numId w:val="2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we must deliver to the trustee a legal opinion of its counsel stating that the above deposit does not require registration by us under the 1940 Act and a legal opinion and officers’ certificate stating that all conditions precedent to defeasance have been complied with;</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85" w:right="319" w:bottom="1440" w:gutter="0" w:footer="0" w:header="0"/>
        </w:sectPr>
      </w:pPr>
    </w:p>
    <w:bookmarkStart w:id="33" w:name="page34"/>
    <w:bookmarkEnd w:id="33"/>
    <w:p>
      <w:pPr>
        <w:ind w:left="480" w:hanging="239"/>
        <w:spacing w:after="0"/>
        <w:tabs>
          <w:tab w:leader="none" w:pos="480" w:val="left"/>
        </w:tabs>
        <w:numPr>
          <w:ilvl w:val="0"/>
          <w:numId w:val="2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defeasance must not result in a breach or violation of, or constitute a default under, the indenture or any of our other material agreements or instruments, as applicable;</w:t>
      </w:r>
    </w:p>
    <w:p>
      <w:pPr>
        <w:spacing w:after="0" w:line="141" w:lineRule="exact"/>
        <w:rPr>
          <w:rFonts w:ascii="Times New Roman" w:cs="Times New Roman" w:eastAsia="Times New Roman" w:hAnsi="Times New Roman"/>
          <w:sz w:val="13"/>
          <w:szCs w:val="13"/>
          <w:color w:val="231F20"/>
        </w:rPr>
      </w:pPr>
    </w:p>
    <w:p>
      <w:pPr>
        <w:ind w:left="480" w:right="320" w:hanging="239"/>
        <w:spacing w:after="0" w:line="263" w:lineRule="auto"/>
        <w:tabs>
          <w:tab w:leader="none" w:pos="477" w:val="left"/>
        </w:tabs>
        <w:numPr>
          <w:ilvl w:val="0"/>
          <w:numId w:val="2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no default or event of default with respect to such debt securities shall have occurred and be continuing and no defaults or events of default related to bankruptcy, insolvency or reorganization shall occur during the next 120 days; and</w:t>
      </w:r>
    </w:p>
    <w:p>
      <w:pPr>
        <w:spacing w:after="0" w:line="103"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2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satisfy the conditions for full defeasance contained in any supplemental indentures.</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If we ever did accomplish full defeasance, as described above, you would have to rely solely on the trust deposit for repayment of the debt securities. You could not look to us for repayment in the</w:t>
      </w:r>
    </w:p>
    <w:p>
      <w:pPr>
        <w:spacing w:after="0" w:line="5" w:lineRule="exact"/>
        <w:rPr>
          <w:sz w:val="20"/>
          <w:szCs w:val="20"/>
          <w:color w:val="auto"/>
        </w:rPr>
      </w:pPr>
    </w:p>
    <w:p>
      <w:pPr>
        <w:jc w:val="both"/>
        <w:ind w:right="220"/>
        <w:spacing w:after="0" w:line="224" w:lineRule="auto"/>
        <w:rPr>
          <w:sz w:val="20"/>
          <w:szCs w:val="20"/>
          <w:color w:val="auto"/>
        </w:rPr>
      </w:pPr>
      <w:r>
        <w:rPr>
          <w:rFonts w:ascii="Times New Roman" w:cs="Times New Roman" w:eastAsia="Times New Roman" w:hAnsi="Times New Roman"/>
          <w:sz w:val="13"/>
          <w:szCs w:val="13"/>
          <w:color w:val="auto"/>
        </w:rPr>
        <w:t>unlikely event of any shortfall. Conversely, the trust deposit would most likely be protected from claims of our lenders and other creditors, as applicable, if we ever became bankrupt or insolvent. If your debt securities were subordinated as described later under “— Indenture Provisions — Subordination”, such subordination would not prevent the trustee under the indenture from applying the funds available to it from the deposit referred to in the first bullet of the preceding paragraph to the payment of amounts due in respect of such debt securities for the benefit of the subordinated debt 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Form, Exchange and Transfer of Certificated Registered Securities</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If registered debt securities cease to be issued in book-entry form, they will be issued:</w:t>
      </w:r>
    </w:p>
    <w:p>
      <w:pPr>
        <w:spacing w:after="0" w:line="141" w:lineRule="exact"/>
        <w:rPr>
          <w:sz w:val="20"/>
          <w:szCs w:val="20"/>
          <w:color w:val="auto"/>
        </w:rPr>
      </w:pPr>
    </w:p>
    <w:p>
      <w:pPr>
        <w:ind w:left="480" w:hanging="239"/>
        <w:spacing w:after="0"/>
        <w:tabs>
          <w:tab w:leader="none" w:pos="480" w:val="left"/>
        </w:tabs>
        <w:numPr>
          <w:ilvl w:val="0"/>
          <w:numId w:val="2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only in fully registered certificated form;</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2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without interest coupons; and</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2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unless we indicate otherwise in the prospectus supplement, in denominations of $1,000 and amounts that are multiples of $1,000.</w:t>
      </w:r>
    </w:p>
    <w:p>
      <w:pPr>
        <w:spacing w:after="0" w:line="141" w:lineRule="exact"/>
        <w:rPr>
          <w:sz w:val="20"/>
          <w:szCs w:val="20"/>
          <w:color w:val="auto"/>
        </w:rPr>
      </w:pPr>
    </w:p>
    <w:p>
      <w:pPr>
        <w:ind w:firstLine="482"/>
        <w:spacing w:after="0" w:line="263" w:lineRule="auto"/>
        <w:rPr>
          <w:sz w:val="20"/>
          <w:szCs w:val="20"/>
          <w:color w:val="auto"/>
        </w:rPr>
      </w:pPr>
      <w:r>
        <w:rPr>
          <w:rFonts w:ascii="Times New Roman" w:cs="Times New Roman" w:eastAsia="Times New Roman" w:hAnsi="Times New Roman"/>
          <w:sz w:val="13"/>
          <w:szCs w:val="13"/>
          <w:color w:val="auto"/>
        </w:rPr>
        <w:t>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w:t>
      </w:r>
    </w:p>
    <w:p>
      <w:pPr>
        <w:spacing w:after="0" w:line="104" w:lineRule="exact"/>
        <w:rPr>
          <w:sz w:val="20"/>
          <w:szCs w:val="20"/>
          <w:color w:val="auto"/>
        </w:rPr>
      </w:pPr>
    </w:p>
    <w:p>
      <w:pPr>
        <w:ind w:right="620" w:firstLine="482"/>
        <w:spacing w:after="0" w:line="247" w:lineRule="auto"/>
        <w:rPr>
          <w:sz w:val="20"/>
          <w:szCs w:val="20"/>
          <w:color w:val="auto"/>
        </w:rPr>
      </w:pPr>
      <w:r>
        <w:rPr>
          <w:rFonts w:ascii="Times New Roman" w:cs="Times New Roman" w:eastAsia="Times New Roman" w:hAnsi="Times New Roman"/>
          <w:sz w:val="13"/>
          <w:szCs w:val="13"/>
          <w:color w:val="auto"/>
        </w:rPr>
        <w:t>Holders may exchange or transfer their certificated securities at the office of the trustee. We have appointed the trustee to act as its agent for registering debt securities in the names of holders transferring debt securities. We may appoint another entity to perform these functions or perform them ourself.</w:t>
      </w:r>
    </w:p>
    <w:p>
      <w:pPr>
        <w:spacing w:after="0" w:line="124" w:lineRule="exact"/>
        <w:rPr>
          <w:sz w:val="20"/>
          <w:szCs w:val="20"/>
          <w:color w:val="auto"/>
        </w:rPr>
      </w:pPr>
    </w:p>
    <w:p>
      <w:pPr>
        <w:ind w:right="20" w:firstLine="482"/>
        <w:spacing w:after="0" w:line="247" w:lineRule="auto"/>
        <w:rPr>
          <w:sz w:val="20"/>
          <w:szCs w:val="20"/>
          <w:color w:val="auto"/>
        </w:rPr>
      </w:pPr>
      <w:r>
        <w:rPr>
          <w:rFonts w:ascii="Times New Roman" w:cs="Times New Roman" w:eastAsia="Times New Roman" w:hAnsi="Times New Roman"/>
          <w:sz w:val="13"/>
          <w:szCs w:val="13"/>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as applicable, is satisfied with the holder’s proof of legal ownership.</w:t>
      </w:r>
    </w:p>
    <w:p>
      <w:pPr>
        <w:spacing w:after="0" w:line="114" w:lineRule="exact"/>
        <w:rPr>
          <w:sz w:val="20"/>
          <w:szCs w:val="20"/>
          <w:color w:val="auto"/>
        </w:rPr>
      </w:pPr>
    </w:p>
    <w:p>
      <w:pPr>
        <w:ind w:right="280" w:firstLine="482"/>
        <w:spacing w:after="0" w:line="263" w:lineRule="auto"/>
        <w:rPr>
          <w:sz w:val="20"/>
          <w:szCs w:val="20"/>
          <w:color w:val="auto"/>
        </w:rPr>
      </w:pPr>
      <w:r>
        <w:rPr>
          <w:rFonts w:ascii="Times New Roman" w:cs="Times New Roman" w:eastAsia="Times New Roman" w:hAnsi="Times New Roman"/>
          <w:sz w:val="13"/>
          <w:szCs w:val="13"/>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04" w:lineRule="exact"/>
        <w:rPr>
          <w:sz w:val="20"/>
          <w:szCs w:val="20"/>
          <w:color w:val="auto"/>
        </w:rPr>
      </w:pPr>
    </w:p>
    <w:p>
      <w:pPr>
        <w:ind w:right="140" w:firstLine="482"/>
        <w:spacing w:after="0" w:line="228" w:lineRule="auto"/>
        <w:rPr>
          <w:sz w:val="20"/>
          <w:szCs w:val="20"/>
          <w:color w:val="auto"/>
        </w:rPr>
      </w:pPr>
      <w:r>
        <w:rPr>
          <w:rFonts w:ascii="Times New Roman" w:cs="Times New Roman" w:eastAsia="Times New Roman" w:hAnsi="Times New Roman"/>
          <w:sz w:val="13"/>
          <w:szCs w:val="13"/>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w:t>
      </w:r>
    </w:p>
    <w:p>
      <w:pPr>
        <w:spacing w:after="0" w:line="1"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3"/>
          <w:szCs w:val="13"/>
          <w:color w:val="auto"/>
        </w:rPr>
        <w:t>transfers or exchanges of any certificated securities selected for redemption, except that we will continue to permit transfers and exchanges of the unredeemed portion of any debt security that will be partially redeemed.</w:t>
      </w:r>
    </w:p>
    <w:p>
      <w:pPr>
        <w:spacing w:after="0" w:line="118" w:lineRule="exact"/>
        <w:rPr>
          <w:sz w:val="20"/>
          <w:szCs w:val="20"/>
          <w:color w:val="auto"/>
        </w:rPr>
      </w:pPr>
    </w:p>
    <w:p>
      <w:pPr>
        <w:ind w:right="140" w:firstLine="482"/>
        <w:spacing w:after="0" w:line="263" w:lineRule="auto"/>
        <w:rPr>
          <w:sz w:val="20"/>
          <w:szCs w:val="20"/>
          <w:color w:val="auto"/>
        </w:rPr>
      </w:pPr>
      <w:r>
        <w:rPr>
          <w:rFonts w:ascii="Times New Roman" w:cs="Times New Roman" w:eastAsia="Times New Roman" w:hAnsi="Times New Roman"/>
          <w:sz w:val="13"/>
          <w:szCs w:val="13"/>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Resignation of Trustee</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Each trustee may resign or be removed with respect to one or more series of indenture securities, provided that a successor trustee is appointed to act with respect to these series and has accepted such</w:t>
      </w:r>
    </w:p>
    <w:p>
      <w:pPr>
        <w:spacing w:after="0" w:line="5"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3"/>
          <w:szCs w:val="13"/>
          <w:color w:val="auto"/>
        </w:rPr>
        <w:t>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Subordination</w:t>
      </w:r>
    </w:p>
    <w:p>
      <w:pPr>
        <w:spacing w:after="0" w:line="156" w:lineRule="exact"/>
        <w:rPr>
          <w:sz w:val="20"/>
          <w:szCs w:val="20"/>
          <w:color w:val="auto"/>
        </w:rPr>
      </w:pPr>
    </w:p>
    <w:p>
      <w:pPr>
        <w:ind w:right="60" w:firstLine="482"/>
        <w:spacing w:after="0" w:line="232" w:lineRule="auto"/>
        <w:rPr>
          <w:sz w:val="20"/>
          <w:szCs w:val="20"/>
          <w:color w:val="auto"/>
        </w:rPr>
      </w:pPr>
      <w:r>
        <w:rPr>
          <w:rFonts w:ascii="Times New Roman" w:cs="Times New Roman" w:eastAsia="Times New Roman" w:hAnsi="Times New Roman"/>
          <w:sz w:val="13"/>
          <w:szCs w:val="13"/>
          <w:color w:val="auto"/>
        </w:rPr>
        <w:t>The subordinated debt securities will be subordinated in right of payment to all “senior debt,” as defined in the subordinated notes indenture. In certain circumstances relating to our liquidation, dissolution, receivership, reorganization, insolvency or similar proceedings, the holders of all senior debt will first be entitled to receive payment in full before the holders of the subordinated debt securities will be entitled to receive any payment on the subordinated debt securities.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89"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color w:val="auto"/>
        </w:rPr>
        <w:t>In addition, we may make no payment on the subordinated debt securities in the event:</w:t>
      </w:r>
    </w:p>
    <w:p>
      <w:pPr>
        <w:spacing w:after="0" w:line="141" w:lineRule="exact"/>
        <w:rPr>
          <w:sz w:val="20"/>
          <w:szCs w:val="20"/>
          <w:color w:val="auto"/>
        </w:rPr>
      </w:pPr>
    </w:p>
    <w:p>
      <w:pPr>
        <w:ind w:left="480" w:hanging="239"/>
        <w:spacing w:after="0"/>
        <w:tabs>
          <w:tab w:leader="none" w:pos="480" w:val="left"/>
        </w:tabs>
        <w:numPr>
          <w:ilvl w:val="0"/>
          <w:numId w:val="2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there is a default with respect to any senior debt which permits the holders of that senior debt to accelerate the maturity of the senior debt; and</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2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default is the subject of judicial proceedings or we receive notice of the default from an authorized person under the subordinated indenture.</w:t>
      </w:r>
    </w:p>
    <w:p>
      <w:pPr>
        <w:spacing w:after="0" w:line="141" w:lineRule="exact"/>
        <w:rPr>
          <w:sz w:val="20"/>
          <w:szCs w:val="20"/>
          <w:color w:val="auto"/>
        </w:rPr>
      </w:pPr>
    </w:p>
    <w:p>
      <w:pPr>
        <w:ind w:right="100" w:firstLine="482"/>
        <w:spacing w:after="0" w:line="228" w:lineRule="auto"/>
        <w:rPr>
          <w:sz w:val="20"/>
          <w:szCs w:val="20"/>
          <w:color w:val="auto"/>
        </w:rPr>
      </w:pPr>
      <w:r>
        <w:rPr>
          <w:rFonts w:ascii="Times New Roman" w:cs="Times New Roman" w:eastAsia="Times New Roman" w:hAnsi="Times New Roman"/>
          <w:sz w:val="13"/>
          <w:szCs w:val="13"/>
          <w:color w:val="auto"/>
        </w:rPr>
        <w:t>By reason of this subordination in favor of the holders of senior debt, in the event of an insolvency our creditors who are not holders of senior debt or the subordinated debt securities may recover less, proportionately, than holders of senior debt and may recover more, proportionately, than holders of the subordinated debt securities. Unless otherwise specified in the prospectus supplement relating to the</w:t>
      </w:r>
    </w:p>
    <w:p>
      <w:pPr>
        <w:spacing w:after="0" w:line="1" w:lineRule="exact"/>
        <w:rPr>
          <w:sz w:val="20"/>
          <w:szCs w:val="20"/>
          <w:color w:val="auto"/>
        </w:rPr>
      </w:pPr>
    </w:p>
    <w:p>
      <w:pPr>
        <w:ind w:right="460"/>
        <w:spacing w:after="0" w:line="232" w:lineRule="auto"/>
        <w:rPr>
          <w:sz w:val="20"/>
          <w:szCs w:val="20"/>
          <w:color w:val="auto"/>
        </w:rPr>
      </w:pPr>
      <w:r>
        <w:rPr>
          <w:rFonts w:ascii="Times New Roman" w:cs="Times New Roman" w:eastAsia="Times New Roman" w:hAnsi="Times New Roman"/>
          <w:sz w:val="13"/>
          <w:szCs w:val="13"/>
          <w:color w:val="auto"/>
        </w:rPr>
        <w:t>particular series of subordinated debt securities, “senior debt” is defined in the subordinated notes indenture as all indebtedness and obligations of NewtekOne, Inc. as described below, whether any such indebtedness and obligations are outstanding as of the date of the subordinated notes indenture or created, incurred, assumed or guaranteed after such date:</w:t>
      </w:r>
    </w:p>
    <w:p>
      <w:pPr>
        <w:spacing w:after="0" w:line="118" w:lineRule="exact"/>
        <w:rPr>
          <w:sz w:val="20"/>
          <w:szCs w:val="20"/>
          <w:color w:val="auto"/>
        </w:rPr>
      </w:pPr>
    </w:p>
    <w:p>
      <w:pPr>
        <w:ind w:left="480" w:right="160" w:firstLine="2"/>
        <w:spacing w:after="0" w:line="263" w:lineRule="auto"/>
        <w:tabs>
          <w:tab w:leader="none" w:pos="74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indebtedness and obligations of, or guaranteed or assumed by, NewtekOne, Inc. that are (a) for borrowed money, (b) evidenced by bonds, debentures, notes or other similar instruments, or (c) deferred obligations for the payment of the purchase price of property or assets;</w:t>
      </w:r>
    </w:p>
    <w:p>
      <w:pPr>
        <w:spacing w:after="0" w:line="103" w:lineRule="exact"/>
        <w:rPr>
          <w:rFonts w:ascii="Times New Roman" w:cs="Times New Roman" w:eastAsia="Times New Roman" w:hAnsi="Times New Roman"/>
          <w:sz w:val="13"/>
          <w:szCs w:val="13"/>
          <w:color w:val="auto"/>
        </w:rPr>
      </w:pPr>
    </w:p>
    <w:p>
      <w:pPr>
        <w:ind w:left="780" w:hanging="298"/>
        <w:spacing w:after="0"/>
        <w:tabs>
          <w:tab w:leader="none" w:pos="7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obligations of NewtekOne, Inc. that are similar to those in clause (i) and arise from off-balance sheet guarantees and direct credit substitutes;</w:t>
      </w:r>
    </w:p>
    <w:p>
      <w:pPr>
        <w:spacing w:after="0" w:line="141" w:lineRule="exact"/>
        <w:rPr>
          <w:rFonts w:ascii="Times New Roman" w:cs="Times New Roman" w:eastAsia="Times New Roman" w:hAnsi="Times New Roman"/>
          <w:sz w:val="13"/>
          <w:szCs w:val="13"/>
          <w:color w:val="auto"/>
        </w:rPr>
      </w:pPr>
    </w:p>
    <w:p>
      <w:pPr>
        <w:ind w:left="820" w:hanging="338"/>
        <w:spacing w:after="0"/>
        <w:tabs>
          <w:tab w:leader="none" w:pos="8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obligations of NewtekOne, Inc. associated with derivative products such as interest rate and foreign exchange contracts, commodity contracts and similar arrangements; and</w:t>
      </w:r>
    </w:p>
    <w:p>
      <w:pPr>
        <w:spacing w:after="0" w:line="151" w:lineRule="exact"/>
        <w:rPr>
          <w:rFonts w:ascii="Times New Roman" w:cs="Times New Roman" w:eastAsia="Times New Roman" w:hAnsi="Times New Roman"/>
          <w:sz w:val="13"/>
          <w:szCs w:val="13"/>
          <w:color w:val="auto"/>
        </w:rPr>
      </w:pPr>
    </w:p>
    <w:p>
      <w:pPr>
        <w:ind w:left="800" w:hanging="318"/>
        <w:spacing w:after="0"/>
        <w:tabs>
          <w:tab w:leader="none" w:pos="8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amendments, renewals, extensions, modifications and refundings of such indebtedness and obligations described in any of the preceding clauses (i), (ii) and (iii).</w:t>
      </w:r>
    </w:p>
    <w:p>
      <w:pPr>
        <w:spacing w:after="0" w:line="141" w:lineRule="exact"/>
        <w:rPr>
          <w:sz w:val="20"/>
          <w:szCs w:val="20"/>
          <w:color w:val="auto"/>
        </w:rPr>
      </w:pPr>
    </w:p>
    <w:p>
      <w:pPr>
        <w:jc w:val="both"/>
        <w:ind w:firstLine="482"/>
        <w:spacing w:after="0" w:line="247" w:lineRule="auto"/>
        <w:rPr>
          <w:sz w:val="20"/>
          <w:szCs w:val="20"/>
          <w:color w:val="auto"/>
        </w:rPr>
      </w:pPr>
      <w:r>
        <w:rPr>
          <w:rFonts w:ascii="Times New Roman" w:cs="Times New Roman" w:eastAsia="Times New Roman" w:hAnsi="Times New Roman"/>
          <w:sz w:val="13"/>
          <w:szCs w:val="13"/>
          <w:color w:val="auto"/>
        </w:rPr>
        <w:t xml:space="preserve">“Senior debt” does not include (1) the subordinated debt securities and (2) other indebtedness of NewtekOne, Inc. as is by its terms expressly stated (a) not to be senior in right of payment to, (b) to rank </w:t>
      </w:r>
      <w:r>
        <w:rPr>
          <w:rFonts w:ascii="Times New Roman" w:cs="Times New Roman" w:eastAsia="Times New Roman" w:hAnsi="Times New Roman"/>
          <w:sz w:val="13"/>
          <w:szCs w:val="13"/>
          <w:i w:val="1"/>
          <w:iCs w:val="1"/>
          <w:color w:val="auto"/>
        </w:rPr>
        <w:t xml:space="preserve">pari passu </w:t>
      </w:r>
      <w:r>
        <w:rPr>
          <w:rFonts w:ascii="Times New Roman" w:cs="Times New Roman" w:eastAsia="Times New Roman" w:hAnsi="Times New Roman"/>
          <w:sz w:val="13"/>
          <w:szCs w:val="13"/>
          <w:color w:val="auto"/>
        </w:rPr>
        <w:t>with, or (c) to rank junior in right of payment to, the subordinated debt securities.</w:t>
      </w:r>
    </w:p>
    <w:p>
      <w:pPr>
        <w:spacing w:after="0" w:line="124" w:lineRule="exact"/>
        <w:rPr>
          <w:sz w:val="20"/>
          <w:szCs w:val="20"/>
          <w:color w:val="auto"/>
        </w:rPr>
      </w:pPr>
    </w:p>
    <w:p>
      <w:pPr>
        <w:jc w:val="both"/>
        <w:ind w:right="20" w:firstLine="482"/>
        <w:spacing w:after="0" w:line="232" w:lineRule="auto"/>
        <w:rPr>
          <w:sz w:val="20"/>
          <w:szCs w:val="20"/>
          <w:color w:val="auto"/>
        </w:rPr>
      </w:pPr>
      <w:r>
        <w:rPr>
          <w:rFonts w:ascii="Times New Roman" w:cs="Times New Roman" w:eastAsia="Times New Roman" w:hAnsi="Times New Roman"/>
          <w:sz w:val="13"/>
          <w:szCs w:val="13"/>
          <w:color w:val="auto"/>
        </w:rPr>
        <w:t>The subordinated notes indenture does not limit or prohibit the incurrence of additional senior debt, which may include indebtedness that is senior to the subordinated debt securities, but subordinate to our other obligations. Any prospectus supplement relating to a particular series of subordinated debt securities will set forth the aggregate amount of our indebtedness senior to the subordinated debt securities as of a recent practicable date.</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prospectus supplement may further describe the provisions, if any, which may apply to the subordination of the subordinated debt securities of a particular series.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Secured Indebtedness and Ranking</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Certain of our indebtedness, including certain series of indenture securities, may be secured. The prospectus supplement for each series of indenture securities will describe the terms of any security</w:t>
      </w:r>
    </w:p>
    <w:p>
      <w:pPr>
        <w:spacing w:after="0" w:line="5" w:lineRule="exact"/>
        <w:rPr>
          <w:sz w:val="20"/>
          <w:szCs w:val="20"/>
          <w:color w:val="auto"/>
        </w:rPr>
      </w:pPr>
    </w:p>
    <w:p>
      <w:pPr>
        <w:ind w:right="220"/>
        <w:spacing w:after="0" w:line="224" w:lineRule="auto"/>
        <w:rPr>
          <w:sz w:val="20"/>
          <w:szCs w:val="20"/>
          <w:color w:val="auto"/>
        </w:rPr>
      </w:pPr>
      <w:r>
        <w:rPr>
          <w:rFonts w:ascii="Times New Roman" w:cs="Times New Roman" w:eastAsia="Times New Roman" w:hAnsi="Times New Roman"/>
          <w:sz w:val="13"/>
          <w:szCs w:val="13"/>
          <w:color w:val="auto"/>
        </w:rPr>
        <w:t>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will rank structurally junior to all existing and future indebtedness (including trade payables) incurred by any subsidiaries, financing vehicles, or similar facilities we may have.</w:t>
      </w:r>
    </w:p>
    <w:p>
      <w:pPr>
        <w:spacing w:after="0" w:line="129" w:lineRule="exact"/>
        <w:rPr>
          <w:sz w:val="20"/>
          <w:szCs w:val="20"/>
          <w:color w:val="auto"/>
        </w:rPr>
      </w:pPr>
    </w:p>
    <w:p>
      <w:pPr>
        <w:ind w:right="140" w:firstLine="482"/>
        <w:spacing w:after="0" w:line="232" w:lineRule="auto"/>
        <w:rPr>
          <w:sz w:val="20"/>
          <w:szCs w:val="20"/>
          <w:color w:val="auto"/>
        </w:rPr>
      </w:pPr>
      <w:r>
        <w:rPr>
          <w:rFonts w:ascii="Times New Roman" w:cs="Times New Roman" w:eastAsia="Times New Roman" w:hAnsi="Times New Roman"/>
          <w:sz w:val="13"/>
          <w:szCs w:val="13"/>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Trustee under the Indentures</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trustee under the existing notes will remain the trustee under the existing indenture and we expect it will serve as the trustee under the senior notes indenture and the subordinated notes indenture.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Certain Considerations Relating to Foreign Currencies</w:t>
      </w:r>
    </w:p>
    <w:p>
      <w:pPr>
        <w:spacing w:after="0" w:line="156" w:lineRule="exact"/>
        <w:rPr>
          <w:sz w:val="20"/>
          <w:szCs w:val="20"/>
          <w:color w:val="auto"/>
        </w:rPr>
      </w:pPr>
    </w:p>
    <w:p>
      <w:pPr>
        <w:ind w:right="60" w:firstLine="482"/>
        <w:spacing w:after="0" w:line="247" w:lineRule="auto"/>
        <w:rPr>
          <w:sz w:val="20"/>
          <w:szCs w:val="20"/>
          <w:color w:val="auto"/>
        </w:rPr>
      </w:pPr>
      <w:r>
        <w:rPr>
          <w:rFonts w:ascii="Times New Roman" w:cs="Times New Roman" w:eastAsia="Times New Roman" w:hAnsi="Times New Roman"/>
          <w:sz w:val="13"/>
          <w:szCs w:val="13"/>
          <w:color w:val="auto"/>
        </w:rPr>
        <w:t>Debt securities denominated or payable in foreign currencies may entail significant risks. These risks include the possibility of significant fluctuations in the foreign currency markets, the imposition or modification of foreign exchange</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60"/>
          </w:cols>
          <w:pgMar w:left="300" w:top="68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color w:val="auto"/>
        </w:rPr>
        <w:t>controls and potential illiquidity in the secondary market. These risks will vary depending upon the currency or currencies involved and will be more fully described in the applicable prospectus supplement.</w:t>
      </w:r>
    </w:p>
    <w:p>
      <w:pPr>
        <w:sectPr>
          <w:pgSz w:w="11900" w:h="16838" w:orient="portrait"/>
          <w:cols w:equalWidth="0" w:num="1">
            <w:col w:w="11020"/>
          </w:cols>
          <w:pgMar w:left="300" w:top="689" w:right="5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020"/>
          </w:cols>
          <w:pgMar w:left="300" w:top="689" w:right="579" w:bottom="1440" w:gutter="0" w:footer="0" w:header="0"/>
          <w:type w:val="continuous"/>
        </w:sectPr>
      </w:pPr>
    </w:p>
    <w:bookmarkStart w:id="36" w:name="page37"/>
    <w:bookmarkEnd w:id="36"/>
    <w:p>
      <w:pPr>
        <w:ind w:left="4840"/>
        <w:spacing w:after="0"/>
        <w:rPr>
          <w:sz w:val="20"/>
          <w:szCs w:val="20"/>
          <w:color w:val="auto"/>
        </w:rPr>
      </w:pPr>
      <w:r>
        <w:rPr>
          <w:rFonts w:ascii="Times New Roman" w:cs="Times New Roman" w:eastAsia="Times New Roman" w:hAnsi="Times New Roman"/>
          <w:sz w:val="13"/>
          <w:szCs w:val="13"/>
          <w:b w:val="1"/>
          <w:bCs w:val="1"/>
          <w:color w:val="auto"/>
        </w:rPr>
        <w:t>DESCRIPTION OF UNITS</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Units will consist of any combination of two or more of the other securities described in this prospectus. The applicable prospectus supplement or supplements will also describe:</w:t>
      </w:r>
    </w:p>
    <w:p>
      <w:pPr>
        <w:spacing w:after="0" w:line="152" w:lineRule="exact"/>
        <w:rPr>
          <w:sz w:val="20"/>
          <w:szCs w:val="20"/>
          <w:color w:val="auto"/>
        </w:rPr>
      </w:pPr>
    </w:p>
    <w:p>
      <w:pPr>
        <w:ind w:left="480" w:right="460" w:hanging="239"/>
        <w:spacing w:after="0" w:line="247" w:lineRule="auto"/>
        <w:tabs>
          <w:tab w:leader="none" w:pos="477"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the designation and the terms of the units and of any combination of the securities constituting the units, including whether and under what circumstances those securities may be held or traded separately;</w:t>
      </w:r>
    </w:p>
    <w:p>
      <w:pPr>
        <w:spacing w:after="0" w:line="113"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additional terms of the agreement governing the units;</w:t>
      </w:r>
    </w:p>
    <w:p>
      <w:pPr>
        <w:spacing w:after="0" w:line="15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any additional provisions for the issuance, payment, settlement, transfer or exchange of the units or of the securities constituting the units; and</w:t>
      </w:r>
    </w:p>
    <w:p>
      <w:pPr>
        <w:spacing w:after="0" w:line="141" w:lineRule="exact"/>
        <w:rPr>
          <w:rFonts w:ascii="Times New Roman" w:cs="Times New Roman" w:eastAsia="Times New Roman" w:hAnsi="Times New Roman"/>
          <w:sz w:val="13"/>
          <w:szCs w:val="13"/>
          <w:color w:val="231F20"/>
        </w:rPr>
      </w:pPr>
    </w:p>
    <w:p>
      <w:pPr>
        <w:ind w:left="480" w:hanging="239"/>
        <w:spacing w:after="0"/>
        <w:tabs>
          <w:tab w:leader="none" w:pos="480"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auto"/>
        </w:rPr>
        <w:t>whether the units will be issued in fully registered form.</w:t>
      </w:r>
    </w:p>
    <w:p>
      <w:pPr>
        <w:spacing w:after="0" w:line="141" w:lineRule="exact"/>
        <w:rPr>
          <w:sz w:val="20"/>
          <w:szCs w:val="20"/>
          <w:color w:val="auto"/>
        </w:rPr>
      </w:pPr>
    </w:p>
    <w:p>
      <w:pPr>
        <w:ind w:right="220" w:firstLine="482"/>
        <w:spacing w:after="0" w:line="263" w:lineRule="auto"/>
        <w:rPr>
          <w:sz w:val="20"/>
          <w:szCs w:val="20"/>
          <w:color w:val="auto"/>
        </w:rPr>
      </w:pPr>
      <w:r>
        <w:rPr>
          <w:rFonts w:ascii="Times New Roman" w:cs="Times New Roman" w:eastAsia="Times New Roman" w:hAnsi="Times New Roman"/>
          <w:sz w:val="13"/>
          <w:szCs w:val="13"/>
          <w:color w:val="auto"/>
        </w:rPr>
        <w:t>The terms and conditions applicable to the securities described above will apply to each unit that includes such securities and to the securities included in each unit, unless otherwise specified in the applicable prospectus supplement.</w:t>
      </w:r>
    </w:p>
    <w:p>
      <w:pPr>
        <w:spacing w:after="0" w:line="104" w:lineRule="exact"/>
        <w:rPr>
          <w:sz w:val="20"/>
          <w:szCs w:val="20"/>
          <w:color w:val="auto"/>
        </w:rPr>
      </w:pPr>
    </w:p>
    <w:p>
      <w:pPr>
        <w:ind w:firstLine="482"/>
        <w:spacing w:after="0" w:line="247" w:lineRule="auto"/>
        <w:rPr>
          <w:sz w:val="20"/>
          <w:szCs w:val="20"/>
          <w:color w:val="auto"/>
        </w:rPr>
      </w:pPr>
      <w:r>
        <w:rPr>
          <w:rFonts w:ascii="Times New Roman" w:cs="Times New Roman" w:eastAsia="Times New Roman" w:hAnsi="Times New Roman"/>
          <w:sz w:val="13"/>
          <w:szCs w:val="13"/>
          <w:color w:val="auto"/>
        </w:rPr>
        <w:t>We may issue the units under one or more unit agreements to be entered into between us and a unit agent. We may issue units in one or more series, which will be described in the applicable prospectus supplement.</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20"/>
          </w:cols>
          <w:pgMar w:left="300" w:top="1026" w:right="37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45" w:lineRule="exact"/>
        <w:rPr>
          <w:sz w:val="20"/>
          <w:szCs w:val="20"/>
          <w:color w:val="auto"/>
        </w:rPr>
      </w:pPr>
    </w:p>
    <w:p>
      <w:pPr>
        <w:ind w:right="100" w:firstLine="482"/>
        <w:spacing w:after="0" w:line="279" w:lineRule="auto"/>
        <w:rPr>
          <w:sz w:val="20"/>
          <w:szCs w:val="20"/>
          <w:color w:val="auto"/>
        </w:rPr>
      </w:pPr>
      <w:r>
        <w:rPr>
          <w:rFonts w:ascii="Times New Roman" w:cs="Times New Roman" w:eastAsia="Times New Roman" w:hAnsi="Times New Roman"/>
          <w:sz w:val="13"/>
          <w:szCs w:val="13"/>
          <w:color w:val="auto"/>
        </w:rPr>
        <w:t>We may offer, from time to time, up to $650,000,000 of common stock, preferred stock, depositary shares, warrants, subscription rights, debt securities or and/or units consisting of some or all of these securities in one or more underwritten public offerings, at-the-market offerings, negotiated transactions, block trades, best efforts or a combination of these methods.</w:t>
      </w:r>
    </w:p>
    <w:p>
      <w:pPr>
        <w:spacing w:after="0" w:line="1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We may sell our securities through underwriters or dealers, “at-the-market” to or through a market maker into an existing trading market or otherwise directly to one or more purchasers or through</w:t>
      </w:r>
    </w:p>
    <w:p>
      <w:pPr>
        <w:spacing w:after="0" w:line="5"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3"/>
          <w:szCs w:val="13"/>
          <w:color w:val="auto"/>
        </w:rPr>
        <w:t>agents or through a combination of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w:t>
      </w:r>
    </w:p>
    <w:p>
      <w:pPr>
        <w:spacing w:after="0" w:line="1"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3"/>
          <w:szCs w:val="13"/>
          <w:color w:val="auto"/>
        </w:rPr>
        <w:t>allowed or re-allowed or paid to dealers; and any securities exchange or market on which the securities may be listed. Only underwriters named in the prospectus supplement will be underwriters of the shares offered by the prospectus supplement.</w:t>
      </w:r>
    </w:p>
    <w:p>
      <w:pPr>
        <w:spacing w:after="0" w:line="118" w:lineRule="exact"/>
        <w:rPr>
          <w:sz w:val="20"/>
          <w:szCs w:val="20"/>
          <w:color w:val="auto"/>
        </w:rPr>
      </w:pPr>
    </w:p>
    <w:p>
      <w:pPr>
        <w:ind w:right="100" w:firstLine="482"/>
        <w:spacing w:after="0" w:line="263" w:lineRule="auto"/>
        <w:rPr>
          <w:sz w:val="20"/>
          <w:szCs w:val="20"/>
          <w:color w:val="auto"/>
        </w:rPr>
      </w:pPr>
      <w:r>
        <w:rPr>
          <w:rFonts w:ascii="Times New Roman" w:cs="Times New Roman" w:eastAsia="Times New Roman" w:hAnsi="Times New Roman"/>
          <w:sz w:val="13"/>
          <w:szCs w:val="13"/>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The price at which the securities may be distributed may represent a discount from prevailing market prices.</w:t>
      </w:r>
    </w:p>
    <w:p>
      <w:pPr>
        <w:spacing w:after="0" w:line="104" w:lineRule="exact"/>
        <w:rPr>
          <w:sz w:val="20"/>
          <w:szCs w:val="20"/>
          <w:color w:val="auto"/>
        </w:rPr>
      </w:pPr>
    </w:p>
    <w:p>
      <w:pPr>
        <w:ind w:right="160" w:firstLine="482"/>
        <w:spacing w:after="0" w:line="228" w:lineRule="auto"/>
        <w:rPr>
          <w:sz w:val="20"/>
          <w:szCs w:val="20"/>
          <w:color w:val="auto"/>
        </w:rPr>
      </w:pPr>
      <w:r>
        <w:rPr>
          <w:rFonts w:ascii="Times New Roman" w:cs="Times New Roman" w:eastAsia="Times New Roman" w:hAnsi="Times New Roman"/>
          <w:sz w:val="13"/>
          <w:szCs w:val="13"/>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w:t>
      </w:r>
    </w:p>
    <w:p>
      <w:pPr>
        <w:spacing w:after="0" w:line="1" w:lineRule="exact"/>
        <w:rPr>
          <w:sz w:val="20"/>
          <w:szCs w:val="20"/>
          <w:color w:val="auto"/>
        </w:rPr>
      </w:pPr>
    </w:p>
    <w:p>
      <w:pPr>
        <w:ind w:right="100"/>
        <w:spacing w:after="0" w:line="214" w:lineRule="auto"/>
        <w:rPr>
          <w:sz w:val="20"/>
          <w:szCs w:val="20"/>
          <w:color w:val="auto"/>
        </w:rPr>
      </w:pPr>
      <w:r>
        <w:rPr>
          <w:rFonts w:ascii="Times New Roman" w:cs="Times New Roman" w:eastAsia="Times New Roman" w:hAnsi="Times New Roman"/>
          <w:sz w:val="13"/>
          <w:szCs w:val="13"/>
          <w:color w:val="auto"/>
        </w:rPr>
        <w:t>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w:t>
      </w:r>
    </w:p>
    <w:p>
      <w:pPr>
        <w:spacing w:after="0" w:line="1"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3"/>
          <w:szCs w:val="13"/>
          <w:color w:val="auto"/>
        </w:rPr>
        <w:t>discount to be received by any member of FINRA or independent broker-dealer, including any reimbursements to underwriters or agents for certain fees and legal expenses incurred by them, will not be greater than 10.0% of the gross proceeds of the sale of shares offered pursuant to this prospectus and any applicable prospectus supplement.</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Any underwriter may engage in over-allotment, stabilizing transactions, short-covering transactions and penalty bids in accordance with Regulation M under the Exchange Act. Over-allotment involves</w:t>
      </w:r>
    </w:p>
    <w:p>
      <w:pPr>
        <w:spacing w:after="0" w:line="5"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13"/>
          <w:szCs w:val="13"/>
          <w:color w:val="auto"/>
        </w:rPr>
        <w:t>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w:t>
      </w:r>
    </w:p>
    <w:p>
      <w:pPr>
        <w:spacing w:after="0" w:line="1"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13"/>
          <w:szCs w:val="13"/>
          <w:color w:val="auto"/>
        </w:rPr>
        <w:t>transaction to cover short positions. Those activities may cause the price of the securities to be higher than it would otherwise be. If commenced, the underwriters may discontinue any of the activities at any time.</w:t>
      </w:r>
    </w:p>
    <w:p>
      <w:pPr>
        <w:spacing w:after="0" w:line="2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Any underwriters that are qualified market makers on the Nasdaq Global Market may engage in passive market making transactions in our common stock on the Nasdaq Global Market in accordance</w:t>
      </w:r>
    </w:p>
    <w:p>
      <w:pPr>
        <w:spacing w:after="0" w:line="5"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3"/>
          <w:szCs w:val="13"/>
          <w:color w:val="auto"/>
        </w:rPr>
        <w:t>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making may stabilize the market price of the shares at a level above that which might otherwise prevail in the open market and, if commenced, may be discontinued at any time.</w:t>
      </w:r>
    </w:p>
    <w:p>
      <w:pPr>
        <w:spacing w:after="0" w:line="127" w:lineRule="exact"/>
        <w:rPr>
          <w:sz w:val="20"/>
          <w:szCs w:val="20"/>
          <w:color w:val="auto"/>
        </w:rPr>
      </w:pPr>
    </w:p>
    <w:p>
      <w:pPr>
        <w:ind w:right="160" w:firstLine="482"/>
        <w:spacing w:after="0" w:line="247" w:lineRule="auto"/>
        <w:rPr>
          <w:sz w:val="20"/>
          <w:szCs w:val="20"/>
          <w:color w:val="auto"/>
        </w:rPr>
      </w:pPr>
      <w:r>
        <w:rPr>
          <w:rFonts w:ascii="Times New Roman" w:cs="Times New Roman" w:eastAsia="Times New Roman" w:hAnsi="Times New Roman"/>
          <w:sz w:val="13"/>
          <w:szCs w:val="13"/>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24" w:lineRule="exact"/>
        <w:rPr>
          <w:sz w:val="20"/>
          <w:szCs w:val="20"/>
          <w:color w:val="auto"/>
        </w:rPr>
      </w:pPr>
    </w:p>
    <w:p>
      <w:pPr>
        <w:ind w:right="80" w:firstLine="482"/>
        <w:spacing w:after="0" w:line="247" w:lineRule="auto"/>
        <w:rPr>
          <w:sz w:val="20"/>
          <w:szCs w:val="20"/>
          <w:color w:val="auto"/>
        </w:rPr>
      </w:pPr>
      <w:r>
        <w:rPr>
          <w:rFonts w:ascii="Times New Roman" w:cs="Times New Roman" w:eastAsia="Times New Roman" w:hAnsi="Times New Roman"/>
          <w:sz w:val="13"/>
          <w:szCs w:val="13"/>
          <w:color w:val="auto"/>
        </w:rPr>
        <w:t>Unless otherwise specified in the applicable prospectus supplement, each class or series of securities will be a new issue with no trading market, other than our common stock, which is traded on the Nasdaq Global Market. We may elect to list any other class or series of securities on any exchanges, but we are not obligated to do so. We cannot guarantee the liquidity of the trading markets for any securities.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1026" w:right="319" w:bottom="1440" w:gutter="0" w:footer="0" w:header="0"/>
        </w:sectPr>
      </w:pPr>
    </w:p>
    <w:bookmarkStart w:id="38" w:name="page39"/>
    <w:bookmarkEnd w:id="38"/>
    <w:p>
      <w:pPr>
        <w:ind w:right="20" w:firstLine="482"/>
        <w:spacing w:after="0" w:line="228" w:lineRule="auto"/>
        <w:rPr>
          <w:sz w:val="20"/>
          <w:szCs w:val="20"/>
          <w:color w:val="auto"/>
        </w:rPr>
      </w:pPr>
      <w:r>
        <w:rPr>
          <w:rFonts w:ascii="Times New Roman" w:cs="Times New Roman" w:eastAsia="Times New Roman" w:hAnsi="Times New Roman"/>
          <w:sz w:val="13"/>
          <w:szCs w:val="13"/>
          <w:color w:val="auto"/>
        </w:rPr>
        <w:t>Under agreements that we may enter, underwriters, dealers and agents who participate in the distribution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with, or perform services for, us in the ordinary course of business.</w:t>
      </w:r>
    </w:p>
    <w:p>
      <w:pPr>
        <w:spacing w:after="0" w:line="127" w:lineRule="exact"/>
        <w:rPr>
          <w:sz w:val="20"/>
          <w:szCs w:val="20"/>
          <w:color w:val="auto"/>
        </w:rPr>
      </w:pPr>
    </w:p>
    <w:p>
      <w:pPr>
        <w:ind w:right="300" w:firstLine="482"/>
        <w:spacing w:after="0" w:line="228" w:lineRule="auto"/>
        <w:rPr>
          <w:sz w:val="20"/>
          <w:szCs w:val="20"/>
          <w:color w:val="auto"/>
        </w:rPr>
      </w:pPr>
      <w:r>
        <w:rPr>
          <w:rFonts w:ascii="Times New Roman" w:cs="Times New Roman" w:eastAsia="Times New Roman" w:hAnsi="Times New Roman"/>
          <w:sz w:val="13"/>
          <w:szCs w:val="13"/>
          <w:color w:val="auto"/>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w:t>
      </w:r>
    </w:p>
    <w:p>
      <w:pPr>
        <w:spacing w:after="0" w:line="1" w:lineRule="exact"/>
        <w:rPr>
          <w:sz w:val="20"/>
          <w:szCs w:val="20"/>
          <w:color w:val="auto"/>
        </w:rPr>
      </w:pPr>
    </w:p>
    <w:p>
      <w:pPr>
        <w:ind w:right="60"/>
        <w:spacing w:after="0" w:line="214" w:lineRule="auto"/>
        <w:rPr>
          <w:sz w:val="20"/>
          <w:szCs w:val="20"/>
          <w:color w:val="auto"/>
        </w:rPr>
      </w:pPr>
      <w:r>
        <w:rPr>
          <w:rFonts w:ascii="Times New Roman" w:cs="Times New Roman" w:eastAsia="Times New Roman" w:hAnsi="Times New Roman"/>
          <w:sz w:val="13"/>
          <w:szCs w:val="13"/>
          <w:color w:val="auto"/>
        </w:rPr>
        <w:t>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will set forth the commission payable for solicitation of such contracts.</w:t>
      </w:r>
    </w:p>
    <w:p>
      <w:pPr>
        <w:spacing w:after="0" w:line="127" w:lineRule="exact"/>
        <w:rPr>
          <w:sz w:val="20"/>
          <w:szCs w:val="20"/>
          <w:color w:val="auto"/>
        </w:rPr>
      </w:pPr>
    </w:p>
    <w:p>
      <w:pPr>
        <w:ind w:right="100" w:firstLine="482"/>
        <w:spacing w:after="0" w:line="228" w:lineRule="auto"/>
        <w:rPr>
          <w:sz w:val="20"/>
          <w:szCs w:val="20"/>
          <w:color w:val="auto"/>
        </w:rPr>
      </w:pPr>
      <w:r>
        <w:rPr>
          <w:rFonts w:ascii="Times New Roman" w:cs="Times New Roman" w:eastAsia="Times New Roman" w:hAnsi="Times New Roman"/>
          <w:sz w:val="13"/>
          <w:szCs w:val="13"/>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2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In order to comply with the securities laws of certain states, if applicable, our securities offered hereby will be sold in such jurisdictions only through registered or licensed brokers or dealers.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89" w:right="319" w:bottom="1440" w:gutter="0" w:footer="0" w:header="0"/>
        </w:sectPr>
      </w:pPr>
    </w:p>
    <w:bookmarkStart w:id="39" w:name="page40"/>
    <w:bookmarkEnd w:id="39"/>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45" w:lineRule="exact"/>
        <w:rPr>
          <w:sz w:val="20"/>
          <w:szCs w:val="20"/>
          <w:color w:val="auto"/>
        </w:rPr>
      </w:pPr>
    </w:p>
    <w:p>
      <w:pPr>
        <w:ind w:firstLine="482"/>
        <w:spacing w:after="0" w:line="279" w:lineRule="auto"/>
        <w:rPr>
          <w:sz w:val="20"/>
          <w:szCs w:val="20"/>
          <w:color w:val="auto"/>
        </w:rPr>
      </w:pPr>
      <w:r>
        <w:rPr>
          <w:rFonts w:ascii="Times New Roman" w:cs="Times New Roman" w:eastAsia="Times New Roman" w:hAnsi="Times New Roman"/>
          <w:sz w:val="13"/>
          <w:szCs w:val="13"/>
          <w:color w:val="auto"/>
        </w:rPr>
        <w:t>Certain legal matters in connection with the securities offered by this prospectus will be passed upon for us by Michael A. Schwartz, our Chief Legal Officer or Robert Fraley, Senior Counsel. Certain legal matters in connection with the offering will be passed upon for the underwriters by the counsel named in the applicable prospectus supplement.</w:t>
      </w:r>
    </w:p>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140"/>
          </w:cols>
          <w:pgMar w:left="300" w:top="1026" w:right="4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NewtekOne, Inc.</w:t>
      </w:r>
    </w:p>
    <w:p>
      <w:pPr>
        <w:spacing w:after="0" w:line="186" w:lineRule="exact"/>
        <w:rPr>
          <w:sz w:val="20"/>
          <w:szCs w:val="20"/>
          <w:color w:val="auto"/>
        </w:rPr>
      </w:pPr>
    </w:p>
    <w:p>
      <w:pPr>
        <w:jc w:val="both"/>
        <w:ind w:firstLine="482"/>
        <w:spacing w:after="0" w:line="254" w:lineRule="auto"/>
        <w:rPr>
          <w:sz w:val="20"/>
          <w:szCs w:val="20"/>
          <w:color w:val="auto"/>
        </w:rPr>
      </w:pPr>
      <w:r>
        <w:rPr>
          <w:rFonts w:ascii="Times New Roman" w:cs="Times New Roman" w:eastAsia="Times New Roman" w:hAnsi="Times New Roman"/>
          <w:sz w:val="13"/>
          <w:szCs w:val="13"/>
          <w:color w:val="auto"/>
        </w:rPr>
        <w:t>The consolidated financial statements of NewtekOne, Inc. as of December 31, 2025 and 2024, and for each of the years in the three-year period ended December 31, 2025, and the effectiveness of internal control over financial reporting as of December 31, 2025, incorporated by reference in this prospectus from our Annual Report on Form 10-K for the year ended December 31, 2025, have been audited by RSM US LLP, an independent registered public accounting firm, as stated in their reports incorporated by reference herein, and have been so incorporated in reliance upon the reports of such firm given upon their authority as experts in accounting and auditing.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85"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3"/>
          <w:szCs w:val="13"/>
          <w:b w:val="1"/>
          <w:bCs w:val="1"/>
          <w:color w:val="auto"/>
        </w:rPr>
        <w:t>AVAILABLE INFORMATION</w:t>
      </w:r>
    </w:p>
    <w:p>
      <w:pPr>
        <w:spacing w:after="0" w:line="145" w:lineRule="exact"/>
        <w:rPr>
          <w:sz w:val="20"/>
          <w:szCs w:val="20"/>
          <w:color w:val="auto"/>
        </w:rPr>
      </w:pPr>
    </w:p>
    <w:p>
      <w:pPr>
        <w:jc w:val="both"/>
        <w:ind w:firstLine="482"/>
        <w:spacing w:after="0" w:line="247" w:lineRule="auto"/>
        <w:rPr>
          <w:sz w:val="20"/>
          <w:szCs w:val="20"/>
          <w:color w:val="auto"/>
        </w:rPr>
      </w:pPr>
      <w:r>
        <w:rPr>
          <w:rFonts w:ascii="Times New Roman" w:cs="Times New Roman" w:eastAsia="Times New Roman" w:hAnsi="Times New Roman"/>
          <w:sz w:val="13"/>
          <w:szCs w:val="13"/>
          <w:color w:val="auto"/>
        </w:rPr>
        <w:t xml:space="preserve">We have filed with the SEC a registration statement on Form S-3, together with all amendments and related exhibits, under the Securities Act. The registration statement contains additional information about us and our securities being offered by this prospectus. We file with or submit to the SEC annual, quarterly and current reports, proxy statements and other information meeting the informational requirements of the Exchange Act. We maintain a website at </w:t>
      </w:r>
      <w:r>
        <w:rPr>
          <w:rFonts w:ascii="Times New Roman" w:cs="Times New Roman" w:eastAsia="Times New Roman" w:hAnsi="Times New Roman"/>
          <w:sz w:val="13"/>
          <w:szCs w:val="13"/>
          <w:i w:val="1"/>
          <w:iCs w:val="1"/>
          <w:color w:val="auto"/>
        </w:rPr>
        <w:t>www.newtekone.com</w:t>
      </w:r>
      <w:r>
        <w:rPr>
          <w:rFonts w:ascii="Times New Roman" w:cs="Times New Roman" w:eastAsia="Times New Roman" w:hAnsi="Times New Roman"/>
          <w:sz w:val="13"/>
          <w:szCs w:val="13"/>
          <w:color w:val="auto"/>
        </w:rPr>
        <w:t xml:space="preserve"> and intend to make all of our annual, quarterly and current reports, proxy statements and other publicly filed information available, free of charge, on or through our website. You may also obtain such information by contacting us in writing at 4800 T Rex Avenue, Suite 120, Boca Raton, Florida 33431.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w:t>
      </w:r>
      <w:r>
        <w:rPr>
          <w:rFonts w:ascii="Times New Roman" w:cs="Times New Roman" w:eastAsia="Times New Roman" w:hAnsi="Times New Roman"/>
          <w:sz w:val="13"/>
          <w:szCs w:val="13"/>
          <w:i w:val="1"/>
          <w:iCs w:val="1"/>
          <w:color w:val="auto"/>
        </w:rPr>
        <w:t>publicinfo@sec.gov</w:t>
      </w:r>
      <w:r>
        <w:rPr>
          <w:rFonts w:ascii="Times New Roman" w:cs="Times New Roman" w:eastAsia="Times New Roman" w:hAnsi="Times New Roman"/>
          <w:sz w:val="13"/>
          <w:szCs w:val="13"/>
          <w:color w:val="auto"/>
        </w:rPr>
        <w:t>. Information contained on our website or on the SEC’s website about us is not incorporated into this prospectus and you should not consider information contained on our website or on the SEC’s website to be part of this prospectus, or the registration statement of which this prospectus is a part.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85"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3"/>
          <w:szCs w:val="13"/>
          <w:b w:val="1"/>
          <w:bCs w:val="1"/>
          <w:color w:val="auto"/>
        </w:rPr>
        <w:t>INCORPORATION OF CERTAIN INFORMATION BY REFERENCE</w:t>
      </w:r>
    </w:p>
    <w:p>
      <w:pPr>
        <w:spacing w:after="0" w:line="326" w:lineRule="exact"/>
        <w:rPr>
          <w:sz w:val="20"/>
          <w:szCs w:val="20"/>
          <w:color w:val="auto"/>
        </w:rPr>
      </w:pPr>
    </w:p>
    <w:p>
      <w:pPr>
        <w:jc w:val="both"/>
        <w:ind w:firstLine="482"/>
        <w:spacing w:after="0" w:line="254" w:lineRule="auto"/>
        <w:rPr>
          <w:sz w:val="20"/>
          <w:szCs w:val="20"/>
          <w:color w:val="auto"/>
        </w:rPr>
      </w:pPr>
      <w:r>
        <w:rPr>
          <w:rFonts w:ascii="Times New Roman" w:cs="Times New Roman" w:eastAsia="Times New Roman" w:hAnsi="Times New Roman"/>
          <w:sz w:val="13"/>
          <w:szCs w:val="13"/>
          <w:color w:val="auto"/>
        </w:rPr>
        <w:t>This prospectus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subsequent to the date of this prospectus and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w:t>
      </w:r>
    </w:p>
    <w:p>
      <w:pPr>
        <w:spacing w:after="0" w:line="130" w:lineRule="exact"/>
        <w:rPr>
          <w:sz w:val="20"/>
          <w:szCs w:val="20"/>
          <w:color w:val="auto"/>
        </w:rPr>
      </w:pPr>
    </w:p>
    <w:p>
      <w:pPr>
        <w:jc w:val="both"/>
        <w:ind w:firstLine="482"/>
        <w:spacing w:after="0" w:line="249" w:lineRule="auto"/>
        <w:rPr>
          <w:sz w:val="20"/>
          <w:szCs w:val="20"/>
          <w:color w:val="auto"/>
        </w:rPr>
      </w:pPr>
      <w:r>
        <w:rPr>
          <w:rFonts w:ascii="Times New Roman" w:cs="Times New Roman" w:eastAsia="Times New Roman" w:hAnsi="Times New Roman"/>
          <w:sz w:val="13"/>
          <w:szCs w:val="13"/>
          <w:color w:val="auto"/>
        </w:rPr>
        <w:t>We incorporate by reference into this prospectus our filings listed below and all documents subsequently filed by the registrant pursuant to Section 13(a), 13(c), 14 or 15(d) of the Exchange Act,(i) during the period after the date of the initial registration statement and prior to the effectiveness of the registration statement and (ii) subsequent to the date of this prospectus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subsequent to the date of this prospectus will automatically update and may supersede information in this prospectus, any accompanying prospectus supplement and information previously filed with the SEC.</w:t>
      </w:r>
    </w:p>
    <w:p>
      <w:pPr>
        <w:spacing w:after="0" w:line="2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This prospectus and any accompanying prospectus supplement incorporate by reference the documents set forth below that have previously been filed with the SEC:</w:t>
      </w:r>
    </w:p>
    <w:p>
      <w:pPr>
        <w:spacing w:after="0" w:line="152" w:lineRule="exact"/>
        <w:rPr>
          <w:sz w:val="20"/>
          <w:szCs w:val="20"/>
          <w:color w:val="auto"/>
        </w:rPr>
      </w:pPr>
    </w:p>
    <w:p>
      <w:pPr>
        <w:ind w:left="480" w:hanging="239"/>
        <w:spacing w:after="0"/>
        <w:tabs>
          <w:tab w:leader="none" w:pos="480" w:val="left"/>
        </w:tabs>
        <w:numPr>
          <w:ilvl w:val="0"/>
          <w:numId w:val="30"/>
        </w:numPr>
        <w:rPr>
          <w:rFonts w:ascii="Arial" w:cs="Arial" w:eastAsia="Arial" w:hAnsi="Arial"/>
          <w:sz w:val="13"/>
          <w:szCs w:val="13"/>
          <w:color w:val="auto"/>
        </w:rPr>
      </w:pPr>
      <w:r>
        <w:rPr>
          <w:rFonts w:ascii="Times New Roman" w:cs="Times New Roman" w:eastAsia="Times New Roman" w:hAnsi="Times New Roman"/>
          <w:sz w:val="13"/>
          <w:szCs w:val="13"/>
          <w:color w:val="auto"/>
        </w:rPr>
        <w:t>our Annual Report on Form 10-K for the fiscal year ended December 31, 2025, filed with the SEC on March 10, 2026;</w:t>
      </w:r>
    </w:p>
    <w:p>
      <w:pPr>
        <w:spacing w:after="0" w:line="160" w:lineRule="exact"/>
        <w:rPr>
          <w:rFonts w:ascii="Arial" w:cs="Arial" w:eastAsia="Arial" w:hAnsi="Arial"/>
          <w:sz w:val="13"/>
          <w:szCs w:val="13"/>
          <w:color w:val="auto"/>
        </w:rPr>
      </w:pPr>
    </w:p>
    <w:p>
      <w:pPr>
        <w:ind w:left="480" w:hanging="239"/>
        <w:spacing w:after="0"/>
        <w:tabs>
          <w:tab w:leader="none" w:pos="4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Quarterly Report on Form 10-Q for the fiscal quarter ended March 31, 2026, filed with the SEC on May 8, 2026;</w:t>
      </w:r>
    </w:p>
    <w:p>
      <w:pPr>
        <w:spacing w:after="0" w:line="161" w:lineRule="exact"/>
        <w:rPr>
          <w:rFonts w:ascii="Times New Roman" w:cs="Times New Roman" w:eastAsia="Times New Roman" w:hAnsi="Times New Roman"/>
          <w:sz w:val="13"/>
          <w:szCs w:val="13"/>
          <w:color w:val="auto"/>
        </w:rPr>
      </w:pPr>
    </w:p>
    <w:p>
      <w:pPr>
        <w:ind w:left="480" w:hanging="239"/>
        <w:spacing w:after="0"/>
        <w:tabs>
          <w:tab w:leader="none" w:pos="4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Definitive Proxy Statement on Schedule 14A, filed with the SEC on April 24, 2026;</w:t>
      </w:r>
    </w:p>
    <w:p>
      <w:pPr>
        <w:spacing w:after="0" w:line="161" w:lineRule="exact"/>
        <w:rPr>
          <w:rFonts w:ascii="Times New Roman" w:cs="Times New Roman" w:eastAsia="Times New Roman" w:hAnsi="Times New Roman"/>
          <w:sz w:val="13"/>
          <w:szCs w:val="13"/>
          <w:color w:val="auto"/>
        </w:rPr>
      </w:pPr>
    </w:p>
    <w:p>
      <w:pPr>
        <w:ind w:left="480" w:hanging="239"/>
        <w:spacing w:after="0" w:line="259" w:lineRule="auto"/>
        <w:tabs>
          <w:tab w:leader="none" w:pos="477"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Current Reports on Form 8-K, filed with the SEC on January 12, 2026, January 26, 2026, January 29, 2026, February 19, 2026, March 18, 2026, April 3, 2026, April 29, 2026 and June 15, 2026; and</w:t>
      </w:r>
    </w:p>
    <w:p>
      <w:pPr>
        <w:spacing w:after="0" w:line="300" w:lineRule="exact"/>
        <w:rPr>
          <w:rFonts w:ascii="Times New Roman" w:cs="Times New Roman" w:eastAsia="Times New Roman" w:hAnsi="Times New Roman"/>
          <w:sz w:val="13"/>
          <w:szCs w:val="13"/>
          <w:color w:val="auto"/>
        </w:rPr>
      </w:pPr>
    </w:p>
    <w:p>
      <w:pPr>
        <w:ind w:left="480" w:hanging="239"/>
        <w:spacing w:after="0" w:line="279" w:lineRule="auto"/>
        <w:tabs>
          <w:tab w:leader="none" w:pos="477"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description of our common stock contained in our Registration Statement on Form 8-A (File No. 001-36742), as filed with the SEC on November 12, 2014, including any amendment or report filed for the purpose of updating such description.</w:t>
      </w:r>
    </w:p>
    <w:p>
      <w:pPr>
        <w:spacing w:after="0" w:line="114" w:lineRule="exact"/>
        <w:rPr>
          <w:sz w:val="20"/>
          <w:szCs w:val="20"/>
          <w:color w:val="auto"/>
        </w:rPr>
      </w:pPr>
    </w:p>
    <w:p>
      <w:pPr>
        <w:jc w:val="both"/>
        <w:ind w:firstLine="482"/>
        <w:spacing w:after="0" w:line="279" w:lineRule="auto"/>
        <w:rPr>
          <w:sz w:val="20"/>
          <w:szCs w:val="20"/>
          <w:color w:val="auto"/>
        </w:rPr>
      </w:pPr>
      <w:r>
        <w:rPr>
          <w:rFonts w:ascii="Times New Roman" w:cs="Times New Roman" w:eastAsia="Times New Roman" w:hAnsi="Times New Roman"/>
          <w:sz w:val="13"/>
          <w:szCs w:val="13"/>
          <w:color w:val="auto"/>
        </w:rPr>
        <w:t>To obtain copies of these filings, see “Available Information,” or you may request a copy of these filings (other than exhibits, unless the exhibits are specifically incorporated by reference into these documents) at no cost by writing or calling the following address and telephone number: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NewtekOne,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4800 T Rex Avenue, Suite 120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Boca Raton, Florida 33431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(212) 356-9500</w:t>
      </w:r>
    </w:p>
    <w:p>
      <w:pPr>
        <w:spacing w:after="0" w:line="152" w:lineRule="exact"/>
        <w:rPr>
          <w:sz w:val="20"/>
          <w:szCs w:val="20"/>
          <w:color w:val="auto"/>
        </w:rPr>
      </w:pPr>
    </w:p>
    <w:p>
      <w:pPr>
        <w:jc w:val="both"/>
        <w:ind w:firstLine="482"/>
        <w:spacing w:after="0" w:line="256" w:lineRule="auto"/>
        <w:rPr>
          <w:sz w:val="20"/>
          <w:szCs w:val="20"/>
          <w:color w:val="auto"/>
        </w:rPr>
      </w:pPr>
      <w:r>
        <w:rPr>
          <w:rFonts w:ascii="Times New Roman" w:cs="Times New Roman" w:eastAsia="Times New Roman" w:hAnsi="Times New Roman"/>
          <w:sz w:val="13"/>
          <w:szCs w:val="13"/>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85" w:right="31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1598930</wp:posOffset>
            </wp:positionH>
            <wp:positionV relativeFrom="page">
              <wp:posOffset>1248410</wp:posOffset>
            </wp:positionV>
            <wp:extent cx="4358005" cy="1019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4358005" cy="101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$650,000,000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Common Stock</w:t>
      </w:r>
    </w:p>
    <w:p>
      <w:pPr>
        <w:jc w:val="center"/>
        <w:ind w:right="19"/>
        <w:spacing w:after="0" w:line="211" w:lineRule="auto"/>
        <w:rPr>
          <w:sz w:val="20"/>
          <w:szCs w:val="20"/>
          <w:color w:val="auto"/>
        </w:rPr>
      </w:pPr>
      <w:r>
        <w:rPr>
          <w:rFonts w:ascii="Times New Roman" w:cs="Times New Roman" w:eastAsia="Times New Roman" w:hAnsi="Times New Roman"/>
          <w:sz w:val="13"/>
          <w:szCs w:val="13"/>
          <w:b w:val="1"/>
          <w:bCs w:val="1"/>
          <w:color w:val="auto"/>
        </w:rPr>
        <w:t>Preferred Stock</w:t>
      </w:r>
    </w:p>
    <w:p>
      <w:pPr>
        <w:ind w:left="3980"/>
        <w:spacing w:after="0" w:line="209" w:lineRule="auto"/>
        <w:rPr>
          <w:sz w:val="20"/>
          <w:szCs w:val="20"/>
          <w:color w:val="auto"/>
        </w:rPr>
      </w:pPr>
      <w:r>
        <w:rPr>
          <w:rFonts w:ascii="Times New Roman" w:cs="Times New Roman" w:eastAsia="Times New Roman" w:hAnsi="Times New Roman"/>
          <w:sz w:val="13"/>
          <w:szCs w:val="13"/>
          <w:b w:val="1"/>
          <w:bCs w:val="1"/>
          <w:color w:val="auto"/>
        </w:rPr>
        <w:t>Depositary Shares</w:t>
      </w:r>
    </w:p>
    <w:p>
      <w:pPr>
        <w:ind w:left="3940"/>
        <w:spacing w:after="0" w:line="225" w:lineRule="auto"/>
        <w:rPr>
          <w:sz w:val="20"/>
          <w:szCs w:val="20"/>
          <w:color w:val="auto"/>
        </w:rPr>
      </w:pPr>
      <w:r>
        <w:rPr>
          <w:rFonts w:ascii="Times New Roman" w:cs="Times New Roman" w:eastAsia="Times New Roman" w:hAnsi="Times New Roman"/>
          <w:sz w:val="13"/>
          <w:szCs w:val="13"/>
          <w:b w:val="1"/>
          <w:bCs w:val="1"/>
          <w:color w:val="auto"/>
        </w:rPr>
        <w:t>Subscription Rights</w:t>
      </w:r>
    </w:p>
    <w:p>
      <w:pPr>
        <w:jc w:val="center"/>
        <w:ind w:right="19"/>
        <w:spacing w:after="0" w:line="210" w:lineRule="auto"/>
        <w:rPr>
          <w:sz w:val="20"/>
          <w:szCs w:val="20"/>
          <w:color w:val="auto"/>
        </w:rPr>
      </w:pPr>
      <w:r>
        <w:rPr>
          <w:rFonts w:ascii="Times New Roman" w:cs="Times New Roman" w:eastAsia="Times New Roman" w:hAnsi="Times New Roman"/>
          <w:sz w:val="13"/>
          <w:szCs w:val="13"/>
          <w:b w:val="1"/>
          <w:bCs w:val="1"/>
          <w:color w:val="auto"/>
        </w:rPr>
        <w:t>Warrants</w:t>
      </w:r>
    </w:p>
    <w:p>
      <w:pPr>
        <w:jc w:val="center"/>
        <w:ind w:right="19"/>
        <w:spacing w:after="0" w:line="209" w:lineRule="auto"/>
        <w:rPr>
          <w:sz w:val="20"/>
          <w:szCs w:val="20"/>
          <w:color w:val="auto"/>
        </w:rPr>
      </w:pPr>
      <w:r>
        <w:rPr>
          <w:rFonts w:ascii="Times New Roman" w:cs="Times New Roman" w:eastAsia="Times New Roman" w:hAnsi="Times New Roman"/>
          <w:sz w:val="13"/>
          <w:szCs w:val="13"/>
          <w:b w:val="1"/>
          <w:bCs w:val="1"/>
          <w:color w:val="auto"/>
        </w:rPr>
        <w:t>Debt Securities</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Units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NEWTEKONE, INC.</w:t>
      </w:r>
    </w:p>
    <w:p>
      <w:pPr>
        <w:spacing w:after="0" w:line="7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3"/>
          <w:szCs w:val="13"/>
          <w:color w:val="auto"/>
        </w:rPr>
        <w:t>_______________________</w:t>
      </w:r>
    </w:p>
    <w:p>
      <w:pPr>
        <w:spacing w:after="0" w:line="13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PROSPECTUS</w:t>
      </w:r>
    </w:p>
    <w:p>
      <w:pPr>
        <w:ind w:left="4400"/>
        <w:spacing w:after="0" w:line="214" w:lineRule="auto"/>
        <w:rPr>
          <w:sz w:val="20"/>
          <w:szCs w:val="20"/>
          <w:color w:val="auto"/>
        </w:rPr>
      </w:pPr>
      <w:r>
        <w:rPr>
          <w:rFonts w:ascii="Times New Roman" w:cs="Times New Roman" w:eastAsia="Times New Roman" w:hAnsi="Times New Roman"/>
          <w:sz w:val="16"/>
          <w:szCs w:val="16"/>
          <w:b w:val="1"/>
          <w:bCs w:val="1"/>
          <w:color w:val="auto"/>
        </w:rPr>
        <w:t>, 2026</w:t>
      </w:r>
    </w:p>
    <w:p>
      <w:pPr>
        <w:ind w:left="3740"/>
        <w:spacing w:after="0"/>
        <w:rPr>
          <w:sz w:val="20"/>
          <w:szCs w:val="20"/>
          <w:color w:val="auto"/>
        </w:rPr>
      </w:pPr>
      <w:r>
        <w:rPr>
          <w:rFonts w:ascii="Times New Roman" w:cs="Times New Roman" w:eastAsia="Times New Roman" w:hAnsi="Times New Roman"/>
          <w:sz w:val="13"/>
          <w:szCs w:val="13"/>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496570</wp:posOffset>
            </wp:positionV>
            <wp:extent cx="719264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5300" w:type="dxa"/>
            <w:vAlign w:val="bottom"/>
          </w:tcPr>
          <w:p>
            <w:pPr>
              <w:jc w:val="right"/>
              <w:ind w:right="2913"/>
              <w:spacing w:after="0"/>
              <w:rPr>
                <w:sz w:val="20"/>
                <w:szCs w:val="20"/>
                <w:color w:val="auto"/>
              </w:rPr>
            </w:pPr>
            <w:r>
              <w:rPr>
                <w:rFonts w:ascii="Times New Roman" w:cs="Times New Roman" w:eastAsia="Times New Roman" w:hAnsi="Times New Roman"/>
                <w:sz w:val="13"/>
                <w:szCs w:val="13"/>
                <w:b w:val="1"/>
                <w:bCs w:val="1"/>
                <w:color w:val="auto"/>
              </w:rPr>
              <w:t>PART II</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Item 14. Other Expenses of Issuance and Distribution</w:t>
            </w:r>
          </w:p>
        </w:tc>
        <w:tc>
          <w:tcPr>
            <w:tcW w:w="5300" w:type="dxa"/>
            <w:vAlign w:val="bottom"/>
          </w:tcPr>
          <w:p>
            <w:pPr>
              <w:jc w:val="right"/>
              <w:ind w:right="1573"/>
              <w:spacing w:after="0"/>
              <w:rPr>
                <w:sz w:val="20"/>
                <w:szCs w:val="20"/>
                <w:color w:val="auto"/>
              </w:rPr>
            </w:pPr>
            <w:r>
              <w:rPr>
                <w:rFonts w:ascii="Times New Roman" w:cs="Times New Roman" w:eastAsia="Times New Roman" w:hAnsi="Times New Roman"/>
                <w:sz w:val="13"/>
                <w:szCs w:val="13"/>
                <w:b w:val="1"/>
                <w:bCs w:val="1"/>
                <w:color w:val="auto"/>
              </w:rPr>
              <w:t>INFORMATION NOT REQUIRED IN PROSPECTUS</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560" w:type="dxa"/>
            <w:vAlign w:val="bottom"/>
            <w:vMerge w:val="continue"/>
          </w:tcPr>
          <w:p>
            <w:pPr>
              <w:spacing w:after="0"/>
              <w:rPr>
                <w:sz w:val="13"/>
                <w:szCs w:val="13"/>
                <w:color w:val="auto"/>
              </w:rPr>
            </w:pPr>
          </w:p>
        </w:tc>
        <w:tc>
          <w:tcPr>
            <w:tcW w:w="5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3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 registration fee</w:t>
            </w:r>
          </w:p>
        </w:tc>
        <w:tc>
          <w:tcPr>
            <w:tcW w:w="5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89,765</w:t>
            </w:r>
          </w:p>
        </w:tc>
        <w:tc>
          <w:tcPr>
            <w:tcW w:w="0" w:type="dxa"/>
            <w:vAlign w:val="bottom"/>
          </w:tcPr>
          <w:p>
            <w:pPr>
              <w:spacing w:after="0"/>
              <w:rPr>
                <w:sz w:val="1"/>
                <w:szCs w:val="1"/>
                <w:color w:val="auto"/>
              </w:rPr>
            </w:pPr>
          </w:p>
        </w:tc>
      </w:tr>
      <w:tr>
        <w:trPr>
          <w:trHeight w:val="171"/>
        </w:trPr>
        <w:tc>
          <w:tcPr>
            <w:tcW w:w="3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FINRA filing fee</w:t>
            </w:r>
          </w:p>
        </w:tc>
        <w:tc>
          <w:tcPr>
            <w:tcW w:w="5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3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Nasdaq Global Market</w:t>
            </w:r>
          </w:p>
        </w:tc>
        <w:tc>
          <w:tcPr>
            <w:tcW w:w="5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3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Printing and postage</w:t>
            </w:r>
          </w:p>
        </w:tc>
        <w:tc>
          <w:tcPr>
            <w:tcW w:w="5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3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Legal fees and expenses</w:t>
            </w:r>
          </w:p>
        </w:tc>
        <w:tc>
          <w:tcPr>
            <w:tcW w:w="5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3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Accounting fees and expenses</w:t>
            </w:r>
          </w:p>
        </w:tc>
        <w:tc>
          <w:tcPr>
            <w:tcW w:w="5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15,750</w:t>
            </w:r>
          </w:p>
        </w:tc>
        <w:tc>
          <w:tcPr>
            <w:tcW w:w="0" w:type="dxa"/>
            <w:vAlign w:val="bottom"/>
          </w:tcPr>
          <w:p>
            <w:pPr>
              <w:spacing w:after="0"/>
              <w:rPr>
                <w:sz w:val="1"/>
                <w:szCs w:val="1"/>
                <w:color w:val="auto"/>
              </w:rPr>
            </w:pPr>
          </w:p>
        </w:tc>
      </w:tr>
      <w:tr>
        <w:trPr>
          <w:trHeight w:val="173"/>
        </w:trPr>
        <w:tc>
          <w:tcPr>
            <w:tcW w:w="3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Total</w:t>
            </w:r>
          </w:p>
        </w:tc>
        <w:tc>
          <w:tcPr>
            <w:tcW w:w="5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105,515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653669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36690" cy="6350"/>
                    </a:xfrm>
                    <a:prstGeom prst="rect">
                      <a:avLst/>
                    </a:prstGeom>
                    <a:noFill/>
                  </pic:spPr>
                </pic:pic>
              </a:graphicData>
            </a:graphic>
          </wp:anchor>
        </w:drawing>
      </w:r>
    </w:p>
    <w:p>
      <w:pPr>
        <w:spacing w:after="0" w:line="342" w:lineRule="exact"/>
        <w:rPr>
          <w:sz w:val="20"/>
          <w:szCs w:val="20"/>
          <w:color w:val="auto"/>
        </w:rPr>
      </w:pPr>
    </w:p>
    <w:p>
      <w:pPr>
        <w:ind w:left="240" w:right="260" w:hanging="240"/>
        <w:spacing w:after="0" w:line="239" w:lineRule="auto"/>
        <w:tabs>
          <w:tab w:leader="none" w:pos="1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Estimated expenses are not presently known. The foregoing sets forth the general categories of expenses (other than underwriting discounts and commissions) that we anticipate we will incur in connection with the offering of securities under this registration statement. An estimate of the aggregate expenses in connection with the issuance and distribution of the securities being offered will be included in the applicable prospectus supplement.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15. Indemnification of Directors and Officers</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Reference is made to Section 2-418 of the Maryland General Corporation Law, Article VII of the Registrant’s charter and Article XI of the Registrant’s bylaws.</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Maryland law permits a Maryland corporation to include in its charter a provision limiting the liability of its directors and officers to the corporation and its stockholders for money damages except for</w:t>
      </w:r>
    </w:p>
    <w:p>
      <w:pPr>
        <w:spacing w:after="0" w:line="5"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13"/>
          <w:szCs w:val="13"/>
          <w:color w:val="auto"/>
        </w:rPr>
        <w:t>liability resulting from (a) actual receipt of an improper benefit or profit in money, property or services or (b) active and deliberate dishonesty established by a final judgment as being material to the cause of action.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The Registrant’s charter authorizes the Registrant, to the maximum extent permitted by Maryland law, to indemnify any present or former director or officer or any individual who, while serving as the</w:t>
      </w:r>
    </w:p>
    <w:p>
      <w:pPr>
        <w:spacing w:after="0" w:line="5" w:lineRule="exact"/>
        <w:rPr>
          <w:sz w:val="20"/>
          <w:szCs w:val="20"/>
          <w:color w:val="auto"/>
        </w:rPr>
      </w:pPr>
    </w:p>
    <w:p>
      <w:pPr>
        <w:jc w:val="both"/>
        <w:ind w:right="40"/>
        <w:spacing w:after="0" w:line="214" w:lineRule="auto"/>
        <w:rPr>
          <w:sz w:val="20"/>
          <w:szCs w:val="20"/>
          <w:color w:val="auto"/>
        </w:rPr>
      </w:pPr>
      <w:r>
        <w:rPr>
          <w:rFonts w:ascii="Times New Roman" w:cs="Times New Roman" w:eastAsia="Times New Roman" w:hAnsi="Times New Roman"/>
          <w:sz w:val="13"/>
          <w:szCs w:val="13"/>
          <w:color w:val="auto"/>
        </w:rPr>
        <w:t>Registrant’s director or officer and at the Registrant’s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The Registrant’s bylaws obligate the Registrant, to the maximum extent permitted by Maryland law, to indemnify any</w:t>
      </w:r>
    </w:p>
    <w:p>
      <w:pPr>
        <w:spacing w:after="0" w:line="1"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3"/>
          <w:szCs w:val="13"/>
          <w:color w:val="auto"/>
        </w:rPr>
        <w:t>present or former director or officer or any individual who, while serving as the Registrant’s director or officer and at the Registrant’s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w:t>
      </w:r>
    </w:p>
    <w:p>
      <w:pPr>
        <w:spacing w:after="0" w:line="1" w:lineRule="exact"/>
        <w:rPr>
          <w:sz w:val="20"/>
          <w:szCs w:val="20"/>
          <w:color w:val="auto"/>
        </w:rPr>
      </w:pPr>
    </w:p>
    <w:p>
      <w:pPr>
        <w:ind w:right="400"/>
        <w:spacing w:after="0" w:line="232" w:lineRule="auto"/>
        <w:rPr>
          <w:sz w:val="20"/>
          <w:szCs w:val="20"/>
          <w:color w:val="auto"/>
        </w:rPr>
      </w:pPr>
      <w:r>
        <w:rPr>
          <w:rFonts w:ascii="Times New Roman" w:cs="Times New Roman" w:eastAsia="Times New Roman" w:hAnsi="Times New Roman"/>
          <w:sz w:val="13"/>
          <w:szCs w:val="13"/>
          <w:color w:val="auto"/>
        </w:rPr>
        <w:t>reimburse his or her reasonable expenses in advance of final disposition of a proceeding. The charter and bylaws also permit the Registrant to indemnify and advance expenses to any person who served a predecessor of the Registrant in any of the capacities described above and any of the Registrant’s employees or agents or any employees or agents of the Registrant’s predecessor.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Maryland law requires a corporation (unless its charter provides otherwise, which the Registrant’s charter does not) to indemnify a director or officer who has been successful in the defense of any</w:t>
      </w:r>
    </w:p>
    <w:p>
      <w:pPr>
        <w:spacing w:after="0" w:line="5"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13"/>
          <w:szCs w:val="13"/>
          <w:color w:val="auto"/>
        </w:rPr>
        <w:t>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w:t>
      </w:r>
    </w:p>
    <w:p>
      <w:pPr>
        <w:spacing w:after="0" w:line="1" w:lineRule="exact"/>
        <w:rPr>
          <w:sz w:val="20"/>
          <w:szCs w:val="20"/>
          <w:color w:val="auto"/>
        </w:rPr>
      </w:pPr>
    </w:p>
    <w:p>
      <w:pPr>
        <w:ind w:right="200"/>
        <w:spacing w:after="0" w:line="214" w:lineRule="auto"/>
        <w:rPr>
          <w:sz w:val="20"/>
          <w:szCs w:val="20"/>
          <w:color w:val="auto"/>
        </w:rPr>
      </w:pPr>
      <w:r>
        <w:rPr>
          <w:rFonts w:ascii="Times New Roman" w:cs="Times New Roman" w:eastAsia="Times New Roman" w:hAnsi="Times New Roman"/>
          <w:sz w:val="13"/>
          <w:szCs w:val="13"/>
          <w:color w:val="auto"/>
        </w:rPr>
        <w:t>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w:t>
      </w:r>
    </w:p>
    <w:p>
      <w:pPr>
        <w:spacing w:after="0" w:line="1"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only for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60"/>
          </w:cols>
          <w:pgMar w:left="300" w:top="1216"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7"/>
        </w:trPr>
        <w:tc>
          <w:tcPr>
            <w:tcW w:w="138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Item 16. Exhibits</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w w:val="99"/>
              </w:rPr>
              <w:t>Exhibit Number</w:t>
            </w: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11"/>
          </w:tcPr>
          <w:p>
            <w:pPr>
              <w:ind w:left="66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63"/>
        </w:trPr>
        <w:tc>
          <w:tcPr>
            <w:tcW w:w="20" w:type="dxa"/>
            <w:vAlign w:val="bottom"/>
          </w:tcPr>
          <w:p>
            <w:pPr>
              <w:spacing w:after="0"/>
              <w:rPr>
                <w:sz w:val="14"/>
                <w:szCs w:val="14"/>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w w:val="73"/>
              </w:rPr>
              <w:t>1.1</w:t>
            </w: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Form of underwriting agreement.**</w:t>
            </w:r>
          </w:p>
        </w:tc>
      </w:tr>
      <w:tr>
        <w:trPr>
          <w:trHeight w:val="178"/>
        </w:trPr>
        <w:tc>
          <w:tcPr>
            <w:tcW w:w="220" w:type="dxa"/>
            <w:vAlign w:val="bottom"/>
            <w:gridSpan w:val="3"/>
          </w:tcPr>
          <w:p>
            <w:pPr>
              <w:ind w:left="60"/>
              <w:spacing w:after="0"/>
              <w:rPr>
                <w:rFonts w:ascii="Times New Roman" w:cs="Times New Roman" w:eastAsia="Times New Roman" w:hAnsi="Times New Roman"/>
                <w:sz w:val="13"/>
                <w:szCs w:val="13"/>
                <w:color w:val="0000FF"/>
                <w:w w:val="73"/>
              </w:rPr>
            </w:pPr>
            <w:hyperlink r:id="rId62">
              <w:r>
                <w:rPr>
                  <w:rFonts w:ascii="Times New Roman" w:cs="Times New Roman" w:eastAsia="Times New Roman" w:hAnsi="Times New Roman"/>
                  <w:sz w:val="13"/>
                  <w:szCs w:val="13"/>
                  <w:color w:val="0000FF"/>
                  <w:w w:val="73"/>
                </w:rPr>
                <w:t>4.</w:t>
              </w:r>
              <w:r>
                <w:rPr>
                  <w:rFonts w:ascii="Times New Roman" w:cs="Times New Roman" w:eastAsia="Times New Roman" w:hAnsi="Times New Roman"/>
                  <w:sz w:val="13"/>
                  <w:szCs w:val="13"/>
                  <w:u w:val="single" w:color="auto"/>
                  <w:color w:val="0000FF"/>
                  <w:w w:val="73"/>
                </w:rPr>
                <w:t>1</w:t>
              </w:r>
            </w:hyperlink>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60" w:type="dxa"/>
            <w:vAlign w:val="bottom"/>
            <w:gridSpan w:val="15"/>
          </w:tcPr>
          <w:p>
            <w:pPr>
              <w:spacing w:after="0"/>
              <w:rPr>
                <w:rFonts w:ascii="Times New Roman" w:cs="Times New Roman" w:eastAsia="Times New Roman" w:hAnsi="Times New Roman"/>
                <w:sz w:val="13"/>
                <w:szCs w:val="13"/>
                <w:color w:val="0000FF"/>
              </w:rPr>
            </w:pPr>
            <w:hyperlink r:id="rId62">
              <w:r>
                <w:rPr>
                  <w:rFonts w:ascii="Times New Roman" w:cs="Times New Roman" w:eastAsia="Times New Roman" w:hAnsi="Times New Roman"/>
                  <w:sz w:val="13"/>
                  <w:szCs w:val="13"/>
                  <w:color w:val="0000FF"/>
                </w:rPr>
                <w:t>Amended and Restated Articles of Incorporation of Newtek (Incorporated by reference to Exhibit A to Newtek’s Pre-Effective Amendment No. 3 to its</w:t>
              </w:r>
            </w:hyperlink>
          </w:p>
        </w:tc>
      </w:tr>
      <w:tr>
        <w:trPr>
          <w:trHeight w:val="15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3"/>
                <w:szCs w:val="13"/>
                <w:color w:val="0000FF"/>
              </w:rPr>
            </w:pPr>
            <w:hyperlink r:id="rId62">
              <w:r>
                <w:rPr>
                  <w:rFonts w:ascii="Times New Roman" w:cs="Times New Roman" w:eastAsia="Times New Roman" w:hAnsi="Times New Roman"/>
                  <w:sz w:val="13"/>
                  <w:szCs w:val="13"/>
                  <w:color w:val="0000FF"/>
                </w:rPr>
                <w:t>Registration Statement on Form N-2, No. 333-191499, filed November 3, 2014)</w:t>
              </w:r>
            </w:hyperlink>
          </w:p>
        </w:tc>
        <w:tc>
          <w:tcPr>
            <w:tcW w:w="3800" w:type="dxa"/>
            <w:vAlign w:val="bottom"/>
            <w:tcBorders>
              <w:top w:val="single" w:sz="8" w:color="0000FF"/>
            </w:tcBorders>
            <w:gridSpan w:val="6"/>
          </w:tcPr>
          <w:p>
            <w:pPr>
              <w:spacing w:after="0"/>
              <w:rPr>
                <w:sz w:val="13"/>
                <w:szCs w:val="13"/>
                <w:color w:val="auto"/>
              </w:rPr>
            </w:pPr>
          </w:p>
        </w:tc>
        <w:tc>
          <w:tcPr>
            <w:tcW w:w="360" w:type="dxa"/>
            <w:vAlign w:val="bottom"/>
            <w:gridSpan w:val="4"/>
          </w:tcPr>
          <w:p>
            <w:pPr>
              <w:spacing w:after="0"/>
              <w:rPr>
                <w:sz w:val="13"/>
                <w:szCs w:val="13"/>
                <w:color w:val="auto"/>
              </w:rPr>
            </w:pPr>
          </w:p>
        </w:tc>
      </w:tr>
      <w:tr>
        <w:trPr>
          <w:trHeight w:val="291"/>
        </w:trPr>
        <w:tc>
          <w:tcPr>
            <w:tcW w:w="220" w:type="dxa"/>
            <w:vAlign w:val="bottom"/>
            <w:gridSpan w:val="3"/>
          </w:tcPr>
          <w:p>
            <w:pPr>
              <w:ind w:left="60"/>
              <w:spacing w:after="0"/>
              <w:rPr>
                <w:rFonts w:ascii="Times New Roman" w:cs="Times New Roman" w:eastAsia="Times New Roman" w:hAnsi="Times New Roman"/>
                <w:sz w:val="13"/>
                <w:szCs w:val="13"/>
                <w:color w:val="0000FF"/>
                <w:w w:val="73"/>
              </w:rPr>
            </w:pPr>
            <w:hyperlink r:id="rId63">
              <w:r>
                <w:rPr>
                  <w:rFonts w:ascii="Times New Roman" w:cs="Times New Roman" w:eastAsia="Times New Roman" w:hAnsi="Times New Roman"/>
                  <w:sz w:val="13"/>
                  <w:szCs w:val="13"/>
                  <w:color w:val="0000FF"/>
                  <w:w w:val="73"/>
                </w:rPr>
                <w:t>4.</w:t>
              </w:r>
              <w:r>
                <w:rPr>
                  <w:rFonts w:ascii="Times New Roman" w:cs="Times New Roman" w:eastAsia="Times New Roman" w:hAnsi="Times New Roman"/>
                  <w:sz w:val="13"/>
                  <w:szCs w:val="13"/>
                  <w:u w:val="single" w:color="auto"/>
                  <w:color w:val="0000FF"/>
                  <w:w w:val="73"/>
                </w:rPr>
                <w:t>2</w:t>
              </w:r>
            </w:hyperlink>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60" w:type="dxa"/>
            <w:vAlign w:val="bottom"/>
            <w:gridSpan w:val="15"/>
          </w:tcPr>
          <w:p>
            <w:pPr>
              <w:spacing w:after="0"/>
              <w:rPr>
                <w:rFonts w:ascii="Times New Roman" w:cs="Times New Roman" w:eastAsia="Times New Roman" w:hAnsi="Times New Roman"/>
                <w:sz w:val="13"/>
                <w:szCs w:val="13"/>
                <w:color w:val="0000FF"/>
              </w:rPr>
            </w:pPr>
            <w:hyperlink r:id="rId63">
              <w:r>
                <w:rPr>
                  <w:rFonts w:ascii="Times New Roman" w:cs="Times New Roman" w:eastAsia="Times New Roman" w:hAnsi="Times New Roman"/>
                  <w:sz w:val="13"/>
                  <w:szCs w:val="13"/>
                  <w:color w:val="0000FF"/>
                </w:rPr>
                <w:t>Articles of Amendment to the Amended and Restated Articles of Incorporation of NewtekOne, Inc. (Incorporated by reference to Exhibit 99.1 of NewtekOne,</w:t>
              </w:r>
            </w:hyperlink>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0" w:type="dxa"/>
            <w:vAlign w:val="bottom"/>
            <w:tcBorders>
              <w:top w:val="single" w:sz="8" w:color="0000FF"/>
              <w:bottom w:val="single" w:sz="8" w:color="0000FF"/>
            </w:tcBorders>
            <w:gridSpan w:val="4"/>
          </w:tcPr>
          <w:p>
            <w:pPr>
              <w:spacing w:after="0" w:line="121" w:lineRule="exact"/>
              <w:rPr>
                <w:rFonts w:ascii="Times New Roman" w:cs="Times New Roman" w:eastAsia="Times New Roman" w:hAnsi="Times New Roman"/>
                <w:sz w:val="13"/>
                <w:szCs w:val="13"/>
                <w:color w:val="0000FF"/>
              </w:rPr>
            </w:pPr>
            <w:hyperlink r:id="rId63">
              <w:r>
                <w:rPr>
                  <w:rFonts w:ascii="Times New Roman" w:cs="Times New Roman" w:eastAsia="Times New Roman" w:hAnsi="Times New Roman"/>
                  <w:sz w:val="13"/>
                  <w:szCs w:val="13"/>
                  <w:color w:val="0000FF"/>
                </w:rPr>
                <w:t>Inc.’s Current Report on Form 8-K, filed January 17, 2023).</w:t>
              </w:r>
            </w:hyperlink>
          </w:p>
        </w:tc>
        <w:tc>
          <w:tcPr>
            <w:tcW w:w="524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r>
      <w:tr>
        <w:trPr>
          <w:trHeight w:val="191"/>
        </w:trPr>
        <w:tc>
          <w:tcPr>
            <w:tcW w:w="220" w:type="dxa"/>
            <w:vAlign w:val="bottom"/>
            <w:gridSpan w:val="3"/>
          </w:tcPr>
          <w:p>
            <w:pPr>
              <w:ind w:left="60"/>
              <w:spacing w:after="0"/>
              <w:rPr>
                <w:rFonts w:ascii="Times New Roman" w:cs="Times New Roman" w:eastAsia="Times New Roman" w:hAnsi="Times New Roman"/>
                <w:sz w:val="13"/>
                <w:szCs w:val="13"/>
                <w:color w:val="0000FF"/>
                <w:w w:val="73"/>
              </w:rPr>
            </w:pPr>
            <w:hyperlink r:id="rId64">
              <w:r>
                <w:rPr>
                  <w:rFonts w:ascii="Times New Roman" w:cs="Times New Roman" w:eastAsia="Times New Roman" w:hAnsi="Times New Roman"/>
                  <w:sz w:val="13"/>
                  <w:szCs w:val="13"/>
                  <w:color w:val="0000FF"/>
                  <w:w w:val="73"/>
                </w:rPr>
                <w:t>4.</w:t>
              </w:r>
              <w:r>
                <w:rPr>
                  <w:rFonts w:ascii="Times New Roman" w:cs="Times New Roman" w:eastAsia="Times New Roman" w:hAnsi="Times New Roman"/>
                  <w:sz w:val="13"/>
                  <w:szCs w:val="13"/>
                  <w:u w:val="single" w:color="auto"/>
                  <w:color w:val="0000FF"/>
                  <w:w w:val="73"/>
                </w:rPr>
                <w:t>3</w:t>
              </w:r>
            </w:hyperlink>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60" w:type="dxa"/>
            <w:vAlign w:val="bottom"/>
            <w:gridSpan w:val="15"/>
          </w:tcPr>
          <w:p>
            <w:pPr>
              <w:spacing w:after="0"/>
              <w:rPr>
                <w:rFonts w:ascii="Times New Roman" w:cs="Times New Roman" w:eastAsia="Times New Roman" w:hAnsi="Times New Roman"/>
                <w:sz w:val="13"/>
                <w:szCs w:val="13"/>
                <w:color w:val="0000FF"/>
              </w:rPr>
            </w:pPr>
            <w:hyperlink r:id="rId64">
              <w:r>
                <w:rPr>
                  <w:rFonts w:ascii="Times New Roman" w:cs="Times New Roman" w:eastAsia="Times New Roman" w:hAnsi="Times New Roman"/>
                  <w:sz w:val="13"/>
                  <w:szCs w:val="13"/>
                  <w:color w:val="0000FF"/>
                </w:rPr>
                <w:t>Articles Supplementary designating the 8.500% Fixed-Rate Reset Non-Cumulative Perpetual Preferred Stock, Series B, dated August 19, 2025 (Incorporated</w:t>
              </w:r>
            </w:hyperlink>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0" w:type="dxa"/>
            <w:vAlign w:val="bottom"/>
            <w:tcBorders>
              <w:top w:val="single" w:sz="8" w:color="0000FF"/>
            </w:tcBorders>
            <w:gridSpan w:val="13"/>
          </w:tcPr>
          <w:p>
            <w:pPr>
              <w:spacing w:after="0" w:line="121" w:lineRule="exact"/>
              <w:rPr>
                <w:rFonts w:ascii="Times New Roman" w:cs="Times New Roman" w:eastAsia="Times New Roman" w:hAnsi="Times New Roman"/>
                <w:sz w:val="13"/>
                <w:szCs w:val="13"/>
                <w:color w:val="0000FF"/>
              </w:rPr>
            </w:pPr>
            <w:hyperlink r:id="rId64">
              <w:r>
                <w:rPr>
                  <w:rFonts w:ascii="Times New Roman" w:cs="Times New Roman" w:eastAsia="Times New Roman" w:hAnsi="Times New Roman"/>
                  <w:sz w:val="13"/>
                  <w:szCs w:val="13"/>
                  <w:color w:val="0000FF"/>
                </w:rPr>
                <w:t>by reference to Exhibit 3.1 of NewtekOne, Inc.’s Current Report on Form 8-K, filed August 21, 2025)</w:t>
              </w:r>
            </w:hyperlink>
          </w:p>
        </w:tc>
        <w:tc>
          <w:tcPr>
            <w:tcW w:w="60" w:type="dxa"/>
            <w:vAlign w:val="bottom"/>
            <w:gridSpan w:val="2"/>
          </w:tcPr>
          <w:p>
            <w:pPr>
              <w:spacing w:after="0"/>
              <w:rPr>
                <w:sz w:val="10"/>
                <w:szCs w:val="10"/>
                <w:color w:val="auto"/>
              </w:rPr>
            </w:pPr>
          </w:p>
        </w:tc>
      </w:tr>
      <w:tr>
        <w:trPr>
          <w:trHeight w:val="20"/>
        </w:trPr>
        <w:tc>
          <w:tcPr>
            <w:tcW w:w="2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1"/>
        </w:trPr>
        <w:tc>
          <w:tcPr>
            <w:tcW w:w="220" w:type="dxa"/>
            <w:vAlign w:val="bottom"/>
            <w:gridSpan w:val="3"/>
          </w:tcPr>
          <w:p>
            <w:pPr>
              <w:ind w:left="60"/>
              <w:spacing w:after="0"/>
              <w:rPr>
                <w:rFonts w:ascii="Times New Roman" w:cs="Times New Roman" w:eastAsia="Times New Roman" w:hAnsi="Times New Roman"/>
                <w:sz w:val="13"/>
                <w:szCs w:val="13"/>
                <w:color w:val="0000FF"/>
                <w:w w:val="73"/>
              </w:rPr>
            </w:pPr>
            <w:hyperlink r:id="rId65">
              <w:r>
                <w:rPr>
                  <w:rFonts w:ascii="Times New Roman" w:cs="Times New Roman" w:eastAsia="Times New Roman" w:hAnsi="Times New Roman"/>
                  <w:sz w:val="13"/>
                  <w:szCs w:val="13"/>
                  <w:color w:val="0000FF"/>
                  <w:w w:val="73"/>
                </w:rPr>
                <w:t>4.</w:t>
              </w:r>
              <w:r>
                <w:rPr>
                  <w:rFonts w:ascii="Times New Roman" w:cs="Times New Roman" w:eastAsia="Times New Roman" w:hAnsi="Times New Roman"/>
                  <w:sz w:val="13"/>
                  <w:szCs w:val="13"/>
                  <w:u w:val="single" w:color="auto"/>
                  <w:color w:val="0000FF"/>
                  <w:w w:val="73"/>
                </w:rPr>
                <w:t>4</w:t>
              </w:r>
            </w:hyperlink>
          </w:p>
        </w:tc>
        <w:tc>
          <w:tcPr>
            <w:tcW w:w="1160" w:type="dxa"/>
            <w:vAlign w:val="bottom"/>
          </w:tcPr>
          <w:p>
            <w:pPr>
              <w:spacing w:after="0"/>
              <w:rPr>
                <w:sz w:val="16"/>
                <w:szCs w:val="16"/>
                <w:color w:val="auto"/>
              </w:rPr>
            </w:pPr>
          </w:p>
        </w:tc>
        <w:tc>
          <w:tcPr>
            <w:tcW w:w="8920" w:type="dxa"/>
            <w:vAlign w:val="bottom"/>
            <w:gridSpan w:val="16"/>
          </w:tcPr>
          <w:p>
            <w:pPr>
              <w:ind w:left="400"/>
              <w:spacing w:after="0"/>
              <w:rPr>
                <w:rFonts w:ascii="Times New Roman" w:cs="Times New Roman" w:eastAsia="Times New Roman" w:hAnsi="Times New Roman"/>
                <w:sz w:val="13"/>
                <w:szCs w:val="13"/>
                <w:color w:val="0000FF"/>
              </w:rPr>
            </w:pPr>
            <w:hyperlink r:id="rId65">
              <w:r>
                <w:rPr>
                  <w:rFonts w:ascii="Times New Roman" w:cs="Times New Roman" w:eastAsia="Times New Roman" w:hAnsi="Times New Roman"/>
                  <w:sz w:val="13"/>
                  <w:szCs w:val="13"/>
                  <w:color w:val="0000FF"/>
                </w:rPr>
                <w:t>Amended Bylaws of NewtekOne, Inc. (Incorporated by reference to Exhibit 3.2 of NewtekOne, Inc.’s Form 10-K, filed March 10, 2026).</w:t>
              </w:r>
            </w:hyperlink>
          </w:p>
        </w:tc>
      </w:tr>
      <w:tr>
        <w:trPr>
          <w:trHeight w:val="20"/>
        </w:trPr>
        <w:tc>
          <w:tcPr>
            <w:tcW w:w="6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1"/>
        </w:trPr>
        <w:tc>
          <w:tcPr>
            <w:tcW w:w="220" w:type="dxa"/>
            <w:vAlign w:val="bottom"/>
            <w:gridSpan w:val="3"/>
          </w:tcPr>
          <w:p>
            <w:pPr>
              <w:ind w:left="60"/>
              <w:spacing w:after="0"/>
              <w:rPr>
                <w:rFonts w:ascii="Times New Roman" w:cs="Times New Roman" w:eastAsia="Times New Roman" w:hAnsi="Times New Roman"/>
                <w:sz w:val="13"/>
                <w:szCs w:val="13"/>
                <w:color w:val="0000FF"/>
                <w:w w:val="73"/>
              </w:rPr>
            </w:pPr>
            <w:hyperlink r:id="rId66">
              <w:r>
                <w:rPr>
                  <w:rFonts w:ascii="Times New Roman" w:cs="Times New Roman" w:eastAsia="Times New Roman" w:hAnsi="Times New Roman"/>
                  <w:sz w:val="13"/>
                  <w:szCs w:val="13"/>
                  <w:color w:val="0000FF"/>
                  <w:w w:val="73"/>
                </w:rPr>
                <w:t>4.</w:t>
              </w:r>
              <w:r>
                <w:rPr>
                  <w:rFonts w:ascii="Times New Roman" w:cs="Times New Roman" w:eastAsia="Times New Roman" w:hAnsi="Times New Roman"/>
                  <w:sz w:val="13"/>
                  <w:szCs w:val="13"/>
                  <w:u w:val="single" w:color="auto"/>
                  <w:color w:val="0000FF"/>
                  <w:w w:val="73"/>
                </w:rPr>
                <w:t>5</w:t>
              </w:r>
            </w:hyperlink>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60" w:type="dxa"/>
            <w:vAlign w:val="bottom"/>
            <w:gridSpan w:val="15"/>
          </w:tcPr>
          <w:p>
            <w:pPr>
              <w:spacing w:after="0"/>
              <w:rPr>
                <w:rFonts w:ascii="Times New Roman" w:cs="Times New Roman" w:eastAsia="Times New Roman" w:hAnsi="Times New Roman"/>
                <w:sz w:val="13"/>
                <w:szCs w:val="13"/>
                <w:color w:val="0000FF"/>
              </w:rPr>
            </w:pPr>
            <w:hyperlink r:id="rId66">
              <w:r>
                <w:rPr>
                  <w:rFonts w:ascii="Times New Roman" w:cs="Times New Roman" w:eastAsia="Times New Roman" w:hAnsi="Times New Roman"/>
                  <w:sz w:val="13"/>
                  <w:szCs w:val="13"/>
                  <w:color w:val="0000FF"/>
                </w:rPr>
                <w:t>Form of Common Stock Certificate (Incorporated by reference to Exhibit 99.5 to Newtek’s Registration Statement on Form N-14, No. 333-195998, filed</w:t>
              </w:r>
            </w:hyperlink>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tcBorders>
              <w:top w:val="single" w:sz="8" w:color="0000FF"/>
              <w:bottom w:val="single" w:sz="8" w:color="0000FF"/>
            </w:tcBorders>
            <w:gridSpan w:val="2"/>
          </w:tcPr>
          <w:p>
            <w:pPr>
              <w:spacing w:after="0" w:line="121" w:lineRule="exact"/>
              <w:rPr>
                <w:rFonts w:ascii="Times New Roman" w:cs="Times New Roman" w:eastAsia="Times New Roman" w:hAnsi="Times New Roman"/>
                <w:sz w:val="13"/>
                <w:szCs w:val="13"/>
                <w:color w:val="0000FF"/>
              </w:rPr>
            </w:pPr>
            <w:hyperlink r:id="rId66">
              <w:r>
                <w:rPr>
                  <w:rFonts w:ascii="Times New Roman" w:cs="Times New Roman" w:eastAsia="Times New Roman" w:hAnsi="Times New Roman"/>
                  <w:sz w:val="13"/>
                  <w:szCs w:val="13"/>
                  <w:color w:val="0000FF"/>
                </w:rPr>
                <w:t>September 24, 2014).</w:t>
              </w:r>
            </w:hyperlink>
          </w:p>
        </w:tc>
        <w:tc>
          <w:tcPr>
            <w:tcW w:w="7020" w:type="dxa"/>
            <w:vAlign w:val="bottom"/>
            <w:tcBorders>
              <w:top w:val="single" w:sz="8" w:color="0000FF"/>
            </w:tcBorders>
            <w:gridSpan w:val="10"/>
          </w:tcPr>
          <w:p>
            <w:pPr>
              <w:spacing w:after="0"/>
              <w:rPr>
                <w:sz w:val="10"/>
                <w:szCs w:val="10"/>
                <w:color w:val="auto"/>
              </w:rPr>
            </w:pPr>
          </w:p>
        </w:tc>
        <w:tc>
          <w:tcPr>
            <w:tcW w:w="300" w:type="dxa"/>
            <w:vAlign w:val="bottom"/>
            <w:gridSpan w:val="3"/>
          </w:tcPr>
          <w:p>
            <w:pPr>
              <w:spacing w:after="0"/>
              <w:rPr>
                <w:sz w:val="10"/>
                <w:szCs w:val="10"/>
                <w:color w:val="auto"/>
              </w:rPr>
            </w:pPr>
          </w:p>
        </w:tc>
      </w:tr>
      <w:tr>
        <w:trPr>
          <w:trHeight w:val="221"/>
        </w:trPr>
        <w:tc>
          <w:tcPr>
            <w:tcW w:w="2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w w:val="73"/>
              </w:rPr>
              <w:t>4.6</w:t>
            </w: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Form of Preferred Stock Certificate**</w:t>
            </w:r>
          </w:p>
        </w:tc>
      </w:tr>
      <w:tr>
        <w:trPr>
          <w:trHeight w:val="211"/>
        </w:trPr>
        <w:tc>
          <w:tcPr>
            <w:tcW w:w="2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w w:val="73"/>
              </w:rPr>
              <w:t>4.7</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Form of Deposit Agreement**</w:t>
            </w:r>
          </w:p>
        </w:tc>
      </w:tr>
      <w:tr>
        <w:trPr>
          <w:trHeight w:val="211"/>
        </w:trPr>
        <w:tc>
          <w:tcPr>
            <w:tcW w:w="2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w w:val="73"/>
              </w:rPr>
              <w:t>4.8</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Form of Depositary Share (included in Exhibit 4.6)**</w:t>
            </w:r>
          </w:p>
        </w:tc>
      </w:tr>
      <w:tr>
        <w:trPr>
          <w:trHeight w:val="211"/>
        </w:trPr>
        <w:tc>
          <w:tcPr>
            <w:tcW w:w="2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w w:val="73"/>
              </w:rPr>
              <w:t>4.9</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Form of Warrant**</w:t>
            </w:r>
          </w:p>
        </w:tc>
      </w:tr>
      <w:tr>
        <w:trPr>
          <w:trHeight w:val="211"/>
        </w:trPr>
        <w:tc>
          <w:tcPr>
            <w:tcW w:w="220" w:type="dxa"/>
            <w:vAlign w:val="bottom"/>
            <w:gridSpan w:val="3"/>
          </w:tcPr>
          <w:p>
            <w:pPr>
              <w:ind w:left="60"/>
              <w:spacing w:after="0"/>
              <w:rPr>
                <w:sz w:val="20"/>
                <w:szCs w:val="20"/>
                <w:color w:val="auto"/>
              </w:rPr>
            </w:pPr>
            <w:r>
              <w:rPr>
                <w:rFonts w:ascii="Times New Roman" w:cs="Times New Roman" w:eastAsia="Times New Roman" w:hAnsi="Times New Roman"/>
                <w:sz w:val="9"/>
                <w:szCs w:val="9"/>
                <w:color w:val="auto"/>
                <w:w w:val="75"/>
              </w:rPr>
              <w:t>4.10</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Form of Subscription Rights Agreement**</w:t>
            </w:r>
          </w:p>
        </w:tc>
      </w:tr>
      <w:tr>
        <w:trPr>
          <w:trHeight w:val="181"/>
        </w:trPr>
        <w:tc>
          <w:tcPr>
            <w:tcW w:w="220" w:type="dxa"/>
            <w:vAlign w:val="bottom"/>
            <w:gridSpan w:val="3"/>
          </w:tcPr>
          <w:p>
            <w:pPr>
              <w:ind w:left="60"/>
              <w:spacing w:after="0"/>
              <w:rPr>
                <w:rFonts w:ascii="Times New Roman" w:cs="Times New Roman" w:eastAsia="Times New Roman" w:hAnsi="Times New Roman"/>
                <w:sz w:val="9"/>
                <w:szCs w:val="9"/>
                <w:color w:val="0000FF"/>
                <w:w w:val="75"/>
              </w:rPr>
            </w:pPr>
            <w:hyperlink r:id="rId67">
              <w:r>
                <w:rPr>
                  <w:rFonts w:ascii="Times New Roman" w:cs="Times New Roman" w:eastAsia="Times New Roman" w:hAnsi="Times New Roman"/>
                  <w:sz w:val="9"/>
                  <w:szCs w:val="9"/>
                  <w:color w:val="0000FF"/>
                  <w:w w:val="75"/>
                </w:rPr>
                <w:t>4.</w:t>
              </w:r>
              <w:r>
                <w:rPr>
                  <w:rFonts w:ascii="Times New Roman" w:cs="Times New Roman" w:eastAsia="Times New Roman" w:hAnsi="Times New Roman"/>
                  <w:sz w:val="9"/>
                  <w:szCs w:val="9"/>
                  <w:u w:val="single" w:color="auto"/>
                  <w:color w:val="0000FF"/>
                  <w:w w:val="75"/>
                </w:rPr>
                <w:t>11</w:t>
              </w:r>
            </w:hyperlink>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60" w:type="dxa"/>
            <w:vAlign w:val="bottom"/>
            <w:gridSpan w:val="15"/>
          </w:tcPr>
          <w:p>
            <w:pPr>
              <w:spacing w:after="0"/>
              <w:rPr>
                <w:rFonts w:ascii="Times New Roman" w:cs="Times New Roman" w:eastAsia="Times New Roman" w:hAnsi="Times New Roman"/>
                <w:sz w:val="13"/>
                <w:szCs w:val="13"/>
                <w:color w:val="0000FF"/>
              </w:rPr>
            </w:pPr>
            <w:hyperlink r:id="rId67">
              <w:r>
                <w:rPr>
                  <w:rFonts w:ascii="Times New Roman" w:cs="Times New Roman" w:eastAsia="Times New Roman" w:hAnsi="Times New Roman"/>
                  <w:sz w:val="13"/>
                  <w:szCs w:val="13"/>
                  <w:color w:val="0000FF"/>
                </w:rPr>
                <w:t>Indenture, dated as of August 31, 2023, between Newtek, as issuer, and U.S. Bank Trust Company, National Association, as trustee (Incorporated by</w:t>
              </w:r>
            </w:hyperlink>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940" w:type="dxa"/>
            <w:vAlign w:val="bottom"/>
            <w:tcBorders>
              <w:top w:val="single" w:sz="8" w:color="0000FF"/>
            </w:tcBorders>
            <w:gridSpan w:val="10"/>
          </w:tcPr>
          <w:p>
            <w:pPr>
              <w:spacing w:after="0" w:line="121" w:lineRule="exact"/>
              <w:rPr>
                <w:rFonts w:ascii="Times New Roman" w:cs="Times New Roman" w:eastAsia="Times New Roman" w:hAnsi="Times New Roman"/>
                <w:sz w:val="13"/>
                <w:szCs w:val="13"/>
                <w:color w:val="0000FF"/>
              </w:rPr>
            </w:pPr>
            <w:hyperlink r:id="rId67">
              <w:r>
                <w:rPr>
                  <w:rFonts w:ascii="Times New Roman" w:cs="Times New Roman" w:eastAsia="Times New Roman" w:hAnsi="Times New Roman"/>
                  <w:sz w:val="13"/>
                  <w:szCs w:val="13"/>
                  <w:color w:val="0000FF"/>
                </w:rPr>
                <w:t>reference to Exhibit 4.1 to Newtek’s Current Report on Form 8-K, filed August 31, 2023).</w:t>
              </w:r>
            </w:hyperlink>
          </w:p>
        </w:tc>
        <w:tc>
          <w:tcPr>
            <w:tcW w:w="520" w:type="dxa"/>
            <w:vAlign w:val="bottom"/>
            <w:gridSpan w:val="5"/>
          </w:tcPr>
          <w:p>
            <w:pPr>
              <w:spacing w:after="0"/>
              <w:rPr>
                <w:sz w:val="10"/>
                <w:szCs w:val="10"/>
                <w:color w:val="auto"/>
              </w:rPr>
            </w:pPr>
          </w:p>
        </w:tc>
      </w:tr>
      <w:tr>
        <w:trPr>
          <w:trHeight w:val="221"/>
        </w:trPr>
        <w:tc>
          <w:tcPr>
            <w:tcW w:w="220" w:type="dxa"/>
            <w:vAlign w:val="bottom"/>
            <w:gridSpan w:val="3"/>
          </w:tcPr>
          <w:p>
            <w:pPr>
              <w:ind w:left="60"/>
              <w:spacing w:after="0"/>
              <w:rPr>
                <w:sz w:val="20"/>
                <w:szCs w:val="20"/>
                <w:color w:val="auto"/>
              </w:rPr>
            </w:pPr>
            <w:r>
              <w:rPr>
                <w:rFonts w:ascii="Times New Roman" w:cs="Times New Roman" w:eastAsia="Times New Roman" w:hAnsi="Times New Roman"/>
                <w:sz w:val="9"/>
                <w:szCs w:val="9"/>
                <w:color w:val="auto"/>
                <w:w w:val="75"/>
              </w:rPr>
              <w:t>4.12</w:t>
            </w: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3"/>
                <w:szCs w:val="13"/>
                <w:color w:val="auto"/>
              </w:rPr>
              <w:t>Form of Subordinated Notes Indenture**</w:t>
            </w:r>
          </w:p>
        </w:tc>
        <w:tc>
          <w:tcPr>
            <w:tcW w:w="3660" w:type="dxa"/>
            <w:vAlign w:val="bottom"/>
            <w:gridSpan w:val="8"/>
          </w:tcPr>
          <w:p>
            <w:pPr>
              <w:spacing w:after="0"/>
              <w:rPr>
                <w:sz w:val="19"/>
                <w:szCs w:val="19"/>
                <w:color w:val="auto"/>
              </w:rPr>
            </w:pPr>
          </w:p>
        </w:tc>
      </w:tr>
      <w:tr>
        <w:trPr>
          <w:trHeight w:val="211"/>
        </w:trPr>
        <w:tc>
          <w:tcPr>
            <w:tcW w:w="220" w:type="dxa"/>
            <w:vAlign w:val="bottom"/>
            <w:gridSpan w:val="3"/>
          </w:tcPr>
          <w:p>
            <w:pPr>
              <w:ind w:left="60"/>
              <w:spacing w:after="0"/>
              <w:rPr>
                <w:sz w:val="20"/>
                <w:szCs w:val="20"/>
                <w:color w:val="auto"/>
              </w:rPr>
            </w:pPr>
            <w:r>
              <w:rPr>
                <w:rFonts w:ascii="Times New Roman" w:cs="Times New Roman" w:eastAsia="Times New Roman" w:hAnsi="Times New Roman"/>
                <w:sz w:val="9"/>
                <w:szCs w:val="9"/>
                <w:color w:val="auto"/>
                <w:w w:val="75"/>
              </w:rPr>
              <w:t>4.13</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Form of Unit Agreement**</w:t>
            </w:r>
          </w:p>
        </w:tc>
      </w:tr>
      <w:tr>
        <w:trPr>
          <w:trHeight w:val="211"/>
        </w:trPr>
        <w:tc>
          <w:tcPr>
            <w:tcW w:w="2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w w:val="73"/>
              </w:rPr>
              <w:t>5.1</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Opinion of Robert Fraley**</w:t>
            </w:r>
          </w:p>
        </w:tc>
      </w:tr>
      <w:tr>
        <w:trPr>
          <w:trHeight w:val="211"/>
        </w:trPr>
        <w:tc>
          <w:tcPr>
            <w:tcW w:w="2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w w:val="73"/>
              </w:rPr>
              <w:t>5.2</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Opinion of Michael A. Schwartz**</w:t>
            </w:r>
          </w:p>
        </w:tc>
      </w:tr>
      <w:tr>
        <w:trPr>
          <w:trHeight w:val="211"/>
        </w:trPr>
        <w:tc>
          <w:tcPr>
            <w:tcW w:w="2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w w:val="73"/>
              </w:rPr>
              <w:t>8.1</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Opinion of [•] as to certain tax consequences.**</w:t>
            </w:r>
          </w:p>
        </w:tc>
      </w:tr>
      <w:tr>
        <w:trPr>
          <w:trHeight w:val="181"/>
        </w:trPr>
        <w:tc>
          <w:tcPr>
            <w:tcW w:w="220" w:type="dxa"/>
            <w:vAlign w:val="bottom"/>
            <w:gridSpan w:val="3"/>
          </w:tcPr>
          <w:p>
            <w:pPr>
              <w:ind w:left="60"/>
              <w:spacing w:after="0"/>
              <w:rPr>
                <w:sz w:val="20"/>
                <w:szCs w:val="20"/>
                <w:color w:val="auto"/>
              </w:rPr>
            </w:pPr>
            <w:r>
              <w:rPr>
                <w:rFonts w:ascii="Times New Roman" w:cs="Times New Roman" w:eastAsia="Times New Roman" w:hAnsi="Times New Roman"/>
                <w:sz w:val="9"/>
                <w:szCs w:val="9"/>
                <w:color w:val="0E32E1"/>
                <w:w w:val="75"/>
              </w:rPr>
              <w:t>23.</w:t>
            </w:r>
            <w:r>
              <w:rPr>
                <w:rFonts w:ascii="Times New Roman" w:cs="Times New Roman" w:eastAsia="Times New Roman" w:hAnsi="Times New Roman"/>
                <w:sz w:val="9"/>
                <w:szCs w:val="9"/>
                <w:u w:val="single" w:color="auto"/>
                <w:color w:val="0E32E1"/>
                <w:w w:val="75"/>
              </w:rPr>
              <w:t>1</w:t>
            </w: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3"/>
                <w:szCs w:val="13"/>
                <w:color w:val="0E32E1"/>
              </w:rPr>
              <w:t>Consent of RSM LLP.*</w:t>
            </w:r>
          </w:p>
        </w:tc>
      </w:tr>
      <w:tr>
        <w:trPr>
          <w:trHeight w:val="20"/>
        </w:trPr>
        <w:tc>
          <w:tcPr>
            <w:tcW w:w="60" w:type="dxa"/>
            <w:vAlign w:val="bottom"/>
            <w:gridSpan w:val="2"/>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160" w:type="dxa"/>
            <w:vAlign w:val="bottom"/>
            <w:tcBorders>
              <w:left w:val="single" w:sz="8" w:color="0E32E1"/>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E32E1"/>
          </w:tcPr>
          <w:p>
            <w:pPr>
              <w:spacing w:after="0" w:line="20" w:lineRule="exact"/>
              <w:rPr>
                <w:sz w:val="1"/>
                <w:szCs w:val="1"/>
                <w:color w:val="auto"/>
              </w:rPr>
            </w:pPr>
          </w:p>
        </w:tc>
        <w:tc>
          <w:tcPr>
            <w:tcW w:w="320" w:type="dxa"/>
            <w:vAlign w:val="bottom"/>
            <w:gridSpan w:val="2"/>
            <w:shd w:val="clear" w:color="auto" w:fill="0E32E1"/>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4040" w:type="dxa"/>
            <w:vAlign w:val="bottom"/>
            <w:gridSpan w:val="9"/>
          </w:tcPr>
          <w:p>
            <w:pPr>
              <w:spacing w:after="0" w:line="20" w:lineRule="exact"/>
              <w:rPr>
                <w:sz w:val="1"/>
                <w:szCs w:val="1"/>
                <w:color w:val="auto"/>
              </w:rPr>
            </w:pPr>
          </w:p>
        </w:tc>
      </w:tr>
      <w:tr>
        <w:trPr>
          <w:trHeight w:val="221"/>
        </w:trPr>
        <w:tc>
          <w:tcPr>
            <w:tcW w:w="220" w:type="dxa"/>
            <w:vAlign w:val="bottom"/>
            <w:gridSpan w:val="3"/>
          </w:tcPr>
          <w:p>
            <w:pPr>
              <w:ind w:left="60"/>
              <w:spacing w:after="0"/>
              <w:rPr>
                <w:sz w:val="20"/>
                <w:szCs w:val="20"/>
                <w:color w:val="auto"/>
              </w:rPr>
            </w:pPr>
            <w:r>
              <w:rPr>
                <w:rFonts w:ascii="Times New Roman" w:cs="Times New Roman" w:eastAsia="Times New Roman" w:hAnsi="Times New Roman"/>
                <w:sz w:val="9"/>
                <w:szCs w:val="9"/>
                <w:color w:val="auto"/>
                <w:w w:val="75"/>
              </w:rPr>
              <w:t>23.2</w:t>
            </w: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Consent of Robert Fraley (Incorporated by reference to Exhibit 5.1).**</w:t>
            </w:r>
          </w:p>
        </w:tc>
      </w:tr>
      <w:tr>
        <w:trPr>
          <w:trHeight w:val="211"/>
        </w:trPr>
        <w:tc>
          <w:tcPr>
            <w:tcW w:w="220" w:type="dxa"/>
            <w:vAlign w:val="bottom"/>
            <w:gridSpan w:val="3"/>
          </w:tcPr>
          <w:p>
            <w:pPr>
              <w:ind w:left="60"/>
              <w:spacing w:after="0"/>
              <w:rPr>
                <w:sz w:val="20"/>
                <w:szCs w:val="20"/>
                <w:color w:val="auto"/>
              </w:rPr>
            </w:pPr>
            <w:r>
              <w:rPr>
                <w:rFonts w:ascii="Times New Roman" w:cs="Times New Roman" w:eastAsia="Times New Roman" w:hAnsi="Times New Roman"/>
                <w:sz w:val="9"/>
                <w:szCs w:val="9"/>
                <w:color w:val="auto"/>
                <w:w w:val="75"/>
              </w:rPr>
              <w:t>23.3</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Consent of Michael A. Schwartz (Incorporated by reference to Exhibit 5.2).**</w:t>
            </w:r>
          </w:p>
        </w:tc>
      </w:tr>
      <w:tr>
        <w:trPr>
          <w:trHeight w:val="211"/>
        </w:trPr>
        <w:tc>
          <w:tcPr>
            <w:tcW w:w="220" w:type="dxa"/>
            <w:vAlign w:val="bottom"/>
            <w:gridSpan w:val="3"/>
          </w:tcPr>
          <w:p>
            <w:pPr>
              <w:ind w:left="60"/>
              <w:spacing w:after="0"/>
              <w:rPr>
                <w:sz w:val="20"/>
                <w:szCs w:val="20"/>
                <w:color w:val="auto"/>
              </w:rPr>
            </w:pPr>
            <w:r>
              <w:rPr>
                <w:rFonts w:ascii="Times New Roman" w:cs="Times New Roman" w:eastAsia="Times New Roman" w:hAnsi="Times New Roman"/>
                <w:sz w:val="9"/>
                <w:szCs w:val="9"/>
                <w:color w:val="auto"/>
                <w:w w:val="75"/>
              </w:rPr>
              <w:t>24.1</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Powers of Attorney***(included on the signature page hereto)</w:t>
            </w:r>
          </w:p>
        </w:tc>
      </w:tr>
      <w:tr>
        <w:trPr>
          <w:trHeight w:val="181"/>
        </w:trPr>
        <w:tc>
          <w:tcPr>
            <w:tcW w:w="220" w:type="dxa"/>
            <w:vAlign w:val="bottom"/>
            <w:gridSpan w:val="3"/>
          </w:tcPr>
          <w:p>
            <w:pPr>
              <w:ind w:left="60"/>
              <w:spacing w:after="0"/>
              <w:rPr>
                <w:sz w:val="20"/>
                <w:szCs w:val="20"/>
                <w:color w:val="auto"/>
              </w:rPr>
            </w:pPr>
            <w:r>
              <w:rPr>
                <w:rFonts w:ascii="Times New Roman" w:cs="Times New Roman" w:eastAsia="Times New Roman" w:hAnsi="Times New Roman"/>
                <w:sz w:val="9"/>
                <w:szCs w:val="9"/>
                <w:color w:val="0E32E1"/>
                <w:w w:val="75"/>
              </w:rPr>
              <w:t>25.</w:t>
            </w:r>
            <w:r>
              <w:rPr>
                <w:rFonts w:ascii="Times New Roman" w:cs="Times New Roman" w:eastAsia="Times New Roman" w:hAnsi="Times New Roman"/>
                <w:sz w:val="9"/>
                <w:szCs w:val="9"/>
                <w:u w:val="single" w:color="auto"/>
                <w:color w:val="0E32E1"/>
                <w:w w:val="75"/>
              </w:rPr>
              <w:t>1</w:t>
            </w: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3"/>
                <w:szCs w:val="13"/>
                <w:color w:val="0E32E1"/>
              </w:rPr>
              <w:t>Statement of Eligibility of Trustee on Form T-1 under the Senior Notes Indenture.*</w:t>
            </w:r>
          </w:p>
        </w:tc>
      </w:tr>
      <w:tr>
        <w:trPr>
          <w:trHeight w:val="20"/>
        </w:trPr>
        <w:tc>
          <w:tcPr>
            <w:tcW w:w="60" w:type="dxa"/>
            <w:vAlign w:val="bottom"/>
            <w:gridSpan w:val="2"/>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160" w:type="dxa"/>
            <w:vAlign w:val="bottom"/>
            <w:tcBorders>
              <w:left w:val="single" w:sz="8" w:color="0E32E1"/>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E32E1"/>
          </w:tcPr>
          <w:p>
            <w:pPr>
              <w:spacing w:after="0" w:line="20" w:lineRule="exact"/>
              <w:rPr>
                <w:sz w:val="1"/>
                <w:szCs w:val="1"/>
                <w:color w:val="auto"/>
              </w:rPr>
            </w:pPr>
          </w:p>
        </w:tc>
        <w:tc>
          <w:tcPr>
            <w:tcW w:w="3500" w:type="dxa"/>
            <w:vAlign w:val="bottom"/>
            <w:gridSpan w:val="5"/>
            <w:shd w:val="clear" w:color="auto" w:fill="0E32E1"/>
          </w:tcPr>
          <w:p>
            <w:pPr>
              <w:spacing w:after="0" w:line="20" w:lineRule="exact"/>
              <w:rPr>
                <w:sz w:val="1"/>
                <w:szCs w:val="1"/>
                <w:color w:val="auto"/>
              </w:rPr>
            </w:pPr>
          </w:p>
        </w:tc>
        <w:tc>
          <w:tcPr>
            <w:tcW w:w="4040" w:type="dxa"/>
            <w:vAlign w:val="bottom"/>
            <w:gridSpan w:val="9"/>
          </w:tcPr>
          <w:p>
            <w:pPr>
              <w:spacing w:after="0" w:line="20" w:lineRule="exact"/>
              <w:rPr>
                <w:sz w:val="1"/>
                <w:szCs w:val="1"/>
                <w:color w:val="auto"/>
              </w:rPr>
            </w:pPr>
          </w:p>
        </w:tc>
      </w:tr>
      <w:tr>
        <w:trPr>
          <w:trHeight w:val="221"/>
        </w:trPr>
        <w:tc>
          <w:tcPr>
            <w:tcW w:w="220" w:type="dxa"/>
            <w:vAlign w:val="bottom"/>
            <w:gridSpan w:val="3"/>
          </w:tcPr>
          <w:p>
            <w:pPr>
              <w:ind w:left="60"/>
              <w:spacing w:after="0"/>
              <w:rPr>
                <w:sz w:val="20"/>
                <w:szCs w:val="20"/>
                <w:color w:val="auto"/>
              </w:rPr>
            </w:pPr>
            <w:r>
              <w:rPr>
                <w:rFonts w:ascii="Times New Roman" w:cs="Times New Roman" w:eastAsia="Times New Roman" w:hAnsi="Times New Roman"/>
                <w:sz w:val="9"/>
                <w:szCs w:val="9"/>
                <w:color w:val="auto"/>
                <w:w w:val="75"/>
              </w:rPr>
              <w:t>25.2</w:t>
            </w: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Statement of Eligibility of Trustee on Form T-1 under the Subordinated Notes Indenture.**</w:t>
            </w:r>
          </w:p>
        </w:tc>
      </w:tr>
      <w:tr>
        <w:trPr>
          <w:trHeight w:val="181"/>
        </w:trPr>
        <w:tc>
          <w:tcPr>
            <w:tcW w:w="22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0000FF"/>
                <w:w w:val="72"/>
              </w:rPr>
              <w:t>107</w:t>
            </w: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6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Filing Fee Table*</w:t>
            </w: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653669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536690" cy="6350"/>
                    </a:xfrm>
                    <a:prstGeom prst="rect">
                      <a:avLst/>
                    </a:prstGeom>
                    <a:noFill/>
                  </pic:spPr>
                </pic:pic>
              </a:graphicData>
            </a:graphic>
          </wp:anchor>
        </w:drawing>
      </w:r>
    </w:p>
    <w:p>
      <w:pPr>
        <w:spacing w:after="0" w:line="385" w:lineRule="exact"/>
        <w:rPr>
          <w:sz w:val="20"/>
          <w:szCs w:val="20"/>
          <w:color w:val="auto"/>
        </w:rPr>
      </w:pPr>
    </w:p>
    <w:p>
      <w:pPr>
        <w:ind w:left="340" w:hanging="340"/>
        <w:spacing w:after="0"/>
        <w:tabs>
          <w:tab w:leader="none" w:pos="34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Filed herewith.</w:t>
      </w:r>
    </w:p>
    <w:p>
      <w:pPr>
        <w:ind w:left="240" w:hanging="240"/>
        <w:spacing w:after="0"/>
        <w:tabs>
          <w:tab w:leader="none" w:pos="2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filed by amendment or as an exhibit to a current or periodic report we file in connection with the offering of the offered securities.</w:t>
      </w:r>
    </w:p>
    <w:p>
      <w:pPr>
        <w:spacing w:after="0" w:line="397" w:lineRule="exact"/>
        <w:rPr>
          <w:rFonts w:ascii="Times New Roman" w:cs="Times New Roman" w:eastAsia="Times New Roman" w:hAnsi="Times New Roman"/>
          <w:sz w:val="12"/>
          <w:szCs w:val="12"/>
          <w:color w:val="auto"/>
        </w:rPr>
      </w:pPr>
    </w:p>
    <w:p>
      <w:pPr>
        <w:ind w:left="55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0300"/>
          </w:cols>
          <w:pgMar w:left="300" w:top="1367" w:right="1299" w:bottom="1440" w:gutter="0" w:footer="0" w:header="0"/>
        </w:sectPr>
      </w:pPr>
    </w:p>
    <w:bookmarkStart w:id="46" w:name="page47"/>
    <w:bookmarkEnd w:id="46"/>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Item 17. Undertakings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Registrant hereby undertakes:</w:t>
      </w:r>
    </w:p>
    <w:p>
      <w:pPr>
        <w:spacing w:after="0" w:line="162" w:lineRule="exact"/>
        <w:rPr>
          <w:sz w:val="20"/>
          <w:szCs w:val="20"/>
          <w:color w:val="auto"/>
        </w:rPr>
      </w:pPr>
    </w:p>
    <w:p>
      <w:pPr>
        <w:ind w:left="740" w:hanging="257"/>
        <w:spacing w:after="0"/>
        <w:tabs>
          <w:tab w:leader="none" w:pos="7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during any period in which offers or sales are being made, a post-effective amendment to the registration statement:</w:t>
      </w:r>
    </w:p>
    <w:p>
      <w:pPr>
        <w:spacing w:after="0" w:line="161" w:lineRule="exact"/>
        <w:rPr>
          <w:rFonts w:ascii="Times New Roman" w:cs="Times New Roman" w:eastAsia="Times New Roman" w:hAnsi="Times New Roman"/>
          <w:sz w:val="13"/>
          <w:szCs w:val="13"/>
          <w:color w:val="auto"/>
        </w:rPr>
      </w:pPr>
    </w:p>
    <w:p>
      <w:pPr>
        <w:ind w:left="1200" w:hanging="235"/>
        <w:spacing w:after="0"/>
        <w:tabs>
          <w:tab w:leader="none" w:pos="1200"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prospectus required by Section 10(a)(3)of the Securities Act;</w:t>
      </w:r>
    </w:p>
    <w:p>
      <w:pPr>
        <w:spacing w:after="0" w:line="161" w:lineRule="exact"/>
        <w:rPr>
          <w:rFonts w:ascii="Times New Roman" w:cs="Times New Roman" w:eastAsia="Times New Roman" w:hAnsi="Times New Roman"/>
          <w:sz w:val="13"/>
          <w:szCs w:val="13"/>
          <w:color w:val="auto"/>
        </w:rPr>
      </w:pPr>
    </w:p>
    <w:p>
      <w:pPr>
        <w:ind w:left="480" w:firstLine="485"/>
        <w:spacing w:after="0" w:line="247" w:lineRule="auto"/>
        <w:tabs>
          <w:tab w:leader="none" w:pos="1232"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33" w:lineRule="exact"/>
        <w:rPr>
          <w:rFonts w:ascii="Times New Roman" w:cs="Times New Roman" w:eastAsia="Times New Roman" w:hAnsi="Times New Roman"/>
          <w:sz w:val="13"/>
          <w:szCs w:val="13"/>
          <w:color w:val="auto"/>
        </w:rPr>
      </w:pPr>
    </w:p>
    <w:p>
      <w:pPr>
        <w:ind w:left="480" w:right="40" w:firstLine="485"/>
        <w:spacing w:after="0" w:line="279" w:lineRule="auto"/>
        <w:tabs>
          <w:tab w:leader="none" w:pos="1269"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11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paragraphs 4(a)(i), (ii), and (iii) of this section do not apply if the information required to be included in a post-effective amendment by those paragraphs is contained in reports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filed with or furnished to the Commission by the Registrant pursuant to Section 13 or Section 15(d) of the Exchange Act that are incorporated by reference into the registration statement, or is contained in a form of prospectus filed pursuant to Rule 424(b) that is part of the registration statement;</w:t>
      </w:r>
    </w:p>
    <w:p>
      <w:pPr>
        <w:spacing w:after="0" w:line="124" w:lineRule="exact"/>
        <w:rPr>
          <w:sz w:val="20"/>
          <w:szCs w:val="20"/>
          <w:color w:val="auto"/>
        </w:rPr>
      </w:pPr>
    </w:p>
    <w:p>
      <w:pPr>
        <w:ind w:right="60" w:firstLine="483"/>
        <w:spacing w:after="0" w:line="279" w:lineRule="auto"/>
        <w:tabs>
          <w:tab w:leader="none" w:pos="744"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 and</w:t>
      </w:r>
    </w:p>
    <w:p>
      <w:pPr>
        <w:spacing w:after="0" w:line="113" w:lineRule="exact"/>
        <w:rPr>
          <w:rFonts w:ascii="Times New Roman" w:cs="Times New Roman" w:eastAsia="Times New Roman" w:hAnsi="Times New Roman"/>
          <w:sz w:val="13"/>
          <w:szCs w:val="13"/>
          <w:color w:val="auto"/>
        </w:rPr>
      </w:pPr>
    </w:p>
    <w:p>
      <w:pPr>
        <w:ind w:left="740" w:hanging="257"/>
        <w:spacing w:after="0"/>
        <w:tabs>
          <w:tab w:leader="none" w:pos="74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remove from registration by means of a post-effective amendment any of the securities being registered which remain unsold at the termination of the offering; and</w:t>
      </w:r>
    </w:p>
    <w:p>
      <w:pPr>
        <w:spacing w:after="0" w:line="161" w:lineRule="exact"/>
        <w:rPr>
          <w:rFonts w:ascii="Times New Roman" w:cs="Times New Roman" w:eastAsia="Times New Roman" w:hAnsi="Times New Roman"/>
          <w:sz w:val="13"/>
          <w:szCs w:val="13"/>
          <w:color w:val="auto"/>
        </w:rPr>
      </w:pPr>
    </w:p>
    <w:p>
      <w:pPr>
        <w:ind w:left="740" w:hanging="257"/>
        <w:spacing w:after="0"/>
        <w:tabs>
          <w:tab w:leader="none" w:pos="74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the purpose of determining liability under the Securities Act to any purchaser:</w:t>
      </w:r>
    </w:p>
    <w:p>
      <w:pPr>
        <w:spacing w:after="0" w:line="161" w:lineRule="exact"/>
        <w:rPr>
          <w:rFonts w:ascii="Times New Roman" w:cs="Times New Roman" w:eastAsia="Times New Roman" w:hAnsi="Times New Roman"/>
          <w:sz w:val="13"/>
          <w:szCs w:val="13"/>
          <w:color w:val="auto"/>
        </w:rPr>
      </w:pPr>
    </w:p>
    <w:p>
      <w:pPr>
        <w:ind w:left="1220" w:hanging="255"/>
        <w:spacing w:after="0"/>
        <w:tabs>
          <w:tab w:leader="none" w:pos="1220"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Registrant is relying on Rule 430B:</w:t>
      </w:r>
    </w:p>
    <w:p>
      <w:pPr>
        <w:spacing w:after="0" w:line="162" w:lineRule="exact"/>
        <w:rPr>
          <w:sz w:val="20"/>
          <w:szCs w:val="20"/>
          <w:color w:val="auto"/>
        </w:rPr>
      </w:pPr>
    </w:p>
    <w:p>
      <w:pPr>
        <w:ind w:left="480" w:right="120" w:firstLine="485"/>
        <w:spacing w:after="0" w:line="263" w:lineRule="auto"/>
        <w:tabs>
          <w:tab w:leader="none" w:pos="1254"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3" w:lineRule="exact"/>
        <w:rPr>
          <w:rFonts w:ascii="Times New Roman" w:cs="Times New Roman" w:eastAsia="Times New Roman" w:hAnsi="Times New Roman"/>
          <w:sz w:val="13"/>
          <w:szCs w:val="13"/>
          <w:color w:val="auto"/>
        </w:rPr>
      </w:pPr>
    </w:p>
    <w:p>
      <w:pPr>
        <w:ind w:left="1920" w:right="40" w:hanging="473"/>
        <w:spacing w:after="0" w:line="246" w:lineRule="auto"/>
        <w:tabs>
          <w:tab w:leader="none" w:pos="1724"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w:t>
      </w:r>
    </w:p>
    <w:p>
      <w:pPr>
        <w:spacing w:after="0" w:line="200" w:lineRule="exact"/>
        <w:rPr>
          <w:sz w:val="20"/>
          <w:szCs w:val="20"/>
          <w:color w:val="auto"/>
        </w:rPr>
      </w:pPr>
    </w:p>
    <w:p>
      <w:pPr>
        <w:spacing w:after="0" w:line="35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53340</wp:posOffset>
            </wp:positionV>
            <wp:extent cx="719264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0800"/>
          </w:cols>
          <w:pgMar w:left="780" w:top="685" w:right="319" w:bottom="1440" w:gutter="0" w:footer="0" w:header="0"/>
        </w:sectPr>
      </w:pPr>
    </w:p>
    <w:bookmarkStart w:id="47" w:name="page48"/>
    <w:bookmarkEnd w:id="47"/>
    <w:p>
      <w:pPr>
        <w:ind w:left="1920"/>
        <w:spacing w:after="0"/>
        <w:rPr>
          <w:sz w:val="20"/>
          <w:szCs w:val="20"/>
          <w:color w:val="auto"/>
        </w:rPr>
      </w:pPr>
      <w:r>
        <w:rPr>
          <w:rFonts w:ascii="Times New Roman" w:cs="Times New Roman" w:eastAsia="Times New Roman" w:hAnsi="Times New Roman"/>
          <w:sz w:val="13"/>
          <w:szCs w:val="13"/>
          <w:color w:val="auto"/>
        </w:rPr>
        <w:t>registration statement or prospectus that was part of the registration statement or made in any such document immediately prior to such effective date; or</w:t>
      </w:r>
    </w:p>
    <w:p>
      <w:pPr>
        <w:spacing w:after="0" w:line="162" w:lineRule="exact"/>
        <w:rPr>
          <w:sz w:val="20"/>
          <w:szCs w:val="20"/>
          <w:color w:val="auto"/>
        </w:rPr>
      </w:pPr>
    </w:p>
    <w:p>
      <w:pPr>
        <w:ind w:right="80" w:firstLine="483"/>
        <w:spacing w:after="0" w:line="260" w:lineRule="auto"/>
        <w:tabs>
          <w:tab w:leader="none" w:pos="742"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1"/>
          <w:szCs w:val="11"/>
          <w:color w:val="auto"/>
        </w:rPr>
        <w:t>T</w:t>
      </w:r>
      <w:r>
        <w:rPr>
          <w:rFonts w:ascii="Times New Roman" w:cs="Times New Roman" w:eastAsia="Times New Roman" w:hAnsi="Times New Roman"/>
          <w:sz w:val="13"/>
          <w:szCs w:val="13"/>
          <w:color w:val="auto"/>
        </w:rPr>
        <w:t>he undersigned Registrant undertakes that in a primary offering of securities of the undersigned Registrant pursuant to this registration statement, regardless of the underwriting method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3"/>
          <w:szCs w:val="13"/>
          <w:color w:val="auto"/>
        </w:rPr>
        <w:t>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126" w:lineRule="exact"/>
        <w:rPr>
          <w:rFonts w:ascii="Times New Roman" w:cs="Times New Roman" w:eastAsia="Times New Roman" w:hAnsi="Times New Roman"/>
          <w:sz w:val="13"/>
          <w:szCs w:val="13"/>
          <w:color w:val="auto"/>
        </w:rPr>
      </w:pPr>
    </w:p>
    <w:p>
      <w:pPr>
        <w:ind w:left="1200" w:hanging="235"/>
        <w:spacing w:after="0"/>
        <w:tabs>
          <w:tab w:leader="none" w:pos="1200"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preliminary prospectus or prospectus of the undersigned Registrant relating to the offering required to be filed pursuant to Rule 497 or Rule 424 under the Securities Act;</w:t>
      </w:r>
    </w:p>
    <w:p>
      <w:pPr>
        <w:spacing w:after="0" w:line="161" w:lineRule="exact"/>
        <w:rPr>
          <w:rFonts w:ascii="Times New Roman" w:cs="Times New Roman" w:eastAsia="Times New Roman" w:hAnsi="Times New Roman"/>
          <w:sz w:val="13"/>
          <w:szCs w:val="13"/>
          <w:color w:val="auto"/>
        </w:rPr>
      </w:pPr>
    </w:p>
    <w:p>
      <w:pPr>
        <w:ind w:left="1240" w:hanging="275"/>
        <w:spacing w:after="0"/>
        <w:tabs>
          <w:tab w:leader="none" w:pos="1240"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3"/>
          <w:szCs w:val="13"/>
          <w:color w:val="auto"/>
        </w:rPr>
      </w:pPr>
    </w:p>
    <w:p>
      <w:pPr>
        <w:ind w:left="480" w:right="40" w:firstLine="485"/>
        <w:spacing w:after="0" w:line="263" w:lineRule="auto"/>
        <w:tabs>
          <w:tab w:leader="none" w:pos="1269"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any other free writing prospectus or advertisement pursuant to Rule 482 under the Securities Act relating to the offering containing material information about the undersigned Registrant or its securities provided by or on behalf of the undersigned Registrant; and</w:t>
      </w:r>
    </w:p>
    <w:p>
      <w:pPr>
        <w:spacing w:after="0" w:line="123" w:lineRule="exact"/>
        <w:rPr>
          <w:rFonts w:ascii="Times New Roman" w:cs="Times New Roman" w:eastAsia="Times New Roman" w:hAnsi="Times New Roman"/>
          <w:sz w:val="13"/>
          <w:szCs w:val="13"/>
          <w:color w:val="auto"/>
        </w:rPr>
      </w:pPr>
    </w:p>
    <w:p>
      <w:pPr>
        <w:ind w:left="1300" w:hanging="335"/>
        <w:spacing w:after="0"/>
        <w:tabs>
          <w:tab w:leader="none" w:pos="1300" w:val="left"/>
        </w:tabs>
        <w:numPr>
          <w:ilvl w:val="1"/>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communication that is an offer in the offering made by the undersigned Registrant to the purchaser.</w:t>
      </w:r>
    </w:p>
    <w:p>
      <w:pPr>
        <w:spacing w:after="0" w:line="161" w:lineRule="exact"/>
        <w:rPr>
          <w:rFonts w:ascii="Times New Roman" w:cs="Times New Roman" w:eastAsia="Times New Roman" w:hAnsi="Times New Roman"/>
          <w:sz w:val="13"/>
          <w:szCs w:val="13"/>
          <w:color w:val="auto"/>
        </w:rPr>
      </w:pPr>
    </w:p>
    <w:p>
      <w:pPr>
        <w:ind w:right="200" w:firstLine="483"/>
        <w:spacing w:after="0" w:line="279" w:lineRule="auto"/>
        <w:tabs>
          <w:tab w:leader="none" w:pos="802"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13" w:lineRule="exact"/>
        <w:rPr>
          <w:rFonts w:ascii="Times New Roman" w:cs="Times New Roman" w:eastAsia="Times New Roman" w:hAnsi="Times New Roman"/>
          <w:sz w:val="13"/>
          <w:szCs w:val="13"/>
          <w:color w:val="auto"/>
        </w:rPr>
      </w:pPr>
    </w:p>
    <w:p>
      <w:pPr>
        <w:jc w:val="both"/>
        <w:ind w:right="40" w:firstLine="483"/>
        <w:spacing w:after="0" w:line="260" w:lineRule="auto"/>
        <w:tabs>
          <w:tab w:leader="none" w:pos="744"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for purposes of determining any liability under the Securities Act, each filing of the Registrant’s annual report pursuant to Section 13(a) or Section 15(d) of the Exchange Act that is incorporated by reference into the registration statement shall be deemed to be a new registration statement relating to the securities offered therein, and the offering of such securities at that time shall be deemed to be the initial bona fide offering thereof.</w:t>
      </w:r>
    </w:p>
    <w:p>
      <w:pPr>
        <w:spacing w:after="0" w:line="126" w:lineRule="exact"/>
        <w:rPr>
          <w:rFonts w:ascii="Times New Roman" w:cs="Times New Roman" w:eastAsia="Times New Roman" w:hAnsi="Times New Roman"/>
          <w:sz w:val="13"/>
          <w:szCs w:val="13"/>
          <w:color w:val="auto"/>
        </w:rPr>
      </w:pPr>
    </w:p>
    <w:p>
      <w:pPr>
        <w:ind w:firstLine="483"/>
        <w:spacing w:after="0" w:line="249" w:lineRule="auto"/>
        <w:tabs>
          <w:tab w:leader="none" w:pos="744"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Insofar as indemnification for liabilities arising under the Securities Act may be permitted to directors, officers and controlling persons of the Registrant pursuant to the foregoing provisions, or otherwise, we have been advised that in the opinion of the Commission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00" w:lineRule="exact"/>
        <w:rPr>
          <w:sz w:val="20"/>
          <w:szCs w:val="20"/>
          <w:color w:val="auto"/>
        </w:rPr>
      </w:pPr>
    </w:p>
    <w:p>
      <w:pPr>
        <w:spacing w:after="0" w:line="34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53340</wp:posOffset>
            </wp:positionV>
            <wp:extent cx="719264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0740"/>
          </w:cols>
          <w:pgMar w:left="780" w:top="689" w:right="37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66" w:lineRule="exact"/>
        <w:rPr>
          <w:sz w:val="20"/>
          <w:szCs w:val="20"/>
          <w:color w:val="auto"/>
        </w:rPr>
      </w:pPr>
    </w:p>
    <w:p>
      <w:pPr>
        <w:ind w:right="380" w:firstLine="482"/>
        <w:spacing w:after="0" w:line="279"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County of Palm Beach, in the State of Florida, on June 25, 2026.</w:t>
      </w:r>
    </w:p>
    <w:p>
      <w:pPr>
        <w:spacing w:after="0" w:line="27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3"/>
          <w:szCs w:val="13"/>
          <w:b w:val="1"/>
          <w:bCs w:val="1"/>
          <w:color w:val="auto"/>
        </w:rPr>
        <w:t>NEWTEKONE, INC.</w:t>
      </w:r>
    </w:p>
    <w:p>
      <w:pPr>
        <w:spacing w:after="0" w:line="326" w:lineRule="exact"/>
        <w:rPr>
          <w:sz w:val="20"/>
          <w:szCs w:val="20"/>
          <w:color w:val="auto"/>
        </w:rPr>
      </w:pPr>
    </w:p>
    <w:p>
      <w:pPr>
        <w:ind w:left="2880"/>
        <w:spacing w:after="0"/>
        <w:tabs>
          <w:tab w:leader="none" w:pos="3220" w:val="left"/>
          <w:tab w:leader="none" w:pos="34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0"/>
          <w:szCs w:val="10"/>
          <w:u w:val="single" w:color="auto"/>
          <w:color w:val="auto"/>
        </w:rPr>
        <w:t>S</w:t>
      </w:r>
      <w:r>
        <w:rPr>
          <w:rFonts w:ascii="Times New Roman" w:cs="Times New Roman" w:eastAsia="Times New Roman" w:hAnsi="Times New Roman"/>
          <w:sz w:val="13"/>
          <w:szCs w:val="13"/>
          <w:u w:val="single" w:color="auto"/>
          <w:color w:val="auto"/>
        </w:rPr>
        <w:t>/</w:t>
        <w:tab/>
        <w:t>B</w:t>
      </w:r>
      <w:r>
        <w:rPr>
          <w:rFonts w:ascii="Times New Roman" w:cs="Times New Roman" w:eastAsia="Times New Roman" w:hAnsi="Times New Roman"/>
          <w:sz w:val="10"/>
          <w:szCs w:val="10"/>
          <w:u w:val="single" w:color="auto"/>
          <w:color w:val="auto"/>
        </w:rPr>
        <w:t>ARRY</w:t>
      </w:r>
      <w:r>
        <w:rPr>
          <w:rFonts w:ascii="Times New Roman" w:cs="Times New Roman" w:eastAsia="Times New Roman" w:hAnsi="Times New Roman"/>
          <w:sz w:val="13"/>
          <w:szCs w:val="13"/>
          <w:u w:val="single" w:color="auto"/>
          <w:color w:val="auto"/>
        </w:rPr>
        <w:t xml:space="preserve"> S</w:t>
      </w:r>
      <w:r>
        <w:rPr>
          <w:rFonts w:ascii="Times New Roman" w:cs="Times New Roman" w:eastAsia="Times New Roman" w:hAnsi="Times New Roman"/>
          <w:sz w:val="10"/>
          <w:szCs w:val="10"/>
          <w:u w:val="single" w:color="auto"/>
          <w:color w:val="auto"/>
        </w:rPr>
        <w:t>LOANE</w:t>
      </w:r>
    </w:p>
    <w:p>
      <w:pPr>
        <w:spacing w:after="0" w:line="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3"/>
          <w:szCs w:val="13"/>
          <w:color w:val="auto"/>
        </w:rPr>
        <w:t>Barry Sloane</w:t>
      </w:r>
    </w:p>
    <w:p>
      <w:pPr>
        <w:ind w:left="3380"/>
        <w:spacing w:after="0" w:line="227" w:lineRule="auto"/>
        <w:rPr>
          <w:sz w:val="20"/>
          <w:szCs w:val="20"/>
          <w:color w:val="auto"/>
        </w:rPr>
      </w:pPr>
      <w:r>
        <w:rPr>
          <w:rFonts w:ascii="Times New Roman" w:cs="Times New Roman" w:eastAsia="Times New Roman" w:hAnsi="Times New Roman"/>
          <w:sz w:val="13"/>
          <w:szCs w:val="13"/>
          <w:color w:val="auto"/>
        </w:rPr>
        <w:t>Chief Executive Officer, President and</w:t>
      </w:r>
    </w:p>
    <w:p>
      <w:pPr>
        <w:ind w:left="3380"/>
        <w:spacing w:after="0"/>
        <w:rPr>
          <w:sz w:val="20"/>
          <w:szCs w:val="20"/>
          <w:color w:val="auto"/>
        </w:rPr>
      </w:pPr>
      <w:r>
        <w:rPr>
          <w:rFonts w:ascii="Times New Roman" w:cs="Times New Roman" w:eastAsia="Times New Roman" w:hAnsi="Times New Roman"/>
          <w:sz w:val="13"/>
          <w:szCs w:val="13"/>
          <w:color w:val="auto"/>
        </w:rPr>
        <w:t>Chairman of the Board of Directors</w:t>
      </w:r>
    </w:p>
    <w:p>
      <w:pPr>
        <w:spacing w:after="0" w:line="324"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3"/>
          <w:szCs w:val="13"/>
          <w:b w:val="1"/>
          <w:bCs w:val="1"/>
          <w:color w:val="auto"/>
        </w:rPr>
        <w:t>POWER OF ATTORNEY</w:t>
      </w:r>
    </w:p>
    <w:p>
      <w:pPr>
        <w:spacing w:after="0" w:line="186" w:lineRule="exact"/>
        <w:rPr>
          <w:sz w:val="20"/>
          <w:szCs w:val="20"/>
          <w:color w:val="auto"/>
        </w:rPr>
      </w:pPr>
    </w:p>
    <w:p>
      <w:pPr>
        <w:ind w:firstLine="321"/>
        <w:spacing w:after="0" w:line="249" w:lineRule="auto"/>
        <w:rPr>
          <w:sz w:val="20"/>
          <w:szCs w:val="20"/>
          <w:color w:val="auto"/>
        </w:rPr>
      </w:pPr>
      <w:r>
        <w:rPr>
          <w:rFonts w:ascii="Times New Roman" w:cs="Times New Roman" w:eastAsia="Times New Roman" w:hAnsi="Times New Roman"/>
          <w:sz w:val="13"/>
          <w:szCs w:val="13"/>
          <w:color w:val="auto"/>
        </w:rPr>
        <w:t>KNOW ALL PERSONS BY THESE PRESENTS, that each person whose signature appears below constitutes and appoints Barry Sloane as true and lawful attorney-in-fact and agent with full power of substitution and resubstitution, for him and in his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 and other documents in connection therewith, with the Securities and Exchange Commission granting unto said attorney-in-fact and agent the full power and authority to do and perform each and every act and thing requisite and necessary to be done in and about the foregoing, as to all intents and purposes as either of them might or could do in person, hereby ratifying and confirming all that said attorney-in-fact and agent, or his substitute, may lawfully do or cause to be done by virtue hereof.</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Pursuant to the requirements of the Securities Act of 1933, as amended, this Registration Statement on Form S-3 has been signed by the following persons in the capacities and on the dates indicated.</w:t>
      </w:r>
    </w:p>
    <w:p>
      <w:pPr>
        <w:spacing w:after="0" w:line="198" w:lineRule="exact"/>
        <w:rPr>
          <w:sz w:val="20"/>
          <w:szCs w:val="20"/>
          <w:color w:val="auto"/>
        </w:rPr>
      </w:pPr>
    </w:p>
    <w:tbl>
      <w:tblPr>
        <w:tblLayout w:type="fixed"/>
        <w:tblInd w:w="480" w:type="dxa"/>
        <w:tblCellMar>
          <w:top w:w="0" w:type="dxa"/>
          <w:left w:w="0" w:type="dxa"/>
          <w:bottom w:w="0" w:type="dxa"/>
          <w:right w:w="0" w:type="dxa"/>
        </w:tblCellMar>
      </w:tblPr>
      <w:tr>
        <w:trPr>
          <w:trHeight w:val="177"/>
        </w:trPr>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55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14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311"/>
        </w:trPr>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Chief Executive Officer, President and Chairman of the Board of Directors (Principal Executive</w:t>
            </w:r>
          </w:p>
        </w:tc>
        <w:tc>
          <w:tcPr>
            <w:tcW w:w="1420" w:type="dxa"/>
            <w:vAlign w:val="bottom"/>
          </w:tcPr>
          <w:p>
            <w:pPr>
              <w:spacing w:after="0"/>
              <w:rPr>
                <w:sz w:val="24"/>
                <w:szCs w:val="24"/>
                <w:color w:val="auto"/>
              </w:rPr>
            </w:pPr>
          </w:p>
        </w:tc>
      </w:tr>
      <w:tr>
        <w:trPr>
          <w:trHeight w:val="181"/>
        </w:trPr>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0"/>
                <w:szCs w:val="10"/>
                <w:color w:val="auto"/>
              </w:rPr>
              <w:t>S</w:t>
            </w:r>
            <w:r>
              <w:rPr>
                <w:rFonts w:ascii="Times New Roman" w:cs="Times New Roman" w:eastAsia="Times New Roman" w:hAnsi="Times New Roman"/>
                <w:sz w:val="13"/>
                <w:szCs w:val="13"/>
                <w:color w:val="auto"/>
              </w:rPr>
              <w:t>/</w:t>
            </w:r>
          </w:p>
        </w:tc>
        <w:tc>
          <w:tcPr>
            <w:tcW w:w="1880" w:type="dxa"/>
            <w:vAlign w:val="bottom"/>
            <w:tcBorders>
              <w:bottom w:val="single" w:sz="8" w:color="auto"/>
            </w:tcBorders>
          </w:tcPr>
          <w:p>
            <w:pPr>
              <w:jc w:val="center"/>
              <w:ind w:right="793"/>
              <w:spacing w:after="0"/>
              <w:rPr>
                <w:sz w:val="20"/>
                <w:szCs w:val="20"/>
                <w:color w:val="auto"/>
              </w:rPr>
            </w:pPr>
            <w:r>
              <w:rPr>
                <w:rFonts w:ascii="Times New Roman" w:cs="Times New Roman" w:eastAsia="Times New Roman" w:hAnsi="Times New Roman"/>
                <w:sz w:val="13"/>
                <w:szCs w:val="13"/>
                <w:color w:val="auto"/>
              </w:rPr>
              <w:t>B</w:t>
            </w:r>
            <w:r>
              <w:rPr>
                <w:rFonts w:ascii="Times New Roman" w:cs="Times New Roman" w:eastAsia="Times New Roman" w:hAnsi="Times New Roman"/>
                <w:sz w:val="10"/>
                <w:szCs w:val="10"/>
                <w:color w:val="auto"/>
              </w:rPr>
              <w:t>ARRY</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10"/>
                <w:szCs w:val="10"/>
                <w:color w:val="auto"/>
              </w:rPr>
              <w:t>LOANE</w:t>
            </w:r>
          </w:p>
        </w:tc>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Officer)</w:t>
            </w:r>
          </w:p>
        </w:tc>
        <w:tc>
          <w:tcPr>
            <w:tcW w:w="14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6/25/2026</w:t>
            </w:r>
          </w:p>
        </w:tc>
      </w:tr>
      <w:tr>
        <w:trPr>
          <w:trHeight w:val="167"/>
        </w:trPr>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jc w:val="center"/>
              <w:ind w:right="1053"/>
              <w:spacing w:after="0"/>
              <w:rPr>
                <w:sz w:val="20"/>
                <w:szCs w:val="20"/>
                <w:color w:val="auto"/>
              </w:rPr>
            </w:pPr>
            <w:r>
              <w:rPr>
                <w:rFonts w:ascii="Times New Roman" w:cs="Times New Roman" w:eastAsia="Times New Roman" w:hAnsi="Times New Roman"/>
                <w:sz w:val="13"/>
                <w:szCs w:val="13"/>
                <w:b w:val="1"/>
                <w:bCs w:val="1"/>
                <w:color w:val="auto"/>
              </w:rPr>
              <w:t>Barry Sloane</w:t>
            </w:r>
          </w:p>
        </w:tc>
        <w:tc>
          <w:tcPr>
            <w:tcW w:w="5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4"/>
        </w:trPr>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Executive Vice President, Chief Financial Officer</w:t>
            </w:r>
          </w:p>
        </w:tc>
        <w:tc>
          <w:tcPr>
            <w:tcW w:w="1420" w:type="dxa"/>
            <w:vAlign w:val="bottom"/>
          </w:tcPr>
          <w:p>
            <w:pPr>
              <w:spacing w:after="0"/>
              <w:rPr>
                <w:sz w:val="14"/>
                <w:szCs w:val="14"/>
                <w:color w:val="auto"/>
              </w:rPr>
            </w:pPr>
          </w:p>
        </w:tc>
      </w:tr>
      <w:tr>
        <w:trPr>
          <w:trHeight w:val="181"/>
        </w:trPr>
        <w:tc>
          <w:tcPr>
            <w:tcW w:w="9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w w:val="93"/>
              </w:rPr>
              <w:t>/</w:t>
            </w:r>
            <w:r>
              <w:rPr>
                <w:rFonts w:ascii="Times New Roman" w:cs="Times New Roman" w:eastAsia="Times New Roman" w:hAnsi="Times New Roman"/>
                <w:sz w:val="10"/>
                <w:szCs w:val="10"/>
                <w:color w:val="auto"/>
                <w:w w:val="93"/>
              </w:rPr>
              <w:t>S</w:t>
            </w:r>
            <w:r>
              <w:rPr>
                <w:rFonts w:ascii="Times New Roman" w:cs="Times New Roman" w:eastAsia="Times New Roman" w:hAnsi="Times New Roman"/>
                <w:sz w:val="13"/>
                <w:szCs w:val="13"/>
                <w:color w:val="auto"/>
                <w:w w:val="93"/>
              </w:rPr>
              <w:t>/</w:t>
            </w:r>
          </w:p>
        </w:tc>
        <w:tc>
          <w:tcPr>
            <w:tcW w:w="2060" w:type="dxa"/>
            <w:vAlign w:val="bottom"/>
            <w:tcBorders>
              <w:bottom w:val="single" w:sz="8" w:color="auto"/>
            </w:tcBorders>
            <w:gridSpan w:val="2"/>
          </w:tcPr>
          <w:p>
            <w:pPr>
              <w:jc w:val="center"/>
              <w:ind w:right="613"/>
              <w:spacing w:after="0"/>
              <w:rPr>
                <w:sz w:val="20"/>
                <w:szCs w:val="20"/>
                <w:color w:val="auto"/>
              </w:rPr>
            </w:pPr>
            <w:r>
              <w:rPr>
                <w:rFonts w:ascii="Times New Roman" w:cs="Times New Roman" w:eastAsia="Times New Roman" w:hAnsi="Times New Roman"/>
                <w:sz w:val="13"/>
                <w:szCs w:val="13"/>
                <w:color w:val="auto"/>
              </w:rPr>
              <w:t>F</w:t>
            </w:r>
            <w:r>
              <w:rPr>
                <w:rFonts w:ascii="Times New Roman" w:cs="Times New Roman" w:eastAsia="Times New Roman" w:hAnsi="Times New Roman"/>
                <w:sz w:val="10"/>
                <w:szCs w:val="10"/>
                <w:color w:val="auto"/>
              </w:rPr>
              <w:t>RANK</w:t>
            </w:r>
            <w:r>
              <w:rPr>
                <w:rFonts w:ascii="Times New Roman" w:cs="Times New Roman" w:eastAsia="Times New Roman" w:hAnsi="Times New Roman"/>
                <w:sz w:val="13"/>
                <w:szCs w:val="13"/>
                <w:color w:val="auto"/>
              </w:rPr>
              <w:t xml:space="preserve"> M. D</w:t>
            </w:r>
            <w:r>
              <w:rPr>
                <w:rFonts w:ascii="Times New Roman" w:cs="Times New Roman" w:eastAsia="Times New Roman" w:hAnsi="Times New Roman"/>
                <w:sz w:val="10"/>
                <w:szCs w:val="10"/>
                <w:color w:val="auto"/>
              </w:rPr>
              <w:t>E</w:t>
            </w:r>
            <w:r>
              <w:rPr>
                <w:rFonts w:ascii="Times New Roman" w:cs="Times New Roman" w:eastAsia="Times New Roman" w:hAnsi="Times New Roman"/>
                <w:sz w:val="13"/>
                <w:szCs w:val="13"/>
                <w:color w:val="auto"/>
              </w:rPr>
              <w:t>M</w:t>
            </w:r>
            <w:r>
              <w:rPr>
                <w:rFonts w:ascii="Times New Roman" w:cs="Times New Roman" w:eastAsia="Times New Roman" w:hAnsi="Times New Roman"/>
                <w:sz w:val="10"/>
                <w:szCs w:val="10"/>
                <w:color w:val="auto"/>
              </w:rPr>
              <w:t>ARIA</w:t>
            </w:r>
          </w:p>
        </w:tc>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(Principal Financial and Accounting Officer)</w:t>
            </w:r>
          </w:p>
        </w:tc>
        <w:tc>
          <w:tcPr>
            <w:tcW w:w="14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6/25/2026</w:t>
            </w:r>
          </w:p>
        </w:tc>
      </w:tr>
      <w:tr>
        <w:trPr>
          <w:trHeight w:val="167"/>
        </w:trPr>
        <w:tc>
          <w:tcPr>
            <w:tcW w:w="940" w:type="dxa"/>
            <w:vAlign w:val="bottom"/>
          </w:tcPr>
          <w:p>
            <w:pPr>
              <w:spacing w:after="0"/>
              <w:rPr>
                <w:sz w:val="14"/>
                <w:szCs w:val="14"/>
                <w:color w:val="auto"/>
              </w:rPr>
            </w:pPr>
          </w:p>
        </w:tc>
        <w:tc>
          <w:tcPr>
            <w:tcW w:w="2060" w:type="dxa"/>
            <w:vAlign w:val="bottom"/>
            <w:gridSpan w:val="2"/>
          </w:tcPr>
          <w:p>
            <w:pPr>
              <w:jc w:val="center"/>
              <w:ind w:right="873"/>
              <w:spacing w:after="0"/>
              <w:rPr>
                <w:sz w:val="20"/>
                <w:szCs w:val="20"/>
                <w:color w:val="auto"/>
              </w:rPr>
            </w:pPr>
            <w:r>
              <w:rPr>
                <w:rFonts w:ascii="Times New Roman" w:cs="Times New Roman" w:eastAsia="Times New Roman" w:hAnsi="Times New Roman"/>
                <w:sz w:val="13"/>
                <w:szCs w:val="13"/>
                <w:b w:val="1"/>
                <w:bCs w:val="1"/>
                <w:color w:val="auto"/>
              </w:rPr>
              <w:t>Frank M. DeMaria</w:t>
            </w:r>
          </w:p>
        </w:tc>
        <w:tc>
          <w:tcPr>
            <w:tcW w:w="5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4"/>
        </w:trPr>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1"/>
                <w:szCs w:val="11"/>
                <w:color w:val="auto"/>
              </w:rPr>
              <w:t>/S/</w:t>
            </w:r>
          </w:p>
        </w:tc>
        <w:tc>
          <w:tcPr>
            <w:tcW w:w="2060" w:type="dxa"/>
            <w:vAlign w:val="bottom"/>
            <w:tcBorders>
              <w:bottom w:val="single" w:sz="8" w:color="auto"/>
            </w:tcBorders>
            <w:gridSpan w:val="2"/>
          </w:tcPr>
          <w:p>
            <w:pPr>
              <w:jc w:val="center"/>
              <w:ind w:right="653"/>
              <w:spacing w:after="0"/>
              <w:rPr>
                <w:sz w:val="20"/>
                <w:szCs w:val="20"/>
                <w:color w:val="auto"/>
              </w:rPr>
            </w:pPr>
            <w:r>
              <w:rPr>
                <w:rFonts w:ascii="Times New Roman" w:cs="Times New Roman" w:eastAsia="Times New Roman" w:hAnsi="Times New Roman"/>
                <w:sz w:val="11"/>
                <w:szCs w:val="11"/>
                <w:color w:val="auto"/>
                <w:w w:val="98"/>
              </w:rPr>
              <w:t>HALLI RAZON-FEINGOLD</w:t>
            </w:r>
          </w:p>
        </w:tc>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Director and Chief Administrative Officer</w:t>
            </w:r>
          </w:p>
        </w:tc>
        <w:tc>
          <w:tcPr>
            <w:tcW w:w="14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6/25/2026</w:t>
            </w:r>
          </w:p>
        </w:tc>
      </w:tr>
      <w:tr>
        <w:trPr>
          <w:trHeight w:val="167"/>
        </w:trPr>
        <w:tc>
          <w:tcPr>
            <w:tcW w:w="30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Halli Razon-Feingold</w:t>
            </w:r>
          </w:p>
        </w:tc>
        <w:tc>
          <w:tcPr>
            <w:tcW w:w="5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4"/>
        </w:trPr>
        <w:tc>
          <w:tcPr>
            <w:tcW w:w="112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1"/>
                <w:szCs w:val="11"/>
                <w:color w:val="auto"/>
              </w:rPr>
              <w:t>/S/</w:t>
            </w:r>
          </w:p>
        </w:tc>
        <w:tc>
          <w:tcPr>
            <w:tcW w:w="1880" w:type="dxa"/>
            <w:vAlign w:val="bottom"/>
            <w:tcBorders>
              <w:bottom w:val="single" w:sz="8" w:color="auto"/>
            </w:tcBorders>
          </w:tcPr>
          <w:p>
            <w:pPr>
              <w:jc w:val="center"/>
              <w:ind w:right="833"/>
              <w:spacing w:after="0"/>
              <w:rPr>
                <w:sz w:val="20"/>
                <w:szCs w:val="20"/>
                <w:color w:val="auto"/>
              </w:rPr>
            </w:pPr>
            <w:r>
              <w:rPr>
                <w:rFonts w:ascii="Times New Roman" w:cs="Times New Roman" w:eastAsia="Times New Roman" w:hAnsi="Times New Roman"/>
                <w:sz w:val="13"/>
                <w:szCs w:val="13"/>
                <w:color w:val="auto"/>
              </w:rPr>
              <w:t>R</w:t>
            </w:r>
            <w:r>
              <w:rPr>
                <w:rFonts w:ascii="Times New Roman" w:cs="Times New Roman" w:eastAsia="Times New Roman" w:hAnsi="Times New Roman"/>
                <w:sz w:val="10"/>
                <w:szCs w:val="10"/>
                <w:color w:val="auto"/>
              </w:rPr>
              <w:t>ICHARD</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10"/>
                <w:szCs w:val="10"/>
                <w:color w:val="auto"/>
              </w:rPr>
              <w:t>ALUTE</w:t>
            </w:r>
          </w:p>
        </w:tc>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Director</w:t>
            </w:r>
          </w:p>
        </w:tc>
        <w:tc>
          <w:tcPr>
            <w:tcW w:w="14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6/25/2026</w:t>
            </w:r>
          </w:p>
        </w:tc>
      </w:tr>
      <w:tr>
        <w:trPr>
          <w:trHeight w:val="167"/>
        </w:trPr>
        <w:tc>
          <w:tcPr>
            <w:tcW w:w="940" w:type="dxa"/>
            <w:vAlign w:val="bottom"/>
          </w:tcPr>
          <w:p>
            <w:pPr>
              <w:spacing w:after="0"/>
              <w:rPr>
                <w:sz w:val="14"/>
                <w:szCs w:val="14"/>
                <w:color w:val="auto"/>
              </w:rPr>
            </w:pPr>
          </w:p>
        </w:tc>
        <w:tc>
          <w:tcPr>
            <w:tcW w:w="2060" w:type="dxa"/>
            <w:vAlign w:val="bottom"/>
            <w:gridSpan w:val="2"/>
          </w:tcPr>
          <w:p>
            <w:pPr>
              <w:jc w:val="center"/>
              <w:ind w:right="873"/>
              <w:spacing w:after="0"/>
              <w:rPr>
                <w:sz w:val="20"/>
                <w:szCs w:val="20"/>
                <w:color w:val="auto"/>
              </w:rPr>
            </w:pPr>
            <w:r>
              <w:rPr>
                <w:rFonts w:ascii="Times New Roman" w:cs="Times New Roman" w:eastAsia="Times New Roman" w:hAnsi="Times New Roman"/>
                <w:sz w:val="13"/>
                <w:szCs w:val="13"/>
                <w:b w:val="1"/>
                <w:bCs w:val="1"/>
                <w:color w:val="auto"/>
              </w:rPr>
              <w:t>Richard Salute</w:t>
            </w:r>
          </w:p>
        </w:tc>
        <w:tc>
          <w:tcPr>
            <w:tcW w:w="5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4"/>
        </w:trPr>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97"/>
              </w:rPr>
              <w:t>/S/</w:t>
            </w:r>
          </w:p>
        </w:tc>
        <w:tc>
          <w:tcPr>
            <w:tcW w:w="1880" w:type="dxa"/>
            <w:vAlign w:val="bottom"/>
            <w:tcBorders>
              <w:bottom w:val="single" w:sz="8" w:color="auto"/>
            </w:tcBorders>
          </w:tcPr>
          <w:p>
            <w:pPr>
              <w:jc w:val="center"/>
              <w:ind w:right="833"/>
              <w:spacing w:after="0"/>
              <w:rPr>
                <w:sz w:val="20"/>
                <w:szCs w:val="20"/>
                <w:color w:val="auto"/>
              </w:rPr>
            </w:pPr>
            <w:r>
              <w:rPr>
                <w:rFonts w:ascii="Times New Roman" w:cs="Times New Roman" w:eastAsia="Times New Roman" w:hAnsi="Times New Roman"/>
                <w:sz w:val="13"/>
                <w:szCs w:val="13"/>
                <w:color w:val="auto"/>
              </w:rPr>
              <w:t>G</w:t>
            </w:r>
            <w:r>
              <w:rPr>
                <w:rFonts w:ascii="Times New Roman" w:cs="Times New Roman" w:eastAsia="Times New Roman" w:hAnsi="Times New Roman"/>
                <w:sz w:val="10"/>
                <w:szCs w:val="10"/>
                <w:color w:val="auto"/>
              </w:rPr>
              <w:t>REGORY</w:t>
            </w:r>
            <w:r>
              <w:rPr>
                <w:rFonts w:ascii="Times New Roman" w:cs="Times New Roman" w:eastAsia="Times New Roman" w:hAnsi="Times New Roman"/>
                <w:sz w:val="13"/>
                <w:szCs w:val="13"/>
                <w:color w:val="auto"/>
              </w:rPr>
              <w:t xml:space="preserve"> Z</w:t>
            </w:r>
            <w:r>
              <w:rPr>
                <w:rFonts w:ascii="Times New Roman" w:cs="Times New Roman" w:eastAsia="Times New Roman" w:hAnsi="Times New Roman"/>
                <w:sz w:val="10"/>
                <w:szCs w:val="10"/>
                <w:color w:val="auto"/>
              </w:rPr>
              <w:t>INK</w:t>
            </w:r>
          </w:p>
        </w:tc>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Director</w:t>
            </w:r>
          </w:p>
        </w:tc>
        <w:tc>
          <w:tcPr>
            <w:tcW w:w="14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6/25/2026</w:t>
            </w:r>
          </w:p>
        </w:tc>
      </w:tr>
      <w:tr>
        <w:trPr>
          <w:trHeight w:val="167"/>
        </w:trPr>
        <w:tc>
          <w:tcPr>
            <w:tcW w:w="940" w:type="dxa"/>
            <w:vAlign w:val="bottom"/>
          </w:tcPr>
          <w:p>
            <w:pPr>
              <w:spacing w:after="0"/>
              <w:rPr>
                <w:sz w:val="14"/>
                <w:szCs w:val="14"/>
                <w:color w:val="auto"/>
              </w:rPr>
            </w:pPr>
          </w:p>
        </w:tc>
        <w:tc>
          <w:tcPr>
            <w:tcW w:w="2060" w:type="dxa"/>
            <w:vAlign w:val="bottom"/>
            <w:gridSpan w:val="2"/>
          </w:tcPr>
          <w:p>
            <w:pPr>
              <w:jc w:val="center"/>
              <w:ind w:right="873"/>
              <w:spacing w:after="0"/>
              <w:rPr>
                <w:sz w:val="20"/>
                <w:szCs w:val="20"/>
                <w:color w:val="auto"/>
              </w:rPr>
            </w:pPr>
            <w:r>
              <w:rPr>
                <w:rFonts w:ascii="Times New Roman" w:cs="Times New Roman" w:eastAsia="Times New Roman" w:hAnsi="Times New Roman"/>
                <w:sz w:val="13"/>
                <w:szCs w:val="13"/>
                <w:b w:val="1"/>
                <w:bCs w:val="1"/>
                <w:color w:val="auto"/>
              </w:rPr>
              <w:t>Gregory L. Zink</w:t>
            </w:r>
          </w:p>
        </w:tc>
        <w:tc>
          <w:tcPr>
            <w:tcW w:w="5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4"/>
        </w:trPr>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97"/>
              </w:rPr>
              <w:t>/S/</w:t>
            </w:r>
          </w:p>
        </w:tc>
        <w:tc>
          <w:tcPr>
            <w:tcW w:w="1880" w:type="dxa"/>
            <w:vAlign w:val="bottom"/>
            <w:tcBorders>
              <w:bottom w:val="single" w:sz="8" w:color="auto"/>
            </w:tcBorders>
          </w:tcPr>
          <w:p>
            <w:pPr>
              <w:jc w:val="center"/>
              <w:ind w:right="833"/>
              <w:spacing w:after="0"/>
              <w:rPr>
                <w:sz w:val="20"/>
                <w:szCs w:val="20"/>
                <w:color w:val="auto"/>
              </w:rPr>
            </w:pPr>
            <w:r>
              <w:rPr>
                <w:rFonts w:ascii="Times New Roman" w:cs="Times New Roman" w:eastAsia="Times New Roman" w:hAnsi="Times New Roman"/>
                <w:sz w:val="13"/>
                <w:szCs w:val="13"/>
                <w:color w:val="auto"/>
              </w:rPr>
              <w:t>C</w:t>
            </w:r>
            <w:r>
              <w:rPr>
                <w:rFonts w:ascii="Times New Roman" w:cs="Times New Roman" w:eastAsia="Times New Roman" w:hAnsi="Times New Roman"/>
                <w:sz w:val="10"/>
                <w:szCs w:val="10"/>
                <w:color w:val="auto"/>
              </w:rPr>
              <w:t>RAIG</w:t>
            </w:r>
            <w:r>
              <w:rPr>
                <w:rFonts w:ascii="Times New Roman" w:cs="Times New Roman" w:eastAsia="Times New Roman" w:hAnsi="Times New Roman"/>
                <w:sz w:val="13"/>
                <w:szCs w:val="13"/>
                <w:color w:val="auto"/>
              </w:rPr>
              <w:t xml:space="preserve"> B</w:t>
            </w:r>
            <w:r>
              <w:rPr>
                <w:rFonts w:ascii="Times New Roman" w:cs="Times New Roman" w:eastAsia="Times New Roman" w:hAnsi="Times New Roman"/>
                <w:sz w:val="10"/>
                <w:szCs w:val="10"/>
                <w:color w:val="auto"/>
              </w:rPr>
              <w:t>RUNET</w:t>
            </w:r>
          </w:p>
        </w:tc>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Director</w:t>
            </w:r>
          </w:p>
        </w:tc>
        <w:tc>
          <w:tcPr>
            <w:tcW w:w="14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6/25/2026</w:t>
            </w:r>
          </w:p>
        </w:tc>
      </w:tr>
      <w:tr>
        <w:trPr>
          <w:trHeight w:val="167"/>
        </w:trPr>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jc w:val="center"/>
              <w:ind w:right="1053"/>
              <w:spacing w:after="0"/>
              <w:rPr>
                <w:sz w:val="20"/>
                <w:szCs w:val="20"/>
                <w:color w:val="auto"/>
              </w:rPr>
            </w:pPr>
            <w:r>
              <w:rPr>
                <w:rFonts w:ascii="Times New Roman" w:cs="Times New Roman" w:eastAsia="Times New Roman" w:hAnsi="Times New Roman"/>
                <w:sz w:val="13"/>
                <w:szCs w:val="13"/>
                <w:b w:val="1"/>
                <w:bCs w:val="1"/>
                <w:color w:val="auto"/>
              </w:rPr>
              <w:t>Craig Brunet</w:t>
            </w:r>
          </w:p>
        </w:tc>
        <w:tc>
          <w:tcPr>
            <w:tcW w:w="5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4"/>
        </w:trPr>
        <w:tc>
          <w:tcPr>
            <w:tcW w:w="3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color w:val="auto"/>
              </w:rPr>
              <w:t xml:space="preserve">/S/  </w:t>
            </w:r>
            <w:r>
              <w:rPr>
                <w:rFonts w:ascii="Times New Roman" w:cs="Times New Roman" w:eastAsia="Times New Roman" w:hAnsi="Times New Roman"/>
                <w:sz w:val="13"/>
                <w:szCs w:val="13"/>
                <w:color w:val="auto"/>
              </w:rPr>
              <w:t>F</w:t>
            </w:r>
            <w:r>
              <w:rPr>
                <w:rFonts w:ascii="Times New Roman" w:cs="Times New Roman" w:eastAsia="Times New Roman" w:hAnsi="Times New Roman"/>
                <w:sz w:val="11"/>
                <w:szCs w:val="11"/>
                <w:color w:val="auto"/>
              </w:rPr>
              <w:t xml:space="preserve">ERNANDO </w:t>
            </w:r>
            <w:r>
              <w:rPr>
                <w:rFonts w:ascii="Times New Roman" w:cs="Times New Roman" w:eastAsia="Times New Roman" w:hAnsi="Times New Roman"/>
                <w:sz w:val="13"/>
                <w:szCs w:val="13"/>
                <w:color w:val="auto"/>
              </w:rPr>
              <w:t>P</w:t>
            </w:r>
            <w:r>
              <w:rPr>
                <w:rFonts w:ascii="Times New Roman" w:cs="Times New Roman" w:eastAsia="Times New Roman" w:hAnsi="Times New Roman"/>
                <w:sz w:val="11"/>
                <w:szCs w:val="11"/>
                <w:color w:val="auto"/>
              </w:rPr>
              <w:t>EREZ-</w:t>
            </w:r>
            <w:r>
              <w:rPr>
                <w:rFonts w:ascii="Times New Roman" w:cs="Times New Roman" w:eastAsia="Times New Roman" w:hAnsi="Times New Roman"/>
                <w:sz w:val="13"/>
                <w:szCs w:val="13"/>
                <w:color w:val="auto"/>
              </w:rPr>
              <w:t>H</w:t>
            </w:r>
            <w:r>
              <w:rPr>
                <w:rFonts w:ascii="Times New Roman" w:cs="Times New Roman" w:eastAsia="Times New Roman" w:hAnsi="Times New Roman"/>
                <w:sz w:val="11"/>
                <w:szCs w:val="11"/>
                <w:color w:val="auto"/>
              </w:rPr>
              <w:t>ICKMAN</w:t>
            </w:r>
          </w:p>
        </w:tc>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Director</w:t>
            </w:r>
          </w:p>
        </w:tc>
        <w:tc>
          <w:tcPr>
            <w:tcW w:w="14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6/25/2026</w:t>
            </w:r>
          </w:p>
        </w:tc>
      </w:tr>
      <w:tr>
        <w:trPr>
          <w:trHeight w:val="167"/>
        </w:trPr>
        <w:tc>
          <w:tcPr>
            <w:tcW w:w="30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Fernando Perez-Hickman</w:t>
            </w:r>
          </w:p>
        </w:tc>
        <w:tc>
          <w:tcPr>
            <w:tcW w:w="5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4"/>
        </w:trPr>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81"/>
              </w:rPr>
              <w:t>/S/</w:t>
            </w:r>
          </w:p>
        </w:tc>
        <w:tc>
          <w:tcPr>
            <w:tcW w:w="1880" w:type="dxa"/>
            <w:vAlign w:val="bottom"/>
            <w:tcBorders>
              <w:bottom w:val="single" w:sz="8" w:color="auto"/>
            </w:tcBorders>
          </w:tcPr>
          <w:p>
            <w:pPr>
              <w:jc w:val="center"/>
              <w:ind w:right="833"/>
              <w:spacing w:after="0"/>
              <w:rPr>
                <w:sz w:val="20"/>
                <w:szCs w:val="20"/>
                <w:color w:val="auto"/>
              </w:rPr>
            </w:pPr>
            <w:r>
              <w:rPr>
                <w:rFonts w:ascii="Times New Roman" w:cs="Times New Roman" w:eastAsia="Times New Roman" w:hAnsi="Times New Roman"/>
                <w:sz w:val="13"/>
                <w:szCs w:val="13"/>
                <w:color w:val="auto"/>
              </w:rPr>
              <w:t>P</w:t>
            </w:r>
            <w:r>
              <w:rPr>
                <w:rFonts w:ascii="Times New Roman" w:cs="Times New Roman" w:eastAsia="Times New Roman" w:hAnsi="Times New Roman"/>
                <w:sz w:val="10"/>
                <w:szCs w:val="10"/>
                <w:color w:val="auto"/>
              </w:rPr>
              <w:t>ETER</w:t>
            </w:r>
            <w:r>
              <w:rPr>
                <w:rFonts w:ascii="Times New Roman" w:cs="Times New Roman" w:eastAsia="Times New Roman" w:hAnsi="Times New Roman"/>
                <w:sz w:val="13"/>
                <w:szCs w:val="13"/>
                <w:color w:val="auto"/>
              </w:rPr>
              <w:t xml:space="preserve"> D</w:t>
            </w:r>
            <w:r>
              <w:rPr>
                <w:rFonts w:ascii="Times New Roman" w:cs="Times New Roman" w:eastAsia="Times New Roman" w:hAnsi="Times New Roman"/>
                <w:sz w:val="10"/>
                <w:szCs w:val="10"/>
                <w:color w:val="auto"/>
              </w:rPr>
              <w:t>OWNS</w:t>
            </w:r>
          </w:p>
        </w:tc>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Director and President, Newtek Bank, N.A.</w:t>
            </w:r>
          </w:p>
        </w:tc>
        <w:tc>
          <w:tcPr>
            <w:tcW w:w="14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6/25/2026</w:t>
            </w:r>
          </w:p>
        </w:tc>
      </w:tr>
      <w:tr>
        <w:trPr>
          <w:trHeight w:val="167"/>
        </w:trPr>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jc w:val="center"/>
              <w:ind w:right="1053"/>
              <w:spacing w:after="0"/>
              <w:rPr>
                <w:sz w:val="20"/>
                <w:szCs w:val="20"/>
                <w:color w:val="auto"/>
              </w:rPr>
            </w:pPr>
            <w:r>
              <w:rPr>
                <w:rFonts w:ascii="Times New Roman" w:cs="Times New Roman" w:eastAsia="Times New Roman" w:hAnsi="Times New Roman"/>
                <w:sz w:val="13"/>
                <w:szCs w:val="13"/>
                <w:b w:val="1"/>
                <w:bCs w:val="1"/>
                <w:color w:val="auto"/>
              </w:rPr>
              <w:t>Peter Downs</w:t>
            </w:r>
          </w:p>
        </w:tc>
        <w:tc>
          <w:tcPr>
            <w:tcW w:w="5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4"/>
        </w:trPr>
        <w:tc>
          <w:tcPr>
            <w:tcW w:w="112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1"/>
                <w:szCs w:val="11"/>
                <w:color w:val="auto"/>
              </w:rPr>
              <w:t>/S/</w:t>
            </w:r>
          </w:p>
        </w:tc>
        <w:tc>
          <w:tcPr>
            <w:tcW w:w="1880" w:type="dxa"/>
            <w:vAlign w:val="bottom"/>
            <w:tcBorders>
              <w:bottom w:val="single" w:sz="8" w:color="auto"/>
            </w:tcBorders>
          </w:tcPr>
          <w:p>
            <w:pPr>
              <w:jc w:val="center"/>
              <w:ind w:right="833"/>
              <w:spacing w:after="0"/>
              <w:rPr>
                <w:sz w:val="20"/>
                <w:szCs w:val="20"/>
                <w:color w:val="auto"/>
              </w:rPr>
            </w:pPr>
            <w:r>
              <w:rPr>
                <w:rFonts w:ascii="Times New Roman" w:cs="Times New Roman" w:eastAsia="Times New Roman" w:hAnsi="Times New Roman"/>
                <w:sz w:val="13"/>
                <w:szCs w:val="13"/>
                <w:color w:val="auto"/>
              </w:rPr>
              <w:t>T</w:t>
            </w:r>
            <w:r>
              <w:rPr>
                <w:rFonts w:ascii="Times New Roman" w:cs="Times New Roman" w:eastAsia="Times New Roman" w:hAnsi="Times New Roman"/>
                <w:sz w:val="10"/>
                <w:szCs w:val="10"/>
                <w:color w:val="auto"/>
              </w:rPr>
              <w:t>HOMAS</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10"/>
                <w:szCs w:val="10"/>
                <w:color w:val="auto"/>
              </w:rPr>
              <w:t>ESTARE</w:t>
            </w:r>
          </w:p>
        </w:tc>
        <w:tc>
          <w:tcPr>
            <w:tcW w:w="5500" w:type="dxa"/>
            <w:vAlign w:val="bottom"/>
          </w:tcPr>
          <w:p>
            <w:pPr>
              <w:spacing w:after="0"/>
              <w:rPr>
                <w:sz w:val="20"/>
                <w:szCs w:val="20"/>
                <w:color w:val="auto"/>
              </w:rPr>
            </w:pPr>
            <w:r>
              <w:rPr>
                <w:rFonts w:ascii="Times New Roman" w:cs="Times New Roman" w:eastAsia="Times New Roman" w:hAnsi="Times New Roman"/>
                <w:sz w:val="13"/>
                <w:szCs w:val="13"/>
                <w:color w:val="auto"/>
              </w:rPr>
              <w:t>Director</w:t>
            </w:r>
          </w:p>
        </w:tc>
        <w:tc>
          <w:tcPr>
            <w:tcW w:w="14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6/25/2026</w:t>
            </w:r>
          </w:p>
        </w:tc>
      </w:tr>
      <w:tr>
        <w:trPr>
          <w:trHeight w:val="167"/>
        </w:trPr>
        <w:tc>
          <w:tcPr>
            <w:tcW w:w="940" w:type="dxa"/>
            <w:vAlign w:val="bottom"/>
          </w:tcPr>
          <w:p>
            <w:pPr>
              <w:spacing w:after="0"/>
              <w:rPr>
                <w:sz w:val="14"/>
                <w:szCs w:val="14"/>
                <w:color w:val="auto"/>
              </w:rPr>
            </w:pPr>
          </w:p>
        </w:tc>
        <w:tc>
          <w:tcPr>
            <w:tcW w:w="2060" w:type="dxa"/>
            <w:vAlign w:val="bottom"/>
            <w:gridSpan w:val="2"/>
          </w:tcPr>
          <w:p>
            <w:pPr>
              <w:jc w:val="center"/>
              <w:ind w:right="873"/>
              <w:spacing w:after="0"/>
              <w:rPr>
                <w:sz w:val="20"/>
                <w:szCs w:val="20"/>
                <w:color w:val="auto"/>
              </w:rPr>
            </w:pPr>
            <w:r>
              <w:rPr>
                <w:rFonts w:ascii="Times New Roman" w:cs="Times New Roman" w:eastAsia="Times New Roman" w:hAnsi="Times New Roman"/>
                <w:sz w:val="13"/>
                <w:szCs w:val="13"/>
                <w:b w:val="1"/>
                <w:bCs w:val="1"/>
                <w:color w:val="auto"/>
              </w:rPr>
              <w:t>Thomas Cestare</w:t>
            </w:r>
          </w:p>
        </w:tc>
        <w:tc>
          <w:tcPr>
            <w:tcW w:w="550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264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92645" cy="38100"/>
                    </a:xfrm>
                    <a:prstGeom prst="rect">
                      <a:avLst/>
                    </a:prstGeom>
                    <a:noFill/>
                  </pic:spPr>
                </pic:pic>
              </a:graphicData>
            </a:graphic>
          </wp:anchor>
        </w:drawing>
      </w:r>
    </w:p>
    <w:p>
      <w:pPr>
        <w:sectPr>
          <w:pgSz w:w="11900" w:h="16838" w:orient="portrait"/>
          <w:cols w:equalWidth="0" w:num="1">
            <w:col w:w="11280"/>
          </w:cols>
          <w:pgMar w:left="300" w:top="685" w:right="31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3"/>
          <w:szCs w:val="13"/>
          <w:color w:val="auto"/>
        </w:rPr>
        <w:t>II-6</w:t>
      </w:r>
    </w:p>
    <w:p>
      <w:pPr>
        <w:sectPr>
          <w:pgSz w:w="11900" w:h="16838" w:orient="portrait"/>
          <w:cols w:equalWidth="0" w:num="1">
            <w:col w:w="9019"/>
          </w:cols>
          <w:pgMar w:left="1440" w:top="1291" w:right="1440" w:bottom="1440" w:gutter="0" w:footer="0" w:header="0"/>
        </w:sectPr>
      </w:pPr>
    </w:p>
    <w:bookmarkStart w:id="50" w:name="page51"/>
    <w:bookmarkEnd w:id="50"/>
    <w:p>
      <w:pPr>
        <w:spacing w:after="0" w:line="62" w:lineRule="exact"/>
        <w:rPr>
          <w:sz w:val="20"/>
          <w:szCs w:val="20"/>
          <w:color w:val="auto"/>
        </w:rPr>
      </w:pPr>
    </w:p>
    <w:p>
      <w:pPr>
        <w:ind w:left="3580"/>
        <w:spacing w:after="0"/>
        <w:rPr>
          <w:sz w:val="20"/>
          <w:szCs w:val="20"/>
          <w:color w:val="auto"/>
        </w:rPr>
      </w:pPr>
      <w:r>
        <w:rPr>
          <w:rFonts w:ascii="Arial" w:cs="Arial" w:eastAsia="Arial" w:hAnsi="Arial"/>
          <w:sz w:val="27"/>
          <w:szCs w:val="27"/>
          <w:b w:val="1"/>
          <w:bCs w:val="1"/>
          <w:color w:val="auto"/>
        </w:rPr>
        <w:t>Calculation of Filing Fee Tables</w:t>
      </w:r>
    </w:p>
    <w:p>
      <w:pPr>
        <w:spacing w:after="0" w:line="161"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1"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NewtekOne, Inc.</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5"/>
        </w:trPr>
        <w:tc>
          <w:tcPr>
            <w:tcW w:w="1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9"/>
              </w:rPr>
              <w:t>Filing Fee</w:t>
            </w:r>
          </w:p>
        </w:tc>
        <w:tc>
          <w:tcPr>
            <w:tcW w:w="0" w:type="dxa"/>
            <w:vAlign w:val="bottom"/>
          </w:tcPr>
          <w:p>
            <w:pPr>
              <w:spacing w:after="0"/>
              <w:rPr>
                <w:sz w:val="1"/>
                <w:szCs w:val="1"/>
                <w:color w:val="auto"/>
              </w:rPr>
            </w:pPr>
          </w:p>
        </w:tc>
      </w:tr>
      <w:tr>
        <w:trPr>
          <w:trHeight w:val="181"/>
        </w:trPr>
        <w:tc>
          <w:tcPr>
            <w:tcW w:w="1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1"/>
        </w:trPr>
        <w:tc>
          <w:tcPr>
            <w:tcW w:w="1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88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161"/>
        </w:trPr>
        <w:tc>
          <w:tcPr>
            <w:tcW w:w="1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Carry</w:t>
            </w:r>
          </w:p>
        </w:tc>
        <w:tc>
          <w:tcPr>
            <w:tcW w:w="7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Carry</w:t>
            </w:r>
          </w:p>
        </w:tc>
        <w:tc>
          <w:tcPr>
            <w:tcW w:w="700" w:type="dxa"/>
            <w:vAlign w:val="bottom"/>
            <w:vMerge w:val="continue"/>
          </w:tcPr>
          <w:p>
            <w:pPr>
              <w:spacing w:after="0"/>
              <w:rPr>
                <w:sz w:val="14"/>
                <w:szCs w:val="14"/>
                <w:color w:val="auto"/>
              </w:rPr>
            </w:pPr>
          </w:p>
        </w:tc>
        <w:tc>
          <w:tcPr>
            <w:tcW w:w="9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181"/>
        </w:trPr>
        <w:tc>
          <w:tcPr>
            <w:tcW w:w="1820" w:type="dxa"/>
            <w:vAlign w:val="bottom"/>
          </w:tcPr>
          <w:p>
            <w:pPr>
              <w:jc w:val="center"/>
              <w:ind w:left="860"/>
              <w:spacing w:after="0" w:line="181" w:lineRule="exact"/>
              <w:rPr>
                <w:sz w:val="20"/>
                <w:szCs w:val="20"/>
                <w:color w:val="auto"/>
              </w:rPr>
            </w:pPr>
            <w:r>
              <w:rPr>
                <w:rFonts w:ascii="Arial" w:cs="Arial" w:eastAsia="Arial" w:hAnsi="Arial"/>
                <w:sz w:val="16"/>
                <w:szCs w:val="16"/>
                <w:b w:val="1"/>
                <w:bCs w:val="1"/>
                <w:color w:val="auto"/>
              </w:rPr>
              <w:t>Security</w:t>
            </w:r>
          </w:p>
        </w:tc>
        <w:tc>
          <w:tcPr>
            <w:tcW w:w="9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Security</w:t>
            </w: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Calculation</w:t>
            </w:r>
          </w:p>
        </w:tc>
        <w:tc>
          <w:tcPr>
            <w:tcW w:w="8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Amount</w:t>
            </w:r>
          </w:p>
        </w:tc>
        <w:tc>
          <w:tcPr>
            <w:tcW w:w="8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Maximum</w:t>
            </w:r>
          </w:p>
        </w:tc>
        <w:tc>
          <w:tcPr>
            <w:tcW w:w="11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Maximum</w:t>
            </w:r>
          </w:p>
        </w:tc>
        <w:tc>
          <w:tcPr>
            <w:tcW w:w="1780" w:type="dxa"/>
            <w:vAlign w:val="bottom"/>
          </w:tcPr>
          <w:p>
            <w:pPr>
              <w:jc w:val="center"/>
              <w:ind w:left="740"/>
              <w:spacing w:after="0" w:line="181" w:lineRule="exact"/>
              <w:rPr>
                <w:sz w:val="20"/>
                <w:szCs w:val="20"/>
                <w:color w:val="auto"/>
              </w:rPr>
            </w:pPr>
            <w:r>
              <w:rPr>
                <w:rFonts w:ascii="Arial" w:cs="Arial" w:eastAsia="Arial" w:hAnsi="Arial"/>
                <w:sz w:val="16"/>
                <w:szCs w:val="16"/>
                <w:b w:val="1"/>
                <w:bCs w:val="1"/>
                <w:color w:val="auto"/>
                <w:w w:val="99"/>
              </w:rPr>
              <w:t>Amount of</w:t>
            </w:r>
          </w:p>
        </w:tc>
        <w:tc>
          <w:tcPr>
            <w:tcW w:w="1380" w:type="dxa"/>
            <w:vAlign w:val="bottom"/>
            <w:gridSpan w:val="2"/>
          </w:tcPr>
          <w:p>
            <w:pPr>
              <w:ind w:left="40"/>
              <w:spacing w:after="0" w:line="181" w:lineRule="exact"/>
              <w:rPr>
                <w:sz w:val="20"/>
                <w:szCs w:val="20"/>
                <w:color w:val="auto"/>
              </w:rPr>
            </w:pPr>
            <w:r>
              <w:rPr>
                <w:rFonts w:ascii="Arial" w:cs="Arial" w:eastAsia="Arial" w:hAnsi="Arial"/>
                <w:sz w:val="16"/>
                <w:szCs w:val="16"/>
                <w:b w:val="1"/>
                <w:bCs w:val="1"/>
                <w:color w:val="auto"/>
              </w:rPr>
              <w:t>Forward Forward</w:t>
            </w:r>
          </w:p>
        </w:tc>
        <w:tc>
          <w:tcPr>
            <w:tcW w:w="7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Forward</w:t>
            </w: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1"/>
        </w:trPr>
        <w:tc>
          <w:tcPr>
            <w:tcW w:w="1820" w:type="dxa"/>
            <w:vAlign w:val="bottom"/>
          </w:tcPr>
          <w:p>
            <w:pPr>
              <w:jc w:val="center"/>
              <w:ind w:left="860"/>
              <w:spacing w:after="0" w:line="181" w:lineRule="exact"/>
              <w:rPr>
                <w:sz w:val="20"/>
                <w:szCs w:val="20"/>
                <w:color w:val="auto"/>
              </w:rPr>
            </w:pPr>
            <w:r>
              <w:rPr>
                <w:rFonts w:ascii="Arial" w:cs="Arial" w:eastAsia="Arial" w:hAnsi="Arial"/>
                <w:sz w:val="16"/>
                <w:szCs w:val="16"/>
                <w:b w:val="1"/>
                <w:bCs w:val="1"/>
                <w:color w:val="auto"/>
                <w:w w:val="96"/>
              </w:rPr>
              <w:t>Type</w:t>
            </w:r>
          </w:p>
        </w:tc>
        <w:tc>
          <w:tcPr>
            <w:tcW w:w="9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Class Title</w:t>
            </w: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or Carry</w:t>
            </w:r>
          </w:p>
        </w:tc>
        <w:tc>
          <w:tcPr>
            <w:tcW w:w="8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Registered</w:t>
            </w:r>
          </w:p>
        </w:tc>
        <w:tc>
          <w:tcPr>
            <w:tcW w:w="8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Offering</w:t>
            </w:r>
          </w:p>
        </w:tc>
        <w:tc>
          <w:tcPr>
            <w:tcW w:w="11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Aggregate</w:t>
            </w:r>
          </w:p>
        </w:tc>
        <w:tc>
          <w:tcPr>
            <w:tcW w:w="1780" w:type="dxa"/>
            <w:vAlign w:val="bottom"/>
          </w:tcPr>
          <w:p>
            <w:pPr>
              <w:ind w:left="60"/>
              <w:spacing w:after="0" w:line="181" w:lineRule="exact"/>
              <w:rPr>
                <w:sz w:val="20"/>
                <w:szCs w:val="20"/>
                <w:color w:val="auto"/>
              </w:rPr>
            </w:pPr>
            <w:r>
              <w:rPr>
                <w:rFonts w:ascii="Arial" w:cs="Arial" w:eastAsia="Arial" w:hAnsi="Arial"/>
                <w:sz w:val="16"/>
                <w:szCs w:val="16"/>
                <w:b w:val="1"/>
                <w:bCs w:val="1"/>
                <w:color w:val="auto"/>
              </w:rPr>
              <w:t>Fee Rate Registration</w:t>
            </w:r>
          </w:p>
        </w:tc>
        <w:tc>
          <w:tcPr>
            <w:tcW w:w="6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Form</w:t>
            </w:r>
          </w:p>
        </w:tc>
        <w:tc>
          <w:tcPr>
            <w:tcW w:w="7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4"/>
              </w:rPr>
              <w:t>File</w:t>
            </w:r>
          </w:p>
        </w:tc>
        <w:tc>
          <w:tcPr>
            <w:tcW w:w="7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Initial</w:t>
            </w: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Unsold</w:t>
            </w:r>
          </w:p>
        </w:tc>
        <w:tc>
          <w:tcPr>
            <w:tcW w:w="0" w:type="dxa"/>
            <w:vAlign w:val="bottom"/>
          </w:tcPr>
          <w:p>
            <w:pPr>
              <w:spacing w:after="0"/>
              <w:rPr>
                <w:sz w:val="1"/>
                <w:szCs w:val="1"/>
                <w:color w:val="auto"/>
              </w:rPr>
            </w:pPr>
          </w:p>
        </w:tc>
      </w:tr>
      <w:tr>
        <w:trPr>
          <w:trHeight w:val="181"/>
        </w:trPr>
        <w:tc>
          <w:tcPr>
            <w:tcW w:w="1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Forward</w:t>
            </w:r>
          </w:p>
        </w:tc>
        <w:tc>
          <w:tcPr>
            <w:tcW w:w="880" w:type="dxa"/>
            <w:vAlign w:val="bottom"/>
          </w:tcPr>
          <w:p>
            <w:pPr>
              <w:spacing w:after="0"/>
              <w:rPr>
                <w:sz w:val="15"/>
                <w:szCs w:val="15"/>
                <w:color w:val="auto"/>
              </w:rPr>
            </w:pPr>
          </w:p>
        </w:tc>
        <w:tc>
          <w:tcPr>
            <w:tcW w:w="8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Price Per</w:t>
            </w:r>
          </w:p>
        </w:tc>
        <w:tc>
          <w:tcPr>
            <w:tcW w:w="11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Offering Price</w:t>
            </w:r>
          </w:p>
        </w:tc>
        <w:tc>
          <w:tcPr>
            <w:tcW w:w="1780" w:type="dxa"/>
            <w:vAlign w:val="bottom"/>
          </w:tcPr>
          <w:p>
            <w:pPr>
              <w:jc w:val="center"/>
              <w:ind w:left="740"/>
              <w:spacing w:after="0" w:line="181" w:lineRule="exact"/>
              <w:rPr>
                <w:sz w:val="20"/>
                <w:szCs w:val="20"/>
                <w:color w:val="auto"/>
              </w:rPr>
            </w:pPr>
            <w:r>
              <w:rPr>
                <w:rFonts w:ascii="Arial" w:cs="Arial" w:eastAsia="Arial" w:hAnsi="Arial"/>
                <w:sz w:val="16"/>
                <w:szCs w:val="16"/>
                <w:b w:val="1"/>
                <w:bCs w:val="1"/>
                <w:color w:val="auto"/>
              </w:rPr>
              <w:t>Fee</w:t>
            </w:r>
          </w:p>
        </w:tc>
        <w:tc>
          <w:tcPr>
            <w:tcW w:w="6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Type</w:t>
            </w:r>
          </w:p>
        </w:tc>
        <w:tc>
          <w:tcPr>
            <w:tcW w:w="7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Number</w:t>
            </w:r>
          </w:p>
        </w:tc>
        <w:tc>
          <w:tcPr>
            <w:tcW w:w="7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Effective</w:t>
            </w:r>
          </w:p>
        </w:tc>
        <w:tc>
          <w:tcPr>
            <w:tcW w:w="9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35"/>
        </w:trPr>
        <w:tc>
          <w:tcPr>
            <w:tcW w:w="1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94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Rule</w:t>
            </w:r>
          </w:p>
        </w:tc>
        <w:tc>
          <w:tcPr>
            <w:tcW w:w="880" w:type="dxa"/>
            <w:vAlign w:val="bottom"/>
          </w:tcPr>
          <w:p>
            <w:pPr>
              <w:spacing w:after="0"/>
              <w:rPr>
                <w:sz w:val="3"/>
                <w:szCs w:val="3"/>
                <w:color w:val="auto"/>
              </w:rPr>
            </w:pPr>
          </w:p>
        </w:tc>
        <w:tc>
          <w:tcPr>
            <w:tcW w:w="80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Unit</w:t>
            </w:r>
          </w:p>
        </w:tc>
        <w:tc>
          <w:tcPr>
            <w:tcW w:w="11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Date</w:t>
            </w: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-827405</wp:posOffset>
            </wp:positionV>
            <wp:extent cx="7216775" cy="5650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216775" cy="5650865"/>
                    </a:xfrm>
                    <a:prstGeom prst="rect">
                      <a:avLst/>
                    </a:prstGeom>
                    <a:noFill/>
                  </pic:spPr>
                </pic:pic>
              </a:graphicData>
            </a:graphic>
          </wp:anchor>
        </w:drawing>
      </w:r>
    </w:p>
    <w:p>
      <w:pPr>
        <w:jc w:val="center"/>
        <w:ind w:left="10480"/>
        <w:spacing w:after="0" w:line="235" w:lineRule="auto"/>
        <w:rPr>
          <w:sz w:val="20"/>
          <w:szCs w:val="20"/>
          <w:color w:val="auto"/>
        </w:rPr>
      </w:pPr>
      <w:r>
        <w:rPr>
          <w:rFonts w:ascii="Arial" w:cs="Arial" w:eastAsia="Arial" w:hAnsi="Arial"/>
          <w:sz w:val="16"/>
          <w:szCs w:val="16"/>
          <w:b w:val="1"/>
          <w:bCs w:val="1"/>
          <w:color w:val="auto"/>
        </w:rPr>
        <w:t>to be</w:t>
      </w:r>
    </w:p>
    <w:p>
      <w:pPr>
        <w:jc w:val="center"/>
        <w:ind w:left="10480"/>
        <w:spacing w:after="0" w:line="236" w:lineRule="auto"/>
        <w:rPr>
          <w:sz w:val="20"/>
          <w:szCs w:val="20"/>
          <w:color w:val="auto"/>
        </w:rPr>
      </w:pPr>
      <w:r>
        <w:rPr>
          <w:rFonts w:ascii="Arial" w:cs="Arial" w:eastAsia="Arial" w:hAnsi="Arial"/>
          <w:sz w:val="16"/>
          <w:szCs w:val="16"/>
          <w:b w:val="1"/>
          <w:bCs w:val="1"/>
          <w:color w:val="auto"/>
        </w:rPr>
        <w:t>Carried</w:t>
      </w:r>
    </w:p>
    <w:p>
      <w:pPr>
        <w:jc w:val="center"/>
        <w:ind w:left="10480"/>
        <w:spacing w:after="0"/>
        <w:rPr>
          <w:sz w:val="20"/>
          <w:szCs w:val="20"/>
          <w:color w:val="auto"/>
        </w:rPr>
      </w:pPr>
      <w:r>
        <w:rPr>
          <w:rFonts w:ascii="Arial" w:cs="Arial" w:eastAsia="Arial" w:hAnsi="Arial"/>
          <w:sz w:val="16"/>
          <w:szCs w:val="16"/>
          <w:b w:val="1"/>
          <w:bCs w:val="1"/>
          <w:color w:val="auto"/>
        </w:rPr>
        <w:t>Forward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37"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Common</w:t>
      </w:r>
    </w:p>
    <w:p>
      <w:pPr>
        <w:ind w:left="1160"/>
        <w:spacing w:after="0" w:line="190" w:lineRule="auto"/>
        <w:tabs>
          <w:tab w:leader="none" w:pos="1820" w:val="left"/>
          <w:tab w:leader="none" w:pos="3040" w:val="left"/>
        </w:tabs>
        <w:rPr>
          <w:sz w:val="20"/>
          <w:szCs w:val="20"/>
          <w:color w:val="auto"/>
        </w:rPr>
      </w:pPr>
      <w:r>
        <w:rPr>
          <w:rFonts w:ascii="Arial" w:cs="Arial" w:eastAsia="Arial" w:hAnsi="Arial"/>
          <w:sz w:val="13"/>
          <w:szCs w:val="13"/>
          <w:color w:val="auto"/>
        </w:rPr>
        <w:t>Equity</w:t>
      </w:r>
      <w:r>
        <w:rPr>
          <w:sz w:val="20"/>
          <w:szCs w:val="20"/>
          <w:color w:val="auto"/>
        </w:rPr>
        <w:tab/>
      </w:r>
      <w:r>
        <w:rPr>
          <w:rFonts w:ascii="Arial" w:cs="Arial" w:eastAsia="Arial" w:hAnsi="Arial"/>
          <w:sz w:val="22"/>
          <w:szCs w:val="22"/>
          <w:color w:val="auto"/>
          <w:vertAlign w:val="superscript"/>
        </w:rPr>
        <w:t>stock, par</w:t>
      </w:r>
      <w:r>
        <w:rPr>
          <w:sz w:val="20"/>
          <w:szCs w:val="20"/>
          <w:color w:val="auto"/>
        </w:rPr>
        <w:tab/>
      </w:r>
      <w:r>
        <w:rPr>
          <w:rFonts w:ascii="Arial" w:cs="Arial" w:eastAsia="Arial" w:hAnsi="Arial"/>
          <w:sz w:val="13"/>
          <w:szCs w:val="13"/>
          <w:color w:val="auto"/>
        </w:rPr>
        <w:t>457(o)</w:t>
      </w:r>
    </w:p>
    <w:p>
      <w:pPr>
        <w:ind w:left="1840"/>
        <w:spacing w:after="0" w:line="236" w:lineRule="auto"/>
        <w:rPr>
          <w:sz w:val="20"/>
          <w:szCs w:val="20"/>
          <w:color w:val="auto"/>
        </w:rPr>
      </w:pPr>
      <w:r>
        <w:rPr>
          <w:rFonts w:ascii="Arial" w:cs="Arial" w:eastAsia="Arial" w:hAnsi="Arial"/>
          <w:sz w:val="16"/>
          <w:szCs w:val="16"/>
          <w:color w:val="auto"/>
        </w:rPr>
        <w:t>value $0.02</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per share</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Preferred</w:t>
      </w:r>
    </w:p>
    <w:p>
      <w:pPr>
        <w:ind w:left="1160"/>
        <w:spacing w:after="0" w:line="190" w:lineRule="auto"/>
        <w:tabs>
          <w:tab w:leader="none" w:pos="1820" w:val="left"/>
          <w:tab w:leader="none" w:pos="3040" w:val="left"/>
        </w:tabs>
        <w:rPr>
          <w:sz w:val="20"/>
          <w:szCs w:val="20"/>
          <w:color w:val="auto"/>
        </w:rPr>
      </w:pPr>
      <w:r>
        <w:rPr>
          <w:rFonts w:ascii="Arial" w:cs="Arial" w:eastAsia="Arial" w:hAnsi="Arial"/>
          <w:sz w:val="13"/>
          <w:szCs w:val="13"/>
          <w:color w:val="auto"/>
        </w:rPr>
        <w:t>Equity</w:t>
      </w:r>
      <w:r>
        <w:rPr>
          <w:sz w:val="20"/>
          <w:szCs w:val="20"/>
          <w:color w:val="auto"/>
        </w:rPr>
        <w:tab/>
      </w:r>
      <w:r>
        <w:rPr>
          <w:rFonts w:ascii="Arial" w:cs="Arial" w:eastAsia="Arial" w:hAnsi="Arial"/>
          <w:sz w:val="22"/>
          <w:szCs w:val="22"/>
          <w:color w:val="auto"/>
          <w:vertAlign w:val="superscript"/>
        </w:rPr>
        <w:t>Stock, par</w:t>
      </w:r>
      <w:r>
        <w:rPr>
          <w:sz w:val="20"/>
          <w:szCs w:val="20"/>
          <w:color w:val="auto"/>
        </w:rPr>
        <w:tab/>
      </w:r>
      <w:r>
        <w:rPr>
          <w:rFonts w:ascii="Arial" w:cs="Arial" w:eastAsia="Arial" w:hAnsi="Arial"/>
          <w:sz w:val="13"/>
          <w:szCs w:val="13"/>
          <w:color w:val="auto"/>
        </w:rPr>
        <w:t>457(o)</w:t>
      </w:r>
    </w:p>
    <w:p>
      <w:pPr>
        <w:ind w:left="1840"/>
        <w:spacing w:after="0" w:line="236" w:lineRule="auto"/>
        <w:rPr>
          <w:sz w:val="20"/>
          <w:szCs w:val="20"/>
          <w:color w:val="auto"/>
        </w:rPr>
      </w:pPr>
      <w:r>
        <w:rPr>
          <w:rFonts w:ascii="Arial" w:cs="Arial" w:eastAsia="Arial" w:hAnsi="Arial"/>
          <w:sz w:val="16"/>
          <w:szCs w:val="16"/>
          <w:color w:val="auto"/>
        </w:rPr>
        <w:t>value $0.02</w:t>
      </w:r>
    </w:p>
    <w:p>
      <w:pPr>
        <w:ind w:left="1840"/>
        <w:spacing w:after="0"/>
        <w:rPr>
          <w:sz w:val="20"/>
          <w:szCs w:val="20"/>
          <w:color w:val="auto"/>
        </w:rPr>
      </w:pPr>
      <w:r>
        <w:rPr>
          <w:rFonts w:ascii="Arial" w:cs="Arial" w:eastAsia="Arial" w:hAnsi="Arial"/>
          <w:sz w:val="16"/>
          <w:szCs w:val="16"/>
          <w:color w:val="auto"/>
        </w:rPr>
        <w:t>per share</w:t>
      </w:r>
    </w:p>
    <w:p>
      <w:pPr>
        <w:ind w:left="1160"/>
        <w:spacing w:after="0" w:line="189" w:lineRule="auto"/>
        <w:tabs>
          <w:tab w:leader="none" w:pos="1820" w:val="left"/>
          <w:tab w:leader="none" w:pos="3040" w:val="left"/>
        </w:tabs>
        <w:rPr>
          <w:sz w:val="20"/>
          <w:szCs w:val="20"/>
          <w:color w:val="auto"/>
        </w:rPr>
      </w:pPr>
      <w:r>
        <w:rPr>
          <w:rFonts w:ascii="Arial" w:cs="Arial" w:eastAsia="Arial" w:hAnsi="Arial"/>
          <w:sz w:val="14"/>
          <w:szCs w:val="14"/>
          <w:color w:val="auto"/>
        </w:rPr>
        <w:t>Other</w:t>
      </w:r>
      <w:r>
        <w:rPr>
          <w:sz w:val="20"/>
          <w:szCs w:val="20"/>
          <w:color w:val="auto"/>
        </w:rPr>
        <w:tab/>
      </w:r>
      <w:r>
        <w:rPr>
          <w:rFonts w:ascii="Arial" w:cs="Arial" w:eastAsia="Arial" w:hAnsi="Arial"/>
          <w:sz w:val="25"/>
          <w:szCs w:val="25"/>
          <w:color w:val="auto"/>
          <w:vertAlign w:val="superscript"/>
        </w:rPr>
        <w:t>Depositary</w:t>
      </w:r>
      <w:r>
        <w:rPr>
          <w:sz w:val="20"/>
          <w:szCs w:val="20"/>
          <w:color w:val="auto"/>
        </w:rPr>
        <w:tab/>
      </w:r>
      <w:r>
        <w:rPr>
          <w:rFonts w:ascii="Arial" w:cs="Arial" w:eastAsia="Arial" w:hAnsi="Arial"/>
          <w:sz w:val="14"/>
          <w:szCs w:val="14"/>
          <w:color w:val="auto"/>
        </w:rPr>
        <w:t>457(o)</w:t>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Shares(4)</w:t>
      </w:r>
    </w:p>
    <w:p>
      <w:pPr>
        <w:ind w:left="1160"/>
        <w:spacing w:after="0" w:line="197" w:lineRule="auto"/>
        <w:tabs>
          <w:tab w:leader="none" w:pos="1820" w:val="left"/>
          <w:tab w:leader="none" w:pos="3040" w:val="left"/>
        </w:tabs>
        <w:rPr>
          <w:sz w:val="20"/>
          <w:szCs w:val="20"/>
          <w:color w:val="auto"/>
        </w:rPr>
      </w:pPr>
      <w:r>
        <w:rPr>
          <w:rFonts w:ascii="Arial" w:cs="Arial" w:eastAsia="Arial" w:hAnsi="Arial"/>
          <w:sz w:val="24"/>
          <w:szCs w:val="24"/>
          <w:color w:val="auto"/>
          <w:vertAlign w:val="subscript"/>
        </w:rPr>
        <w:t>Other</w:t>
      </w:r>
      <w:r>
        <w:rPr>
          <w:sz w:val="20"/>
          <w:szCs w:val="20"/>
          <w:color w:val="auto"/>
        </w:rPr>
        <w:tab/>
      </w:r>
      <w:r>
        <w:rPr>
          <w:rFonts w:ascii="Arial" w:cs="Arial" w:eastAsia="Arial" w:hAnsi="Arial"/>
          <w:sz w:val="13"/>
          <w:szCs w:val="13"/>
          <w:color w:val="auto"/>
        </w:rPr>
        <w:t>Subscription</w:t>
      </w:r>
      <w:r>
        <w:rPr>
          <w:sz w:val="20"/>
          <w:szCs w:val="20"/>
          <w:color w:val="auto"/>
        </w:rPr>
        <w:tab/>
      </w:r>
      <w:r>
        <w:rPr>
          <w:rFonts w:ascii="Arial" w:cs="Arial" w:eastAsia="Arial" w:hAnsi="Arial"/>
          <w:sz w:val="23"/>
          <w:szCs w:val="23"/>
          <w:color w:val="auto"/>
          <w:vertAlign w:val="subscript"/>
        </w:rPr>
        <w:t>457(o)</w:t>
      </w:r>
    </w:p>
    <w:p>
      <w:pPr>
        <w:ind w:left="1840"/>
        <w:spacing w:after="0"/>
        <w:rPr>
          <w:sz w:val="20"/>
          <w:szCs w:val="20"/>
          <w:color w:val="auto"/>
        </w:rPr>
      </w:pPr>
      <w:r>
        <w:rPr>
          <w:rFonts w:ascii="Arial" w:cs="Arial" w:eastAsia="Arial" w:hAnsi="Arial"/>
          <w:sz w:val="16"/>
          <w:szCs w:val="16"/>
          <w:color w:val="auto"/>
        </w:rPr>
        <w:t>Rights(5)</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98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Senior Debt</w:t>
            </w:r>
          </w:p>
        </w:tc>
        <w:tc>
          <w:tcPr>
            <w:tcW w:w="20" w:type="dxa"/>
            <w:vAlign w:val="bottom"/>
          </w:tcPr>
          <w:p>
            <w:pPr>
              <w:spacing w:after="0"/>
              <w:rPr>
                <w:sz w:val="14"/>
                <w:szCs w:val="14"/>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Subordinated</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20"/>
              <w:spacing w:after="0" w:line="181"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8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5"/>
                <w:szCs w:val="15"/>
                <w:color w:val="auto"/>
              </w:rPr>
            </w:pPr>
          </w:p>
        </w:tc>
        <w:tc>
          <w:tcPr>
            <w:tcW w:w="900" w:type="dxa"/>
            <w:vAlign w:val="bottom"/>
            <w:shd w:val="clear" w:color="auto" w:fill="E7E7E2"/>
          </w:tcPr>
          <w:p>
            <w:pPr>
              <w:ind w:left="220"/>
              <w:spacing w:after="0" w:line="181" w:lineRule="exact"/>
              <w:rPr>
                <w:sz w:val="20"/>
                <w:szCs w:val="20"/>
                <w:color w:val="auto"/>
              </w:rPr>
            </w:pPr>
            <w:r>
              <w:rPr>
                <w:rFonts w:ascii="Arial" w:cs="Arial" w:eastAsia="Arial" w:hAnsi="Arial"/>
                <w:sz w:val="16"/>
                <w:szCs w:val="16"/>
                <w:color w:val="auto"/>
              </w:rPr>
              <w:t>457(o)</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ind w:left="20"/>
              <w:spacing w:after="0" w:line="170" w:lineRule="exact"/>
              <w:rPr>
                <w:sz w:val="20"/>
                <w:szCs w:val="20"/>
                <w:color w:val="auto"/>
              </w:rPr>
            </w:pPr>
            <w:r>
              <w:rPr>
                <w:rFonts w:ascii="Arial" w:cs="Arial" w:eastAsia="Arial" w:hAnsi="Arial"/>
                <w:sz w:val="16"/>
                <w:szCs w:val="16"/>
                <w:color w:val="auto"/>
                <w:w w:val="99"/>
              </w:rPr>
              <w:t>Unallocated</w:t>
            </w: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7"/>
              </w:rPr>
              <w:t>0.0001381</w:t>
            </w:r>
          </w:p>
        </w:tc>
        <w:tc>
          <w:tcPr>
            <w:tcW w:w="20" w:type="dxa"/>
            <w:vAlign w:val="bottom"/>
          </w:tcPr>
          <w:p>
            <w:pPr>
              <w:spacing w:after="0"/>
              <w:rPr>
                <w:sz w:val="7"/>
                <w:szCs w:val="7"/>
                <w:color w:val="auto"/>
              </w:rPr>
            </w:pPr>
          </w:p>
        </w:tc>
        <w:tc>
          <w:tcPr>
            <w:tcW w:w="9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$ 89,765.00</w:t>
            </w:r>
          </w:p>
        </w:tc>
        <w:tc>
          <w:tcPr>
            <w:tcW w:w="0" w:type="dxa"/>
            <w:vAlign w:val="bottom"/>
          </w:tcPr>
          <w:p>
            <w:pPr>
              <w:spacing w:after="0"/>
              <w:rPr>
                <w:sz w:val="1"/>
                <w:szCs w:val="1"/>
                <w:color w:val="auto"/>
              </w:rPr>
            </w:pPr>
          </w:p>
        </w:tc>
      </w:tr>
      <w:tr>
        <w:trPr>
          <w:trHeight w:val="161"/>
        </w:trPr>
        <w:tc>
          <w:tcPr>
            <w:tcW w:w="760" w:type="dxa"/>
            <w:vAlign w:val="bottom"/>
            <w:shd w:val="clear" w:color="auto" w:fill="E7E7E2"/>
          </w:tcPr>
          <w:p>
            <w:pPr>
              <w:spacing w:after="0" w:line="161"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1" w:lineRule="exact"/>
              <w:rPr>
                <w:sz w:val="20"/>
                <w:szCs w:val="20"/>
                <w:color w:val="auto"/>
              </w:rPr>
            </w:pPr>
            <w:r>
              <w:rPr>
                <w:rFonts w:ascii="Arial" w:cs="Arial" w:eastAsia="Arial" w:hAnsi="Arial"/>
                <w:sz w:val="16"/>
                <w:szCs w:val="16"/>
                <w:color w:val="auto"/>
              </w:rPr>
              <w:t>650,000,000.00</w:t>
            </w:r>
          </w:p>
        </w:tc>
        <w:tc>
          <w:tcPr>
            <w:tcW w:w="20" w:type="dxa"/>
            <w:vAlign w:val="bottom"/>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ind w:left="20"/>
              <w:spacing w:after="0" w:line="141"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196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$ 89,765.00</w:t>
            </w: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6"/>
                <w:szCs w:val="16"/>
                <w:color w:val="auto"/>
              </w:rPr>
              <w:t>650,000,000.00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6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1"/>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$ 32,733.86</w:t>
            </w:r>
          </w:p>
        </w:tc>
        <w:tc>
          <w:tcPr>
            <w:tcW w:w="0" w:type="dxa"/>
            <w:vAlign w:val="bottom"/>
          </w:tcPr>
          <w:p>
            <w:pPr>
              <w:spacing w:after="0"/>
              <w:rPr>
                <w:sz w:val="1"/>
                <w:szCs w:val="1"/>
                <w:color w:val="auto"/>
              </w:rPr>
            </w:pPr>
          </w:p>
        </w:tc>
      </w:tr>
      <w:tr>
        <w:trPr>
          <w:trHeight w:val="221"/>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$ 57,031.14</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Rule 457(o); Rule 457(p)</w:t>
      </w:r>
    </w:p>
    <w:p>
      <w:pPr>
        <w:spacing w:after="0" w:line="177" w:lineRule="exact"/>
        <w:rPr>
          <w:sz w:val="20"/>
          <w:szCs w:val="20"/>
          <w:color w:val="auto"/>
        </w:rPr>
      </w:pPr>
    </w:p>
    <w:p>
      <w:pPr>
        <w:ind w:left="200" w:right="860" w:firstLine="1"/>
        <w:spacing w:after="0" w:line="246" w:lineRule="auto"/>
        <w:tabs>
          <w:tab w:leader="none" w:pos="44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amount to be registered consists of up to $650,000,000 of an indeterminate amount of common stock, preferred stock, depositary shares, subscription rights, warrants, senior or subordinated debt securities, and/or units.</w:t>
      </w:r>
    </w:p>
    <w:p>
      <w:pPr>
        <w:ind w:left="200" w:right="300" w:firstLine="1"/>
        <w:spacing w:after="0" w:line="235" w:lineRule="auto"/>
        <w:tabs>
          <w:tab w:leader="none" w:pos="441"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such indeterminate number of shares of the Registrants common stock as may, from time to time, be issued upon conversion or exchange of other securities registered hereunder, to the extent any such securities are, by their terms, convertible or exchangeable for common stock.</w:t>
      </w:r>
    </w:p>
    <w:p>
      <w:pPr>
        <w:ind w:left="200" w:right="360" w:firstLine="1"/>
        <w:spacing w:after="0" w:line="235" w:lineRule="auto"/>
        <w:tabs>
          <w:tab w:leader="none" w:pos="44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proposed maximum offering price per security will be determined, from time to time by the Registrant in connection with the sale of the securities registered under this Registration Statement.</w:t>
      </w:r>
    </w:p>
    <w:p>
      <w:pPr>
        <w:ind w:left="200" w:right="160" w:firstLine="1"/>
        <w:spacing w:after="0" w:line="235" w:lineRule="auto"/>
        <w:tabs>
          <w:tab w:leader="none" w:pos="441"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depositary share will be issued under a deposit agreement, will represent an interest in a fractional share or multiple shares of preferred stock and will be evidenced by a depositary receipt</w:t>
      </w:r>
    </w:p>
    <w:p>
      <w:pPr>
        <w:ind w:left="200" w:right="220" w:firstLine="1"/>
        <w:spacing w:after="0" w:line="235" w:lineRule="auto"/>
        <w:tabs>
          <w:tab w:leader="none" w:pos="441"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Subscription rights will represent representing rights to purchase shares of common stock, preferred stock, depositary shares or senior or subordinated debt securities or other securities.</w:t>
      </w:r>
    </w:p>
    <w:p>
      <w:pPr>
        <w:ind w:left="200" w:right="860" w:firstLine="1"/>
        <w:spacing w:after="0" w:line="235" w:lineRule="auto"/>
        <w:tabs>
          <w:tab w:leader="none" w:pos="441" w:val="left"/>
        </w:tabs>
        <w:numPr>
          <w:ilvl w:val="0"/>
          <w:numId w:val="38"/>
        </w:numPr>
        <w:rPr>
          <w:rFonts w:ascii="Arial" w:cs="Arial" w:eastAsia="Arial" w:hAnsi="Arial"/>
          <w:sz w:val="16"/>
          <w:szCs w:val="16"/>
          <w:color w:val="auto"/>
        </w:rPr>
      </w:pPr>
      <w:r>
        <w:rPr>
          <w:rFonts w:ascii="Arial" w:cs="Arial" w:eastAsia="Arial" w:hAnsi="Arial"/>
          <w:sz w:val="16"/>
          <w:szCs w:val="16"/>
          <w:color w:val="auto"/>
        </w:rPr>
        <w:t>Warrants will represent rights to purchase common stock, preferred stock, depositary shares or senior or subordinated debt securities or other securities.</w:t>
      </w:r>
    </w:p>
    <w:p>
      <w:pPr>
        <w:ind w:left="200" w:right="140" w:firstLine="1"/>
        <w:spacing w:after="0" w:line="235" w:lineRule="auto"/>
        <w:tabs>
          <w:tab w:leader="none" w:pos="441"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unit will be issued under a unit agreement and will represent an interest in two or more securities registered pursuant to this registration statement, which may or may not be separable from one another. Because the units will provide a right only to purchase such securities offered hereunder, no additional registration fee is required.</w:t>
      </w:r>
    </w:p>
    <w:p>
      <w:pPr>
        <w:spacing w:after="0" w:line="1" w:lineRule="exact"/>
        <w:rPr>
          <w:rFonts w:ascii="Arial" w:cs="Arial" w:eastAsia="Arial" w:hAnsi="Arial"/>
          <w:sz w:val="16"/>
          <w:szCs w:val="16"/>
          <w:color w:val="auto"/>
        </w:rPr>
      </w:pPr>
    </w:p>
    <w:p>
      <w:pPr>
        <w:ind w:left="200" w:right="440" w:firstLine="1"/>
        <w:spacing w:after="0" w:line="252" w:lineRule="auto"/>
        <w:tabs>
          <w:tab w:leader="none" w:pos="44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 is claiming certain fee offsets pursuant to Rule 457(p) under the Securities Act of 1933, as amended (the Securities Act). Please see Table 2 below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394970</wp:posOffset>
            </wp:positionV>
            <wp:extent cx="715454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5454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4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9"/>
              </w:rPr>
              <w:t>Table 2: Fee Offset Claims and Sources</w:t>
            </w:r>
          </w:p>
        </w:tc>
        <w:tc>
          <w:tcPr>
            <w:tcW w:w="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ind w:left="480"/>
              <w:spacing w:after="0" w:line="184" w:lineRule="exact"/>
              <w:rPr>
                <w:sz w:val="20"/>
                <w:szCs w:val="20"/>
                <w:color w:val="auto"/>
              </w:rPr>
            </w:pPr>
            <w:r>
              <w:rPr>
                <w:rFonts w:ascii="MS PGothic" w:cs="MS PGothic" w:eastAsia="MS PGothic" w:hAnsi="MS PGothic"/>
                <w:sz w:val="16"/>
                <w:szCs w:val="16"/>
                <w:color w:val="auto"/>
                <w:highlight w:val="black"/>
                <w:w w:val="98"/>
              </w:rPr>
              <w:t>☐</w:t>
            </w:r>
            <w:r>
              <w:rPr>
                <w:rFonts w:ascii="Arial" w:cs="Arial" w:eastAsia="Arial" w:hAnsi="Arial"/>
                <w:sz w:val="16"/>
                <w:szCs w:val="16"/>
                <w:b w:val="1"/>
                <w:bCs w:val="1"/>
                <w:color w:val="auto"/>
                <w:w w:val="98"/>
              </w:rPr>
              <w:t>Not Applicable</w:t>
            </w:r>
          </w:p>
        </w:tc>
      </w:tr>
      <w:tr>
        <w:trPr>
          <w:trHeight w:val="185"/>
        </w:trPr>
        <w:tc>
          <w:tcPr>
            <w:tcW w:w="40" w:type="dxa"/>
            <w:vAlign w:val="bottom"/>
            <w:tcBorders>
              <w:left w:val="single" w:sz="8" w:color="auto"/>
            </w:tcBorders>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80" w:type="dxa"/>
            <w:vAlign w:val="bottom"/>
            <w:tcBorders>
              <w:right w:val="single" w:sz="8" w:color="9ADAF6"/>
            </w:tcBorders>
          </w:tcPr>
          <w:p>
            <w:pPr>
              <w:spacing w:after="0"/>
              <w:rPr>
                <w:sz w:val="16"/>
                <w:szCs w:val="16"/>
                <w:color w:val="auto"/>
              </w:rPr>
            </w:pPr>
          </w:p>
        </w:tc>
        <w:tc>
          <w:tcPr>
            <w:tcW w:w="5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 Paid</w:t>
            </w:r>
          </w:p>
        </w:tc>
        <w:tc>
          <w:tcPr>
            <w:tcW w:w="60" w:type="dxa"/>
            <w:vAlign w:val="bottom"/>
            <w:tcBorders>
              <w:right w:val="single" w:sz="8" w:color="auto"/>
            </w:tcBorders>
          </w:tcPr>
          <w:p>
            <w:pPr>
              <w:spacing w:after="0"/>
              <w:rPr>
                <w:sz w:val="16"/>
                <w:szCs w:val="16"/>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Name</w:t>
            </w:r>
          </w:p>
        </w:tc>
        <w:tc>
          <w:tcPr>
            <w:tcW w:w="80" w:type="dxa"/>
            <w:vAlign w:val="bottom"/>
            <w:tcBorders>
              <w:right w:val="single" w:sz="8" w:color="9ADAF6"/>
            </w:tcBorders>
          </w:tcPr>
          <w:p>
            <w:pPr>
              <w:spacing w:after="0"/>
              <w:rPr>
                <w:sz w:val="15"/>
                <w:szCs w:val="15"/>
                <w:color w:val="auto"/>
              </w:rPr>
            </w:pPr>
          </w:p>
        </w:tc>
        <w:tc>
          <w:tcPr>
            <w:tcW w:w="52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15"/>
                <w:szCs w:val="15"/>
                <w:color w:val="auto"/>
              </w:rPr>
            </w:pPr>
          </w:p>
        </w:tc>
        <w:tc>
          <w:tcPr>
            <w:tcW w:w="72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5"/>
                <w:szCs w:val="15"/>
                <w:color w:val="auto"/>
              </w:rPr>
            </w:pPr>
          </w:p>
        </w:tc>
        <w:tc>
          <w:tcPr>
            <w:tcW w:w="8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5"/>
                <w:szCs w:val="15"/>
                <w:color w:val="auto"/>
              </w:rPr>
            </w:pPr>
          </w:p>
        </w:tc>
        <w:tc>
          <w:tcPr>
            <w:tcW w:w="8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Securities</w:t>
            </w: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with Fee</w:t>
            </w:r>
          </w:p>
        </w:tc>
        <w:tc>
          <w:tcPr>
            <w:tcW w:w="60" w:type="dxa"/>
            <w:vAlign w:val="bottom"/>
            <w:tcBorders>
              <w:right w:val="single" w:sz="8" w:color="auto"/>
            </w:tcBorders>
          </w:tcPr>
          <w:p>
            <w:pPr>
              <w:spacing w:after="0"/>
              <w:rPr>
                <w:sz w:val="15"/>
                <w:szCs w:val="15"/>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shd w:val="clear" w:color="auto" w:fill="9ADAF6"/>
          </w:tcPr>
          <w:p>
            <w:pPr>
              <w:spacing w:after="0"/>
              <w:rPr>
                <w:sz w:val="15"/>
                <w:szCs w:val="15"/>
                <w:color w:val="auto"/>
              </w:rPr>
            </w:pPr>
          </w:p>
        </w:tc>
        <w:tc>
          <w:tcPr>
            <w:tcW w:w="80" w:type="dxa"/>
            <w:vAlign w:val="bottom"/>
            <w:tcBorders>
              <w:right w:val="single" w:sz="8" w:color="9ADAF6"/>
            </w:tcBorders>
          </w:tcPr>
          <w:p>
            <w:pPr>
              <w:spacing w:after="0"/>
              <w:rPr>
                <w:sz w:val="15"/>
                <w:szCs w:val="15"/>
                <w:color w:val="auto"/>
              </w:rPr>
            </w:pPr>
          </w:p>
        </w:tc>
        <w:tc>
          <w:tcPr>
            <w:tcW w:w="52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Associated</w:t>
            </w: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Offset</w:t>
            </w:r>
          </w:p>
        </w:tc>
        <w:tc>
          <w:tcPr>
            <w:tcW w:w="60" w:type="dxa"/>
            <w:vAlign w:val="bottom"/>
            <w:tcBorders>
              <w:right w:val="single" w:sz="8" w:color="auto"/>
            </w:tcBorders>
          </w:tcPr>
          <w:p>
            <w:pPr>
              <w:spacing w:after="0"/>
              <w:rPr>
                <w:sz w:val="15"/>
                <w:szCs w:val="15"/>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5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6"/>
                <w:szCs w:val="16"/>
                <w:color w:val="auto"/>
              </w:rPr>
            </w:pPr>
          </w:p>
        </w:tc>
      </w:tr>
    </w:tbl>
    <w:p>
      <w:pPr>
        <w:sectPr>
          <w:pgSz w:w="11900" w:h="16900" w:orient="portrait"/>
          <w:cols w:equalWidth="0" w:num="1">
            <w:col w:w="11360"/>
          </w:cols>
          <w:pgMar w:left="300" w:top="140" w:right="239" w:bottom="0" w:gutter="0" w:footer="0" w:header="0"/>
        </w:sectPr>
      </w:pPr>
    </w:p>
    <w:bookmarkStart w:id="51" w:name="page52"/>
    <w:bookmarkEnd w:id="51"/>
    <w:p>
      <w:pPr>
        <w:ind w:left="7020"/>
        <w:spacing w:after="0"/>
        <w:tabs>
          <w:tab w:leader="none" w:pos="7900" w:val="left"/>
          <w:tab w:leader="none" w:pos="8800" w:val="left"/>
          <w:tab w:leader="none" w:pos="9560" w:val="left"/>
        </w:tabs>
        <w:rPr>
          <w:sz w:val="20"/>
          <w:szCs w:val="20"/>
          <w:color w:val="auto"/>
        </w:rPr>
      </w:pPr>
      <w:r>
        <w:rPr>
          <w:rFonts w:ascii="Arial" w:cs="Arial" w:eastAsia="Arial" w:hAnsi="Arial"/>
          <w:sz w:val="16"/>
          <w:szCs w:val="16"/>
          <w:b w:val="1"/>
          <w:bCs w:val="1"/>
          <w:color w:val="auto"/>
        </w:rPr>
        <w:t>Offset</w:t>
      </w:r>
      <w:r>
        <w:rPr>
          <w:sz w:val="20"/>
          <w:szCs w:val="20"/>
          <w:color w:val="auto"/>
        </w:rPr>
        <w:tab/>
      </w:r>
      <w:r>
        <w:rPr>
          <w:rFonts w:ascii="Arial" w:cs="Arial" w:eastAsia="Arial" w:hAnsi="Arial"/>
          <w:sz w:val="16"/>
          <w:szCs w:val="16"/>
          <w:b w:val="1"/>
          <w:bCs w:val="1"/>
          <w:color w:val="auto"/>
        </w:rPr>
        <w:t>Offset</w:t>
      </w:r>
      <w:r>
        <w:rPr>
          <w:sz w:val="20"/>
          <w:szCs w:val="20"/>
          <w:color w:val="auto"/>
        </w:rPr>
        <w:tab/>
      </w:r>
      <w:r>
        <w:rPr>
          <w:rFonts w:ascii="Arial" w:cs="Arial" w:eastAsia="Arial" w:hAnsi="Arial"/>
          <w:sz w:val="16"/>
          <w:szCs w:val="16"/>
          <w:b w:val="1"/>
          <w:bCs w:val="1"/>
          <w:color w:val="auto"/>
        </w:rPr>
        <w:t>Offset</w:t>
      </w:r>
      <w:r>
        <w:rPr>
          <w:sz w:val="20"/>
          <w:szCs w:val="20"/>
          <w:color w:val="auto"/>
        </w:rPr>
        <w:tab/>
      </w:r>
      <w:r>
        <w:rPr>
          <w:rFonts w:ascii="Arial" w:cs="Arial" w:eastAsia="Arial" w:hAnsi="Arial"/>
          <w:sz w:val="15"/>
          <w:szCs w:val="15"/>
          <w:b w:val="1"/>
          <w:bCs w:val="1"/>
          <w:color w:val="auto"/>
        </w:rPr>
        <w:t>Associated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-103505</wp:posOffset>
            </wp:positionV>
            <wp:extent cx="7173595" cy="27552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73595" cy="2755265"/>
                    </a:xfrm>
                    <a:prstGeom prst="rect">
                      <a:avLst/>
                    </a:prstGeom>
                    <a:noFill/>
                  </pic:spPr>
                </pic:pic>
              </a:graphicData>
            </a:graphic>
          </wp:anchor>
        </w:drawing>
      </w:r>
    </w:p>
    <w:p>
      <w:pPr>
        <w:jc w:val="center"/>
        <w:ind w:left="5960"/>
        <w:spacing w:after="0"/>
        <w:tabs>
          <w:tab w:leader="none" w:pos="260" w:val="left"/>
          <w:tab w:leader="none" w:pos="260" w:val="left"/>
          <w:tab w:leader="none" w:pos="280" w:val="left"/>
        </w:tabs>
        <w:rPr>
          <w:sz w:val="20"/>
          <w:szCs w:val="20"/>
          <w:color w:val="auto"/>
        </w:rPr>
      </w:pPr>
      <w:r>
        <w:rPr>
          <w:rFonts w:ascii="Arial" w:cs="Arial" w:eastAsia="Arial" w:hAnsi="Arial"/>
          <w:sz w:val="16"/>
          <w:szCs w:val="16"/>
          <w:b w:val="1"/>
          <w:bCs w:val="1"/>
          <w:color w:val="auto"/>
        </w:rPr>
        <w:t>Claimed</w:t>
      </w:r>
      <w:r>
        <w:rPr>
          <w:sz w:val="20"/>
          <w:szCs w:val="20"/>
          <w:color w:val="auto"/>
        </w:rPr>
        <w:tab/>
      </w:r>
      <w:r>
        <w:rPr>
          <w:rFonts w:ascii="Arial" w:cs="Arial" w:eastAsia="Arial" w:hAnsi="Arial"/>
          <w:sz w:val="16"/>
          <w:szCs w:val="16"/>
          <w:b w:val="1"/>
          <w:bCs w:val="1"/>
          <w:color w:val="auto"/>
        </w:rPr>
        <w:t>Claimed</w:t>
      </w:r>
      <w:r>
        <w:rPr>
          <w:sz w:val="20"/>
          <w:szCs w:val="20"/>
          <w:color w:val="auto"/>
        </w:rPr>
        <w:tab/>
      </w:r>
      <w:r>
        <w:rPr>
          <w:rFonts w:ascii="Arial" w:cs="Arial" w:eastAsia="Arial" w:hAnsi="Arial"/>
          <w:sz w:val="16"/>
          <w:szCs w:val="16"/>
          <w:b w:val="1"/>
          <w:bCs w:val="1"/>
          <w:color w:val="auto"/>
        </w:rPr>
        <w:t>Claimed</w:t>
      </w:r>
      <w:r>
        <w:rPr>
          <w:sz w:val="20"/>
          <w:szCs w:val="20"/>
          <w:color w:val="auto"/>
        </w:rPr>
        <w:tab/>
      </w:r>
      <w:r>
        <w:rPr>
          <w:rFonts w:ascii="Arial" w:cs="Arial" w:eastAsia="Arial" w:hAnsi="Arial"/>
          <w:sz w:val="15"/>
          <w:szCs w:val="15"/>
          <w:b w:val="1"/>
          <w:bCs w:val="1"/>
          <w:color w:val="auto"/>
        </w:rPr>
        <w:t>with Fee</w:t>
      </w:r>
    </w:p>
    <w:p>
      <w:pPr>
        <w:jc w:val="center"/>
        <w:ind w:left="8700"/>
        <w:spacing w:after="0" w:line="235" w:lineRule="auto"/>
        <w:rPr>
          <w:sz w:val="20"/>
          <w:szCs w:val="20"/>
          <w:color w:val="auto"/>
        </w:rPr>
      </w:pPr>
      <w:r>
        <w:rPr>
          <w:rFonts w:ascii="Arial" w:cs="Arial" w:eastAsia="Arial" w:hAnsi="Arial"/>
          <w:sz w:val="16"/>
          <w:szCs w:val="16"/>
          <w:b w:val="1"/>
          <w:bCs w:val="1"/>
          <w:color w:val="auto"/>
        </w:rPr>
        <w:t>Offset</w:t>
      </w:r>
    </w:p>
    <w:p>
      <w:pPr>
        <w:jc w:val="center"/>
        <w:ind w:left="8680"/>
        <w:spacing w:after="0"/>
        <w:rPr>
          <w:sz w:val="20"/>
          <w:szCs w:val="20"/>
          <w:color w:val="auto"/>
        </w:rPr>
      </w:pPr>
      <w:r>
        <w:rPr>
          <w:rFonts w:ascii="Arial" w:cs="Arial" w:eastAsia="Arial" w:hAnsi="Arial"/>
          <w:sz w:val="16"/>
          <w:szCs w:val="16"/>
          <w:b w:val="1"/>
          <w:bCs w:val="1"/>
          <w:color w:val="auto"/>
        </w:rPr>
        <w:t>Claimed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457(b) and 0-11(a)(2)</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Claims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Sources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gridSpan w:val="3"/>
          </w:tcPr>
          <w:p>
            <w:pPr>
              <w:ind w:left="2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900" w:type="dxa"/>
            <w:vAlign w:val="bottom"/>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21"/>
                <w:szCs w:val="21"/>
                <w:color w:val="auto"/>
              </w:rPr>
            </w:pPr>
          </w:p>
        </w:tc>
        <w:tc>
          <w:tcPr>
            <w:tcW w:w="5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21"/>
                <w:szCs w:val="21"/>
                <w:color w:val="auto"/>
              </w:rPr>
            </w:pPr>
          </w:p>
        </w:tc>
        <w:tc>
          <w:tcPr>
            <w:tcW w:w="8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21"/>
                <w:szCs w:val="21"/>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21"/>
                <w:szCs w:val="21"/>
                <w:color w:val="auto"/>
              </w:rPr>
            </w:pPr>
          </w:p>
        </w:tc>
        <w:tc>
          <w:tcPr>
            <w:tcW w:w="8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shd w:val="clear" w:color="auto" w:fill="E7E7E2"/>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90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Claims</w:t>
            </w:r>
          </w:p>
        </w:tc>
        <w:tc>
          <w:tcPr>
            <w:tcW w:w="20" w:type="dxa"/>
            <w:vAlign w:val="bottom"/>
          </w:tcPr>
          <w:p>
            <w:pPr>
              <w:spacing w:after="0"/>
              <w:rPr>
                <w:sz w:val="15"/>
                <w:szCs w:val="15"/>
                <w:color w:val="auto"/>
              </w:rPr>
            </w:pPr>
          </w:p>
        </w:tc>
        <w:tc>
          <w:tcPr>
            <w:tcW w:w="580" w:type="dxa"/>
            <w:vAlign w:val="bottom"/>
            <w:shd w:val="clear" w:color="auto" w:fill="E7E7E2"/>
          </w:tcPr>
          <w:p>
            <w:pPr>
              <w:jc w:val="right"/>
              <w:ind w:right="180"/>
              <w:spacing w:after="0" w:line="181"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5"/>
                <w:szCs w:val="15"/>
                <w:color w:val="auto"/>
              </w:rPr>
            </w:pPr>
          </w:p>
        </w:tc>
        <w:tc>
          <w:tcPr>
            <w:tcW w:w="142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NewtekOne, Inc.</w:t>
            </w:r>
          </w:p>
        </w:tc>
        <w:tc>
          <w:tcPr>
            <w:tcW w:w="20" w:type="dxa"/>
            <w:vAlign w:val="bottom"/>
          </w:tcPr>
          <w:p>
            <w:pPr>
              <w:spacing w:after="0"/>
              <w:rPr>
                <w:sz w:val="15"/>
                <w:szCs w:val="15"/>
                <w:color w:val="auto"/>
              </w:rPr>
            </w:pPr>
          </w:p>
        </w:tc>
        <w:tc>
          <w:tcPr>
            <w:tcW w:w="580" w:type="dxa"/>
            <w:vAlign w:val="bottom"/>
            <w:shd w:val="clear" w:color="auto" w:fill="E7E7E2"/>
          </w:tcPr>
          <w:p>
            <w:pPr>
              <w:ind w:left="160"/>
              <w:spacing w:after="0" w:line="181" w:lineRule="exact"/>
              <w:rPr>
                <w:sz w:val="20"/>
                <w:szCs w:val="20"/>
                <w:color w:val="auto"/>
              </w:rPr>
            </w:pPr>
            <w:r>
              <w:rPr>
                <w:rFonts w:ascii="Arial" w:cs="Arial" w:eastAsia="Arial" w:hAnsi="Arial"/>
                <w:sz w:val="16"/>
                <w:szCs w:val="16"/>
                <w:color w:val="auto"/>
              </w:rPr>
              <w:t>S-3</w:t>
            </w:r>
          </w:p>
        </w:tc>
        <w:tc>
          <w:tcPr>
            <w:tcW w:w="20" w:type="dxa"/>
            <w:vAlign w:val="bottom"/>
          </w:tcPr>
          <w:p>
            <w:pPr>
              <w:spacing w:after="0"/>
              <w:rPr>
                <w:sz w:val="15"/>
                <w:szCs w:val="15"/>
                <w:color w:val="auto"/>
              </w:rPr>
            </w:pPr>
          </w:p>
        </w:tc>
        <w:tc>
          <w:tcPr>
            <w:tcW w:w="720" w:type="dxa"/>
            <w:vAlign w:val="bottom"/>
            <w:shd w:val="clear" w:color="auto" w:fill="E7E7E2"/>
          </w:tcPr>
          <w:p>
            <w:pPr>
              <w:jc w:val="center"/>
              <w:spacing w:after="0" w:line="181" w:lineRule="exact"/>
              <w:rPr>
                <w:sz w:val="20"/>
                <w:szCs w:val="20"/>
                <w:color w:val="auto"/>
              </w:rPr>
            </w:pPr>
            <w:r>
              <w:rPr>
                <w:rFonts w:ascii="Arial" w:cs="Arial" w:eastAsia="Arial" w:hAnsi="Arial"/>
                <w:sz w:val="16"/>
                <w:szCs w:val="16"/>
                <w:color w:val="auto"/>
              </w:rPr>
              <w:t>269452</w:t>
            </w:r>
          </w:p>
        </w:tc>
        <w:tc>
          <w:tcPr>
            <w:tcW w:w="20" w:type="dxa"/>
            <w:vAlign w:val="bottom"/>
          </w:tcPr>
          <w:p>
            <w:pPr>
              <w:spacing w:after="0"/>
              <w:rPr>
                <w:sz w:val="15"/>
                <w:szCs w:val="15"/>
                <w:color w:val="auto"/>
              </w:rPr>
            </w:pPr>
          </w:p>
        </w:tc>
        <w:tc>
          <w:tcPr>
            <w:tcW w:w="840" w:type="dxa"/>
            <w:vAlign w:val="bottom"/>
            <w:shd w:val="clear" w:color="auto" w:fill="E7E7E2"/>
          </w:tcPr>
          <w:p>
            <w:pPr>
              <w:jc w:val="right"/>
              <w:spacing w:after="0" w:line="181" w:lineRule="exact"/>
              <w:rPr>
                <w:sz w:val="20"/>
                <w:szCs w:val="20"/>
                <w:color w:val="auto"/>
              </w:rPr>
            </w:pPr>
            <w:r>
              <w:rPr>
                <w:rFonts w:ascii="Arial" w:cs="Arial" w:eastAsia="Arial" w:hAnsi="Arial"/>
                <w:sz w:val="16"/>
                <w:szCs w:val="16"/>
                <w:color w:val="auto"/>
                <w:w w:val="99"/>
              </w:rPr>
              <w:t>01/27/2023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jc w:val="right"/>
              <w:spacing w:after="0" w:line="181" w:lineRule="exact"/>
              <w:rPr>
                <w:sz w:val="20"/>
                <w:szCs w:val="20"/>
                <w:color w:val="auto"/>
              </w:rPr>
            </w:pPr>
            <w:r>
              <w:rPr>
                <w:rFonts w:ascii="Arial" w:cs="Arial" w:eastAsia="Arial" w:hAnsi="Arial"/>
                <w:sz w:val="16"/>
                <w:szCs w:val="16"/>
                <w:color w:val="auto"/>
                <w:w w:val="98"/>
              </w:rPr>
              <w:t>20,734.97</w:t>
            </w:r>
          </w:p>
        </w:tc>
        <w:tc>
          <w:tcPr>
            <w:tcW w:w="20" w:type="dxa"/>
            <w:vAlign w:val="bottom"/>
          </w:tcPr>
          <w:p>
            <w:pPr>
              <w:spacing w:after="0"/>
              <w:rPr>
                <w:sz w:val="15"/>
                <w:szCs w:val="15"/>
                <w:color w:val="auto"/>
              </w:rPr>
            </w:pPr>
          </w:p>
        </w:tc>
        <w:tc>
          <w:tcPr>
            <w:tcW w:w="88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15"/>
                <w:szCs w:val="15"/>
                <w:color w:val="auto"/>
              </w:rPr>
            </w:pPr>
          </w:p>
        </w:tc>
        <w:tc>
          <w:tcPr>
            <w:tcW w:w="88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jc w:val="right"/>
              <w:spacing w:after="0" w:line="181" w:lineRule="exact"/>
              <w:rPr>
                <w:sz w:val="20"/>
                <w:szCs w:val="20"/>
                <w:color w:val="auto"/>
              </w:rPr>
            </w:pPr>
            <w:r>
              <w:rPr>
                <w:rFonts w:ascii="Arial" w:cs="Arial" w:eastAsia="Arial" w:hAnsi="Arial"/>
                <w:sz w:val="16"/>
                <w:szCs w:val="16"/>
                <w:color w:val="auto"/>
              </w:rPr>
              <w:t>$ 20,734.97</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line="141"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880" w:type="dxa"/>
            <w:vAlign w:val="bottom"/>
            <w:shd w:val="clear" w:color="auto" w:fill="E7E7E2"/>
          </w:tcPr>
          <w:p>
            <w:pPr>
              <w:spacing w:after="0" w:line="141"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vMerge w:val="continue"/>
          </w:tcPr>
          <w:p>
            <w:pPr>
              <w:spacing w:after="0"/>
              <w:rPr>
                <w:sz w:val="14"/>
                <w:szCs w:val="14"/>
                <w:color w:val="auto"/>
              </w:rPr>
            </w:pPr>
          </w:p>
        </w:tc>
        <w:tc>
          <w:tcPr>
            <w:tcW w:w="88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8.50%</w:t>
            </w: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Fixed Rate</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shd w:val="clear" w:color="auto" w:fill="E7E7E2"/>
          </w:tcPr>
          <w:p>
            <w:pPr>
              <w:jc w:val="right"/>
              <w:ind w:right="180"/>
              <w:spacing w:after="0" w:line="161"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4"/>
                <w:szCs w:val="14"/>
                <w:color w:val="auto"/>
              </w:rPr>
            </w:pPr>
          </w:p>
        </w:tc>
        <w:tc>
          <w:tcPr>
            <w:tcW w:w="1420" w:type="dxa"/>
            <w:vAlign w:val="bottom"/>
            <w:shd w:val="clear" w:color="auto" w:fill="E7E7E2"/>
          </w:tcPr>
          <w:p>
            <w:pPr>
              <w:spacing w:after="0" w:line="161" w:lineRule="exact"/>
              <w:rPr>
                <w:sz w:val="20"/>
                <w:szCs w:val="20"/>
                <w:color w:val="auto"/>
              </w:rPr>
            </w:pPr>
            <w:r>
              <w:rPr>
                <w:rFonts w:ascii="Arial" w:cs="Arial" w:eastAsia="Arial" w:hAnsi="Arial"/>
                <w:sz w:val="16"/>
                <w:szCs w:val="16"/>
                <w:color w:val="auto"/>
              </w:rPr>
              <w:t>NewtekOne, Inc.</w:t>
            </w:r>
          </w:p>
        </w:tc>
        <w:tc>
          <w:tcPr>
            <w:tcW w:w="20" w:type="dxa"/>
            <w:vAlign w:val="bottom"/>
          </w:tcPr>
          <w:p>
            <w:pPr>
              <w:spacing w:after="0"/>
              <w:rPr>
                <w:sz w:val="14"/>
                <w:szCs w:val="14"/>
                <w:color w:val="auto"/>
              </w:rPr>
            </w:pPr>
          </w:p>
        </w:tc>
        <w:tc>
          <w:tcPr>
            <w:tcW w:w="580" w:type="dxa"/>
            <w:vAlign w:val="bottom"/>
            <w:shd w:val="clear" w:color="auto" w:fill="E7E7E2"/>
          </w:tcPr>
          <w:p>
            <w:pPr>
              <w:ind w:left="160"/>
              <w:spacing w:after="0" w:line="161" w:lineRule="exact"/>
              <w:rPr>
                <w:sz w:val="20"/>
                <w:szCs w:val="20"/>
                <w:color w:val="auto"/>
              </w:rPr>
            </w:pPr>
            <w:r>
              <w:rPr>
                <w:rFonts w:ascii="Arial" w:cs="Arial" w:eastAsia="Arial" w:hAnsi="Arial"/>
                <w:sz w:val="16"/>
                <w:szCs w:val="16"/>
                <w:color w:val="auto"/>
              </w:rPr>
              <w:t>S-4</w:t>
            </w: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jc w:val="right"/>
              <w:spacing w:after="0" w:line="161" w:lineRule="exact"/>
              <w:rPr>
                <w:sz w:val="20"/>
                <w:szCs w:val="20"/>
                <w:color w:val="auto"/>
              </w:rPr>
            </w:pPr>
            <w:r>
              <w:rPr>
                <w:rFonts w:ascii="Arial" w:cs="Arial" w:eastAsia="Arial" w:hAnsi="Arial"/>
                <w:sz w:val="16"/>
                <w:szCs w:val="16"/>
                <w:color w:val="auto"/>
                <w:w w:val="99"/>
              </w:rPr>
              <w:t>11/18/2025</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61" w:lineRule="exact"/>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880" w:type="dxa"/>
            <w:vAlign w:val="bottom"/>
            <w:shd w:val="clear" w:color="auto" w:fill="E7E7E2"/>
          </w:tcPr>
          <w:p>
            <w:pPr>
              <w:spacing w:after="0" w:line="161" w:lineRule="exact"/>
              <w:rPr>
                <w:sz w:val="20"/>
                <w:szCs w:val="20"/>
                <w:color w:val="auto"/>
              </w:rPr>
            </w:pPr>
            <w:r>
              <w:rPr>
                <w:rFonts w:ascii="Arial" w:cs="Arial" w:eastAsia="Arial" w:hAnsi="Arial"/>
                <w:sz w:val="16"/>
                <w:szCs w:val="16"/>
                <w:color w:val="auto"/>
              </w:rPr>
              <w:t>Senior</w:t>
            </w: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E7E7E2"/>
          </w:tcPr>
          <w:p>
            <w:pPr>
              <w:jc w:val="right"/>
              <w:spacing w:after="0" w:line="161" w:lineRule="exact"/>
              <w:rPr>
                <w:sz w:val="20"/>
                <w:szCs w:val="20"/>
                <w:color w:val="auto"/>
              </w:rPr>
            </w:pPr>
            <w:r>
              <w:rPr>
                <w:rFonts w:ascii="Arial" w:cs="Arial" w:eastAsia="Arial" w:hAnsi="Arial"/>
                <w:sz w:val="16"/>
                <w:szCs w:val="16"/>
                <w:color w:val="auto"/>
              </w:rPr>
              <w:t>$ 11,998.89</w:t>
            </w: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900" w:type="dxa"/>
            <w:vAlign w:val="bottom"/>
            <w:shd w:val="clear" w:color="auto" w:fill="E7E7E2"/>
          </w:tcPr>
          <w:p>
            <w:pPr>
              <w:spacing w:after="0" w:line="181" w:lineRule="exact"/>
              <w:rPr>
                <w:sz w:val="20"/>
                <w:szCs w:val="20"/>
                <w:color w:val="auto"/>
              </w:rPr>
            </w:pPr>
            <w:r>
              <w:rPr>
                <w:rFonts w:ascii="Arial" w:cs="Arial" w:eastAsia="Arial" w:hAnsi="Arial"/>
                <w:sz w:val="16"/>
                <w:szCs w:val="16"/>
                <w:color w:val="auto"/>
              </w:rPr>
              <w:t>Claims</w:t>
            </w:r>
          </w:p>
        </w:tc>
        <w:tc>
          <w:tcPr>
            <w:tcW w:w="20" w:type="dxa"/>
            <w:vAlign w:val="bottom"/>
          </w:tcPr>
          <w:p>
            <w:pPr>
              <w:spacing w:after="0"/>
              <w:rPr>
                <w:sz w:val="17"/>
                <w:szCs w:val="17"/>
                <w:color w:val="auto"/>
              </w:rPr>
            </w:pPr>
          </w:p>
        </w:tc>
        <w:tc>
          <w:tcPr>
            <w:tcW w:w="5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jc w:val="center"/>
              <w:spacing w:after="0" w:line="181" w:lineRule="exact"/>
              <w:rPr>
                <w:sz w:val="20"/>
                <w:szCs w:val="20"/>
                <w:color w:val="auto"/>
              </w:rPr>
            </w:pPr>
            <w:r>
              <w:rPr>
                <w:rFonts w:ascii="Arial" w:cs="Arial" w:eastAsia="Arial" w:hAnsi="Arial"/>
                <w:sz w:val="16"/>
                <w:szCs w:val="16"/>
                <w:color w:val="auto"/>
              </w:rPr>
              <w:t>291615</w:t>
            </w: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jc w:val="right"/>
              <w:spacing w:after="0" w:line="181" w:lineRule="exact"/>
              <w:rPr>
                <w:sz w:val="20"/>
                <w:szCs w:val="20"/>
                <w:color w:val="auto"/>
              </w:rPr>
            </w:pPr>
            <w:r>
              <w:rPr>
                <w:rFonts w:ascii="Arial" w:cs="Arial" w:eastAsia="Arial" w:hAnsi="Arial"/>
                <w:sz w:val="16"/>
                <w:szCs w:val="16"/>
                <w:color w:val="auto"/>
                <w:w w:val="98"/>
              </w:rPr>
              <w:t>11,998.89</w:t>
            </w: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Notes Due</w:t>
            </w: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20"/>
                <w:szCs w:val="20"/>
                <w:color w:val="auto"/>
              </w:rPr>
            </w:pPr>
            <w:r>
              <w:rPr>
                <w:rFonts w:ascii="Arial" w:cs="Arial" w:eastAsia="Arial" w:hAnsi="Arial"/>
                <w:sz w:val="16"/>
                <w:szCs w:val="16"/>
                <w:color w:val="auto"/>
              </w:rPr>
              <w:t>2031</w:t>
            </w: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4"/>
                <w:szCs w:val="14"/>
                <w:color w:val="auto"/>
              </w:rPr>
            </w:pPr>
          </w:p>
        </w:tc>
        <w:tc>
          <w:tcPr>
            <w:tcW w:w="5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NewtekOne, Inc.</w:t>
            </w:r>
          </w:p>
        </w:tc>
        <w:tc>
          <w:tcPr>
            <w:tcW w:w="20" w:type="dxa"/>
            <w:vAlign w:val="bottom"/>
          </w:tcPr>
          <w:p>
            <w:pPr>
              <w:spacing w:after="0"/>
              <w:rPr>
                <w:sz w:val="14"/>
                <w:szCs w:val="14"/>
                <w:color w:val="auto"/>
              </w:rPr>
            </w:pPr>
          </w:p>
        </w:tc>
        <w:tc>
          <w:tcPr>
            <w:tcW w:w="580" w:type="dxa"/>
            <w:vAlign w:val="bottom"/>
            <w:vMerge w:val="restart"/>
            <w:shd w:val="clear" w:color="auto" w:fill="E7E7E2"/>
          </w:tcPr>
          <w:p>
            <w:pPr>
              <w:ind w:left="160"/>
              <w:spacing w:after="0"/>
              <w:rPr>
                <w:sz w:val="20"/>
                <w:szCs w:val="20"/>
                <w:color w:val="auto"/>
              </w:rPr>
            </w:pPr>
            <w:r>
              <w:rPr>
                <w:rFonts w:ascii="Arial" w:cs="Arial" w:eastAsia="Arial" w:hAnsi="Arial"/>
                <w:sz w:val="16"/>
                <w:szCs w:val="16"/>
                <w:color w:val="auto"/>
              </w:rPr>
              <w:t>S-3</w:t>
            </w:r>
          </w:p>
        </w:tc>
        <w:tc>
          <w:tcPr>
            <w:tcW w:w="20" w:type="dxa"/>
            <w:vAlign w:val="bottom"/>
            <w:vMerge w:val="continue"/>
          </w:tcPr>
          <w:p>
            <w:pPr>
              <w:spacing w:after="0"/>
              <w:rPr>
                <w:sz w:val="14"/>
                <w:szCs w:val="14"/>
                <w:color w:val="auto"/>
              </w:rPr>
            </w:pPr>
          </w:p>
        </w:tc>
        <w:tc>
          <w:tcPr>
            <w:tcW w:w="720" w:type="dxa"/>
            <w:vAlign w:val="bottom"/>
            <w:shd w:val="clear" w:color="auto" w:fill="E7E7E2"/>
          </w:tcPr>
          <w:p>
            <w:pPr>
              <w:jc w:val="center"/>
              <w:spacing w:after="0" w:line="170" w:lineRule="exact"/>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w w:val="99"/>
              </w:rPr>
              <w:t>01/27/2023</w:t>
            </w: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vMerge w:val="continue"/>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vMerge w:val="continue"/>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vMerge w:val="continue"/>
          </w:tcPr>
          <w:p>
            <w:pPr>
              <w:spacing w:after="0"/>
              <w:rPr>
                <w:sz w:val="14"/>
                <w:szCs w:val="14"/>
                <w:color w:val="auto"/>
              </w:rPr>
            </w:pPr>
          </w:p>
        </w:tc>
        <w:tc>
          <w:tcPr>
            <w:tcW w:w="740" w:type="dxa"/>
            <w:vAlign w:val="bottom"/>
            <w:shd w:val="clear" w:color="auto" w:fill="E7E7E2"/>
          </w:tcPr>
          <w:p>
            <w:pPr>
              <w:jc w:val="right"/>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3"/>
        </w:trPr>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5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269452</w:t>
            </w: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8"/>
              </w:rPr>
              <w:t>55,100.00</w:t>
            </w:r>
          </w:p>
        </w:tc>
        <w:tc>
          <w:tcPr>
            <w:tcW w:w="0" w:type="dxa"/>
            <w:vAlign w:val="bottom"/>
          </w:tcPr>
          <w:p>
            <w:pPr>
              <w:spacing w:after="0"/>
              <w:rPr>
                <w:sz w:val="1"/>
                <w:szCs w:val="1"/>
                <w:color w:val="auto"/>
              </w:rPr>
            </w:pPr>
          </w:p>
        </w:tc>
      </w:tr>
      <w:tr>
        <w:trPr>
          <w:trHeight w:val="88"/>
        </w:trPr>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E7E7E2"/>
          </w:tcPr>
          <w:p>
            <w:pPr>
              <w:spacing w:after="0" w:line="170"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4"/>
                <w:szCs w:val="14"/>
                <w:color w:val="auto"/>
              </w:rPr>
            </w:pPr>
          </w:p>
        </w:tc>
        <w:tc>
          <w:tcPr>
            <w:tcW w:w="5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NewtekOne, Inc.</w:t>
            </w:r>
          </w:p>
        </w:tc>
        <w:tc>
          <w:tcPr>
            <w:tcW w:w="20" w:type="dxa"/>
            <w:vAlign w:val="bottom"/>
          </w:tcPr>
          <w:p>
            <w:pPr>
              <w:spacing w:after="0"/>
              <w:rPr>
                <w:sz w:val="14"/>
                <w:szCs w:val="14"/>
                <w:color w:val="auto"/>
              </w:rPr>
            </w:pPr>
          </w:p>
        </w:tc>
        <w:tc>
          <w:tcPr>
            <w:tcW w:w="580" w:type="dxa"/>
            <w:vAlign w:val="bottom"/>
            <w:vMerge w:val="restart"/>
            <w:shd w:val="clear" w:color="auto" w:fill="E7E7E2"/>
          </w:tcPr>
          <w:p>
            <w:pPr>
              <w:ind w:left="160"/>
              <w:spacing w:after="0"/>
              <w:rPr>
                <w:sz w:val="20"/>
                <w:szCs w:val="20"/>
                <w:color w:val="auto"/>
              </w:rPr>
            </w:pPr>
            <w:r>
              <w:rPr>
                <w:rFonts w:ascii="Arial" w:cs="Arial" w:eastAsia="Arial" w:hAnsi="Arial"/>
                <w:sz w:val="16"/>
                <w:szCs w:val="16"/>
                <w:color w:val="auto"/>
              </w:rPr>
              <w:t>S-4</w:t>
            </w:r>
          </w:p>
        </w:tc>
        <w:tc>
          <w:tcPr>
            <w:tcW w:w="20" w:type="dxa"/>
            <w:vAlign w:val="bottom"/>
            <w:vMerge w:val="continue"/>
          </w:tcPr>
          <w:p>
            <w:pPr>
              <w:spacing w:after="0"/>
              <w:rPr>
                <w:sz w:val="14"/>
                <w:szCs w:val="14"/>
                <w:color w:val="auto"/>
              </w:rPr>
            </w:pPr>
          </w:p>
        </w:tc>
        <w:tc>
          <w:tcPr>
            <w:tcW w:w="720" w:type="dxa"/>
            <w:vAlign w:val="bottom"/>
            <w:shd w:val="clear" w:color="auto" w:fill="E7E7E2"/>
          </w:tcPr>
          <w:p>
            <w:pPr>
              <w:jc w:val="center"/>
              <w:spacing w:after="0" w:line="170" w:lineRule="exact"/>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w w:val="99"/>
              </w:rPr>
              <w:t>11/18/2025</w:t>
            </w: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vMerge w:val="continue"/>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vMerge w:val="continue"/>
          </w:tcPr>
          <w:p>
            <w:pPr>
              <w:spacing w:after="0"/>
              <w:rPr>
                <w:sz w:val="14"/>
                <w:szCs w:val="14"/>
                <w:color w:val="auto"/>
              </w:rPr>
            </w:pPr>
          </w:p>
        </w:tc>
        <w:tc>
          <w:tcPr>
            <w:tcW w:w="960" w:type="dxa"/>
            <w:vAlign w:val="bottom"/>
            <w:shd w:val="clear" w:color="auto" w:fill="E7E7E2"/>
          </w:tcPr>
          <w:p>
            <w:pPr>
              <w:spacing w:after="0"/>
              <w:rPr>
                <w:sz w:val="14"/>
                <w:szCs w:val="14"/>
                <w:color w:val="auto"/>
              </w:rPr>
            </w:pPr>
          </w:p>
        </w:tc>
        <w:tc>
          <w:tcPr>
            <w:tcW w:w="20" w:type="dxa"/>
            <w:vAlign w:val="bottom"/>
            <w:vMerge w:val="continue"/>
          </w:tcPr>
          <w:p>
            <w:pPr>
              <w:spacing w:after="0"/>
              <w:rPr>
                <w:sz w:val="14"/>
                <w:szCs w:val="14"/>
                <w:color w:val="auto"/>
              </w:rPr>
            </w:pPr>
          </w:p>
        </w:tc>
        <w:tc>
          <w:tcPr>
            <w:tcW w:w="740" w:type="dxa"/>
            <w:vAlign w:val="bottom"/>
            <w:shd w:val="clear" w:color="auto" w:fill="E7E7E2"/>
          </w:tcPr>
          <w:p>
            <w:pPr>
              <w:jc w:val="right"/>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3"/>
        </w:trPr>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5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291615</w:t>
            </w: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8"/>
              </w:rPr>
              <w:t>13,086.70</w:t>
            </w:r>
          </w:p>
        </w:tc>
        <w:tc>
          <w:tcPr>
            <w:tcW w:w="0" w:type="dxa"/>
            <w:vAlign w:val="bottom"/>
          </w:tcPr>
          <w:p>
            <w:pPr>
              <w:spacing w:after="0"/>
              <w:rPr>
                <w:sz w:val="1"/>
                <w:szCs w:val="1"/>
                <w:color w:val="auto"/>
              </w:rPr>
            </w:pPr>
          </w:p>
        </w:tc>
      </w:tr>
      <w:tr>
        <w:trPr>
          <w:trHeight w:val="88"/>
        </w:trPr>
        <w:tc>
          <w:tcPr>
            <w:tcW w:w="9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Rule 457(p) Statement of Withdrawal, Termination, or Completion: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5" w:lineRule="exact"/>
        <w:rPr>
          <w:sz w:val="20"/>
          <w:szCs w:val="20"/>
          <w:color w:val="auto"/>
        </w:rPr>
      </w:pPr>
    </w:p>
    <w:p>
      <w:pPr>
        <w:ind w:left="200" w:right="200" w:firstLine="1"/>
        <w:spacing w:after="0" w:line="241" w:lineRule="auto"/>
        <w:tabs>
          <w:tab w:leader="none" w:pos="441"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January 27, 2023, the registrant initially filed a Registration Statement on Form S-3 (File No. 333-269452) (the 2023 Registration Statement). The 2023 Registration Statement registered an aggregate amount of $500,000,000 of common stock, preferred stock, depositary shares, subscription rights, warrants, senior or subordinated debt securities, and/or units to be offered by the Registrant from time to time. In connection with the filing of the 2023 Registration Statement, the registrant paid $55,100.00 in fees to register the offering of securities under the 2023 Registration Statement. The 2023 Registration Statement is set to expire in July 2026. The Registrant used $34,365.03 in filing fees in connection with offerings under the 2023 Registration Statement and the Registrant is using the remaining $20,734.97 to partially offset the filing fee in connection with this filing pursuant to Rule 457(p) under the Securities Act of 1933, as amended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58420</wp:posOffset>
            </wp:positionV>
            <wp:extent cx="715454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54545" cy="38100"/>
                    </a:xfrm>
                    <a:prstGeom prst="rect">
                      <a:avLst/>
                    </a:prstGeom>
                    <a:noFill/>
                  </pic:spPr>
                </pic:pic>
              </a:graphicData>
            </a:graphic>
          </wp:anchor>
        </w:drawing>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55" w:lineRule="exact"/>
        <w:rPr>
          <w:sz w:val="20"/>
          <w:szCs w:val="20"/>
          <w:color w:val="auto"/>
        </w:rPr>
      </w:pPr>
    </w:p>
    <w:p>
      <w:pPr>
        <w:ind w:left="200" w:right="40" w:firstLine="1"/>
        <w:spacing w:after="0" w:line="242" w:lineRule="auto"/>
        <w:tabs>
          <w:tab w:leader="none" w:pos="441"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November 11, 2025, the registrant initially filed a Registration Statement on Form S-4 (File No. 333-291615) (the 2025 Registration Statement). The 2025 Registration Statement registered an aggregate amount of $94,762,500 of the Registrants 8.50% Fixed Rate Senior Notes Due 2031 (the 2031 Notes) pursuant to an offer to exchange such notes for the Registrants 5.50% Notes Due 2026 (the Exchange Offer). In connection with the filing of the 2025 Registration Statement, the registrant paid $13,086.70 in fees to register the maximum amount of 2031 Notes offered in the Exchange Offer. $7,877,000 of 2031 Notes were issued in the Exchange Offer and $1,087.51 in filing fees in connection with the Exchange Offer were payable in connection therewith. The Registrant is using the remaining $11,998.89 to partially offset the filing fee in connection with this filing pursuant to Rule 457(p)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172720</wp:posOffset>
            </wp:positionV>
            <wp:extent cx="715454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54545" cy="3810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4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6"/>
                <w:szCs w:val="16"/>
                <w:b w:val="1"/>
                <w:bCs w:val="1"/>
                <w:color w:val="auto"/>
                <w:w w:val="99"/>
              </w:rPr>
              <w:t>Table 3: Combined Prospectuses</w:t>
            </w:r>
          </w:p>
        </w:tc>
        <w:tc>
          <w:tcPr>
            <w:tcW w:w="2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ind w:left="780"/>
              <w:spacing w:after="0" w:line="184" w:lineRule="exact"/>
              <w:rPr>
                <w:sz w:val="20"/>
                <w:szCs w:val="20"/>
                <w:color w:val="auto"/>
              </w:rPr>
            </w:pPr>
            <w:r>
              <w:rPr>
                <w:rFonts w:ascii="MS PGothic" w:cs="MS PGothic" w:eastAsia="MS PGothic" w:hAnsi="MS PGothic"/>
                <w:sz w:val="16"/>
                <w:szCs w:val="16"/>
                <w:color w:val="auto"/>
                <w:highlight w:val="black"/>
                <w:w w:val="98"/>
              </w:rPr>
              <w:t>☑</w:t>
            </w:r>
            <w:r>
              <w:rPr>
                <w:rFonts w:ascii="Arial" w:cs="Arial" w:eastAsia="Arial" w:hAnsi="Arial"/>
                <w:sz w:val="16"/>
                <w:szCs w:val="16"/>
                <w:b w:val="1"/>
                <w:bCs w:val="1"/>
                <w:color w:val="auto"/>
                <w:w w:val="98"/>
              </w:rPr>
              <w:t>Not Applicable</w:t>
            </w: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20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vMerge w:val="restart"/>
            <w:shd w:val="clear" w:color="auto" w:fill="9ADAF6"/>
          </w:tcPr>
          <w:p>
            <w:pPr>
              <w:ind w:left="400"/>
              <w:spacing w:after="0" w:line="181" w:lineRule="exact"/>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7"/>
                <w:szCs w:val="7"/>
                <w:color w:val="auto"/>
              </w:rPr>
            </w:pPr>
          </w:p>
        </w:tc>
        <w:tc>
          <w:tcPr>
            <w:tcW w:w="2000" w:type="dxa"/>
            <w:vAlign w:val="bottom"/>
            <w:vMerge w:val="restart"/>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Offering Price of</w:t>
            </w:r>
          </w:p>
        </w:tc>
        <w:tc>
          <w:tcPr>
            <w:tcW w:w="20" w:type="dxa"/>
            <w:vAlign w:val="bottom"/>
          </w:tcPr>
          <w:p>
            <w:pPr>
              <w:spacing w:after="0"/>
              <w:rPr>
                <w:sz w:val="7"/>
                <w:szCs w:val="7"/>
                <w:color w:val="auto"/>
              </w:rPr>
            </w:pPr>
          </w:p>
        </w:tc>
        <w:tc>
          <w:tcPr>
            <w:tcW w:w="680" w:type="dxa"/>
            <w:vAlign w:val="bottom"/>
            <w:vMerge w:val="restart"/>
            <w:shd w:val="clear" w:color="auto" w:fill="9ADAF6"/>
          </w:tcPr>
          <w:p>
            <w:pPr>
              <w:ind w:left="140"/>
              <w:spacing w:after="0" w:line="181"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restart"/>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9"/>
              </w:rPr>
              <w:t>Security Type</w:t>
            </w: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240" w:type="dxa"/>
            <w:vAlign w:val="bottom"/>
            <w:vMerge w:val="restart"/>
            <w:shd w:val="clear" w:color="auto" w:fill="9ADAF6"/>
          </w:tcPr>
          <w:p>
            <w:pPr>
              <w:ind w:left="100"/>
              <w:spacing w:after="0" w:line="181" w:lineRule="exact"/>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7"/>
                <w:szCs w:val="7"/>
                <w:color w:val="auto"/>
              </w:rPr>
            </w:pPr>
          </w:p>
        </w:tc>
        <w:tc>
          <w:tcPr>
            <w:tcW w:w="15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vMerge w:val="restart"/>
            <w:shd w:val="clear" w:color="auto" w:fill="9ADAF6"/>
          </w:tcPr>
          <w:p>
            <w:pPr>
              <w:ind w:left="100"/>
              <w:spacing w:after="0" w:line="181"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w w:val="98"/>
              </w:rPr>
              <w:t>Effective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2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vMerge w:val="restart"/>
            <w:shd w:val="clear" w:color="auto" w:fill="9ADAF6"/>
          </w:tcPr>
          <w:p>
            <w:pPr>
              <w:ind w:left="380"/>
              <w:spacing w:after="0" w:line="181" w:lineRule="exact"/>
              <w:rPr>
                <w:sz w:val="20"/>
                <w:szCs w:val="20"/>
                <w:color w:val="auto"/>
              </w:rPr>
            </w:pPr>
            <w:r>
              <w:rPr>
                <w:rFonts w:ascii="Arial" w:cs="Arial" w:eastAsia="Arial" w:hAnsi="Arial"/>
                <w:sz w:val="16"/>
                <w:szCs w:val="16"/>
                <w:b w:val="1"/>
                <w:bCs w:val="1"/>
                <w:color w:val="auto"/>
              </w:rPr>
              <w:t>Previously</w:t>
            </w:r>
          </w:p>
        </w:tc>
        <w:tc>
          <w:tcPr>
            <w:tcW w:w="20" w:type="dxa"/>
            <w:vAlign w:val="bottom"/>
          </w:tcPr>
          <w:p>
            <w:pPr>
              <w:spacing w:after="0"/>
              <w:rPr>
                <w:sz w:val="7"/>
                <w:szCs w:val="7"/>
                <w:color w:val="auto"/>
              </w:rPr>
            </w:pPr>
          </w:p>
        </w:tc>
        <w:tc>
          <w:tcPr>
            <w:tcW w:w="2000" w:type="dxa"/>
            <w:vAlign w:val="bottom"/>
            <w:vMerge w:val="restart"/>
            <w:shd w:val="clear" w:color="auto" w:fill="9ADAF6"/>
          </w:tcPr>
          <w:p>
            <w:pPr>
              <w:jc w:val="center"/>
              <w:spacing w:after="0" w:line="181" w:lineRule="exact"/>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680" w:type="dxa"/>
            <w:vAlign w:val="bottom"/>
            <w:vMerge w:val="restart"/>
            <w:shd w:val="clear" w:color="auto" w:fill="9ADAF6"/>
          </w:tcPr>
          <w:p>
            <w:pPr>
              <w:ind w:left="160"/>
              <w:spacing w:after="0" w:line="181"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7"/>
                <w:szCs w:val="7"/>
                <w:color w:val="auto"/>
              </w:rPr>
            </w:pPr>
          </w:p>
        </w:tc>
        <w:tc>
          <w:tcPr>
            <w:tcW w:w="11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20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0" w:type="dxa"/>
            <w:vAlign w:val="bottom"/>
            <w:tcBorders>
              <w:left w:val="single" w:sz="8" w:color="auto"/>
            </w:tcBorders>
          </w:tcPr>
          <w:p>
            <w:pPr>
              <w:spacing w:after="0"/>
              <w:rPr>
                <w:sz w:val="6"/>
                <w:szCs w:val="6"/>
                <w:color w:val="auto"/>
              </w:rPr>
            </w:pPr>
          </w:p>
        </w:tc>
        <w:tc>
          <w:tcPr>
            <w:tcW w:w="44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156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shd w:val="clear" w:color="auto" w:fill="9ADAF6"/>
          </w:tcPr>
          <w:p>
            <w:pPr>
              <w:spacing w:after="0"/>
              <w:rPr>
                <w:sz w:val="6"/>
                <w:szCs w:val="6"/>
                <w:color w:val="auto"/>
              </w:rPr>
            </w:pPr>
          </w:p>
        </w:tc>
        <w:tc>
          <w:tcPr>
            <w:tcW w:w="224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continue"/>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2000" w:type="dxa"/>
            <w:vAlign w:val="bottom"/>
            <w:vMerge w:val="continue"/>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shd w:val="clear" w:color="auto" w:fill="9ADAF6"/>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2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120" w:right="299" w:bottom="1440"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292735</wp:posOffset>
            </wp:positionV>
            <wp:extent cx="6727825" cy="88207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6727825" cy="882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292735</wp:posOffset>
            </wp:positionV>
            <wp:extent cx="6727825" cy="8820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6727825" cy="882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07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6727825" cy="882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07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6727825" cy="882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71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6727825" cy="882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71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6727825" cy="882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71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6727825" cy="882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71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6727825" cy="882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07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6727825" cy="882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07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6727825" cy="882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71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6727825" cy="882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71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6727825" cy="882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71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6727825" cy="882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71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6727825" cy="882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71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6727825" cy="882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71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6727825" cy="882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71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6727825" cy="882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71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727825" cy="882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71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6727825" cy="882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07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6727825" cy="882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07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6727825" cy="882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461645</wp:posOffset>
            </wp:positionH>
            <wp:positionV relativeFrom="page">
              <wp:posOffset>407670</wp:posOffset>
            </wp:positionV>
            <wp:extent cx="6727825" cy="88207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6727825" cy="882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lowerRoman"/>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lowerRoman"/>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decimal"/>
      <w:start w:val="1"/>
    </w:lvl>
    <w:lvl w:ilvl="1">
      <w:lvlJc w:val="left"/>
      <w:lvlText w:val="(%2)"/>
      <w:numFmt w:val="lowerRoman"/>
      <w:start w:val="1"/>
    </w:lvl>
  </w:abstractNum>
  <w:abstractNum w:abstractNumId="34">
    <w:nsid w:val="7724C67E"/>
    <w:multiLevelType w:val="hybridMultilevel"/>
    <w:lvl w:ilvl="0">
      <w:lvlJc w:val="left"/>
      <w:lvlText w:val="(%1)"/>
      <w:numFmt w:val="decimal"/>
      <w:start w:val="2"/>
    </w:lvl>
    <w:lvl w:ilvl="1">
      <w:lvlJc w:val="left"/>
      <w:lvlText w:val="(%2)"/>
      <w:numFmt w:val="lowerRoman"/>
      <w:start w:val="1"/>
    </w:lvl>
  </w:abstractNum>
  <w:abstractNum w:abstractNumId="35">
    <w:nsid w:val="5C482A97"/>
    <w:multiLevelType w:val="hybridMultilevel"/>
    <w:lvl w:ilvl="0">
      <w:lvlJc w:val="left"/>
      <w:lvlText w:val="(%1)"/>
      <w:numFmt w:val="upperLetter"/>
      <w:start w:val="1"/>
    </w:lvl>
    <w:lvl w:ilvl="1">
      <w:lvlJc w:val="left"/>
      <w:lvlText w:val="(%2)"/>
      <w:numFmt w:val="upperLetter"/>
      <w:start w:val="2"/>
    </w:lvl>
  </w:abstractNum>
  <w:abstractNum w:abstractNumId="36">
    <w:nsid w:val="2463B9EA"/>
    <w:multiLevelType w:val="hybridMultilevel"/>
    <w:lvl w:ilvl="0">
      <w:lvlJc w:val="left"/>
      <w:lvlText w:val="(%1)"/>
      <w:numFmt w:val="decimal"/>
      <w:start w:val="5"/>
    </w:lvl>
    <w:lvl w:ilvl="1">
      <w:lvlJc w:val="left"/>
      <w:lvlText w:val="(%2)"/>
      <w:numFmt w:val="lowerRoman"/>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62" Type="http://schemas.openxmlformats.org/officeDocument/2006/relationships/hyperlink" Target="https://www.sec.gov/Archives/edgar/data/1587987/000119312514394101/d804521dex99a.htm" TargetMode="External"/><Relationship Id="rId63" Type="http://schemas.openxmlformats.org/officeDocument/2006/relationships/hyperlink" Target="https://www.sec.gov/Archives/edgar/data/1587987/000158798723000014/nbsc-mdxamendmentrestate.htm" TargetMode="External"/><Relationship Id="rId64" Type="http://schemas.openxmlformats.org/officeDocument/2006/relationships/hyperlink" Target="https://www.sec.gov/Archives/edgar/data/1587987/000158798725000157/exhibit31.htm" TargetMode="External"/><Relationship Id="rId65" Type="http://schemas.openxmlformats.org/officeDocument/2006/relationships/hyperlink" Target="https://www.sec.gov/Archives/edgar/data/1587987/000162828026016503/newtekoneincbylaws.htm" TargetMode="External"/><Relationship Id="rId66" Type="http://schemas.openxmlformats.org/officeDocument/2006/relationships/hyperlink" Target="https://www.sec.gov/Archives/edgar/data/1587987/000119312514350298/d714199dex995.htm" TargetMode="External"/><Relationship Id="rId67" Type="http://schemas.openxmlformats.org/officeDocument/2006/relationships/hyperlink" Target="https://www.sec.gov/Archives/edgar/data/1587987/000158798723000205/ex41baseindentu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2026-06-25T17:13:27Z</dcterms:created>
  <dcterms:modified xsi:type="dcterms:W3CDTF">2026-06-25T17:13:27Z</dcterms:modified>
</cp:coreProperties>
</file>