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__________________________</w:t>
      </w:r>
    </w:p>
    <w:p>
      <w:pPr>
        <w:spacing w:after="0" w:line="9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(RULE 14a-101)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__________________________</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__________________________</w:t>
      </w:r>
    </w:p>
    <w:p>
      <w:pPr>
        <w:spacing w:after="0" w:line="211" w:lineRule="exact"/>
        <w:rPr>
          <w:sz w:val="24"/>
          <w:szCs w:val="24"/>
          <w:color w:val="auto"/>
        </w:rPr>
      </w:pPr>
    </w:p>
    <w:p>
      <w:pPr>
        <w:ind w:left="460"/>
        <w:spacing w:after="0"/>
        <w:tabs>
          <w:tab w:leader="none" w:pos="36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color w:val="auto"/>
        </w:rPr>
        <w:t>S</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by the Party other than the Registrant £</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820" w:hanging="36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72" w:lineRule="exact"/>
        <w:rPr>
          <w:rFonts w:ascii="Arial" w:cs="Arial" w:eastAsia="Arial" w:hAnsi="Arial"/>
          <w:sz w:val="18"/>
          <w:szCs w:val="18"/>
          <w:color w:val="auto"/>
        </w:rPr>
      </w:pPr>
    </w:p>
    <w:p>
      <w:pPr>
        <w:ind w:left="460" w:right="2059" w:hanging="6"/>
        <w:spacing w:after="0" w:line="331" w:lineRule="auto"/>
        <w:tabs>
          <w:tab w:leader="none" w:pos="8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for Use of the Commission Only (as permitted by Rule 14a-6(e)(2)) </w:t>
      </w:r>
      <w:r>
        <w:rPr>
          <w:rFonts w:ascii="Arial" w:cs="Arial" w:eastAsia="Arial" w:hAnsi="Arial"/>
          <w:sz w:val="18"/>
          <w:szCs w:val="18"/>
          <w:color w:val="auto"/>
        </w:rPr>
        <w:t>S Definitive Proxy Statement</w:t>
      </w:r>
    </w:p>
    <w:p>
      <w:pPr>
        <w:ind w:left="820" w:hanging="36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6" w:lineRule="exact"/>
        <w:rPr>
          <w:rFonts w:ascii="Arial" w:cs="Arial" w:eastAsia="Arial" w:hAnsi="Arial"/>
          <w:sz w:val="18"/>
          <w:szCs w:val="18"/>
          <w:color w:val="auto"/>
        </w:rPr>
      </w:pPr>
    </w:p>
    <w:p>
      <w:pPr>
        <w:ind w:left="820" w:hanging="36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14a-11(c) or Rule 14a-12</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NEWTEK BUSINESS SERVICES CORP.</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7"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_____________________________________________________________</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 (i) (1) and 0-11.</w:t>
      </w:r>
    </w:p>
    <w:p>
      <w:pPr>
        <w:spacing w:after="0" w:line="198" w:lineRule="exact"/>
        <w:rPr>
          <w:rFonts w:ascii="Arial" w:cs="Arial" w:eastAsia="Arial" w:hAnsi="Arial"/>
          <w:sz w:val="18"/>
          <w:szCs w:val="18"/>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right="599" w:hanging="329"/>
        <w:spacing w:after="0" w:line="308" w:lineRule="auto"/>
        <w:tabs>
          <w:tab w:leader="none" w:pos="11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Arial" w:cs="Arial" w:eastAsia="Arial" w:hAnsi="Arial"/>
          <w:sz w:val="18"/>
          <w:szCs w:val="18"/>
          <w:color w:val="auto"/>
        </w:rPr>
      </w:pPr>
    </w:p>
    <w:p>
      <w:pPr>
        <w:ind w:left="800" w:right="519" w:hanging="346"/>
        <w:spacing w:after="0" w:line="26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6" w:lineRule="exact"/>
        <w:rPr>
          <w:rFonts w:ascii="Arial" w:cs="Arial" w:eastAsia="Arial" w:hAnsi="Arial"/>
          <w:sz w:val="18"/>
          <w:szCs w:val="18"/>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20" w:hanging="32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4714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-224790</wp:posOffset>
            </wp:positionV>
            <wp:extent cx="4714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-670560</wp:posOffset>
            </wp:positionV>
            <wp:extent cx="4714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-1116330</wp:posOffset>
            </wp:positionV>
            <wp:extent cx="4714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-2341880</wp:posOffset>
            </wp:positionV>
            <wp:extent cx="4714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-2787650</wp:posOffset>
            </wp:positionV>
            <wp:extent cx="4714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-3233420</wp:posOffset>
            </wp:positionV>
            <wp:extent cx="4714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-3816350</wp:posOffset>
            </wp:positionV>
            <wp:extent cx="4714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-4262120</wp:posOffset>
            </wp:positionV>
            <wp:extent cx="4714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391795</wp:posOffset>
            </wp:positionV>
            <wp:extent cx="514350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434975</wp:posOffset>
            </wp:positionV>
            <wp:extent cx="51435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405" w:right="1440" w:bottom="47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NEWTEK BUSINESS SERVICES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4800 T-Rex Avenue, Suite 120</w:t>
      </w:r>
    </w:p>
    <w:p>
      <w:pPr>
        <w:jc w:val="center"/>
        <w:ind w:right="19"/>
        <w:spacing w:after="0"/>
        <w:rPr>
          <w:sz w:val="20"/>
          <w:szCs w:val="20"/>
          <w:color w:val="auto"/>
        </w:rPr>
      </w:pPr>
      <w:r>
        <w:rPr>
          <w:rFonts w:ascii="Arial" w:cs="Arial" w:eastAsia="Arial" w:hAnsi="Arial"/>
          <w:sz w:val="20"/>
          <w:szCs w:val="20"/>
          <w:b w:val="1"/>
          <w:bCs w:val="1"/>
          <w:color w:val="auto"/>
        </w:rPr>
        <w:t>Boca Raton, FL 33431</w:t>
      </w:r>
    </w:p>
    <w:p>
      <w:pPr>
        <w:jc w:val="center"/>
        <w:ind w:right="19"/>
        <w:spacing w:after="0"/>
        <w:rPr>
          <w:sz w:val="20"/>
          <w:szCs w:val="20"/>
          <w:color w:val="auto"/>
        </w:rPr>
      </w:pPr>
      <w:r>
        <w:rPr>
          <w:rFonts w:ascii="Arial" w:cs="Arial" w:eastAsia="Arial" w:hAnsi="Arial"/>
          <w:sz w:val="20"/>
          <w:szCs w:val="20"/>
          <w:b w:val="1"/>
          <w:bCs w:val="1"/>
          <w:color w:val="auto"/>
        </w:rPr>
        <w:t>(212) 356-9500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May 13, 2020</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Dear Shareholder:</w:t>
      </w:r>
    </w:p>
    <w:p>
      <w:pPr>
        <w:spacing w:after="0" w:line="216"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8"/>
          <w:szCs w:val="18"/>
          <w:color w:val="auto"/>
        </w:rPr>
        <w:t xml:space="preserve">We invite you to attend the Annual Meeting of Shareholders (the “Annual Meeting”) of Newtek Business Services Corp. (the “Company”) to be held electronically via live webcast on June 12, 2020 at 9:00 a.m., local time. Due to the public health impact of the coronavirus, or COVID-19, pandemic, and to support the health and well-being of our shareholders, service providers, personnel and other stakeholders, the Annual Meeting will be held solely on the internet by virtual means. The live webcast will be accessible over the internet at </w:t>
      </w:r>
      <w:r>
        <w:rPr>
          <w:rFonts w:ascii="Arial" w:cs="Arial" w:eastAsia="Arial" w:hAnsi="Arial"/>
          <w:sz w:val="18"/>
          <w:szCs w:val="18"/>
          <w:i w:val="1"/>
          <w:iCs w:val="1"/>
          <w:color w:val="auto"/>
        </w:rPr>
        <w:t>https://web.lumiagm.com/219597142</w:t>
      </w:r>
      <w:r>
        <w:rPr>
          <w:rFonts w:ascii="Arial" w:cs="Arial" w:eastAsia="Arial" w:hAnsi="Arial"/>
          <w:sz w:val="18"/>
          <w:szCs w:val="18"/>
          <w:color w:val="auto"/>
        </w:rPr>
        <w:t>. Shareholders will NOT be able to attend the Annual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June 3, 2020.</w:t>
      </w:r>
    </w:p>
    <w:p>
      <w:pPr>
        <w:spacing w:after="0" w:line="174" w:lineRule="exact"/>
        <w:rPr>
          <w:sz w:val="20"/>
          <w:szCs w:val="20"/>
          <w:color w:val="auto"/>
        </w:rPr>
      </w:pPr>
    </w:p>
    <w:p>
      <w:pPr>
        <w:jc w:val="both"/>
        <w:ind w:left="460" w:right="559" w:firstLine="432"/>
        <w:spacing w:after="0" w:line="250" w:lineRule="auto"/>
        <w:rPr>
          <w:sz w:val="20"/>
          <w:szCs w:val="20"/>
          <w:color w:val="auto"/>
        </w:rPr>
      </w:pPr>
      <w:r>
        <w:rPr>
          <w:rFonts w:ascii="Arial" w:cs="Arial" w:eastAsia="Arial" w:hAnsi="Arial"/>
          <w:sz w:val="20"/>
          <w:szCs w:val="20"/>
          <w:color w:val="auto"/>
        </w:rPr>
        <w:t>The attached Notice of Annual Meeting and Proxy Statement describe the formal business to be transacted at the Annual Meeting. Also enclosed is a Proxy Card and the Company’s Annual Report on Form 10-K for the year ended December 31, 2019.</w:t>
      </w:r>
    </w:p>
    <w:p>
      <w:pPr>
        <w:spacing w:after="0" w:line="186" w:lineRule="exact"/>
        <w:rPr>
          <w:sz w:val="20"/>
          <w:szCs w:val="20"/>
          <w:color w:val="auto"/>
        </w:rPr>
      </w:pPr>
    </w:p>
    <w:p>
      <w:pPr>
        <w:ind w:left="460" w:right="559" w:firstLine="432"/>
        <w:spacing w:after="0" w:line="244" w:lineRule="auto"/>
        <w:rPr>
          <w:sz w:val="20"/>
          <w:szCs w:val="20"/>
          <w:color w:val="auto"/>
        </w:rPr>
      </w:pPr>
      <w:r>
        <w:rPr>
          <w:rFonts w:ascii="Arial" w:cs="Arial" w:eastAsia="Arial" w:hAnsi="Arial"/>
          <w:sz w:val="20"/>
          <w:szCs w:val="20"/>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8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Company’s Board of Directors, we urge you to please sign, date and return</w:t>
      </w:r>
      <w:r>
        <w:rPr>
          <w:rFonts w:ascii="Arial" w:cs="Arial" w:eastAsia="Arial" w:hAnsi="Arial"/>
          <w:sz w:val="18"/>
          <w:szCs w:val="18"/>
          <w:b w:val="1"/>
          <w:bCs w:val="1"/>
          <w:color w:val="auto"/>
        </w:rPr>
        <w:t xml:space="preserve"> </w:t>
      </w:r>
      <w:r>
        <w:rPr>
          <w:rFonts w:ascii="Arial" w:cs="Arial" w:eastAsia="Arial" w:hAnsi="Arial"/>
          <w:sz w:val="18"/>
          <w:szCs w:val="18"/>
          <w:color w:val="auto"/>
        </w:rPr>
        <w:t>the enclosed Proxy Card in the enclosed postage-prepaid envelope or vote by telephone or internet as soon as possible even if you currently plan to attend the Annual Meeting electronically via the live webcast. This will not prevent you from voting electronically via the live webcast, but will assure that your vote is counted if you are unable to attend the Annual Meeting.</w:t>
      </w:r>
    </w:p>
    <w:p>
      <w:pPr>
        <w:spacing w:after="0" w:line="139"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Sincerely yours,</w:t>
      </w:r>
    </w:p>
    <w:p>
      <w:pPr>
        <w:spacing w:after="0" w:line="189"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/s/ Barry Sloane</w:t>
      </w:r>
    </w:p>
    <w:p>
      <w:pPr>
        <w:spacing w:after="0" w:line="54"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-143510</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Chairman, President and Chief Executive</w:t>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283210</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ind w:left="460" w:right="57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June 12, 2020.</w:t>
      </w:r>
    </w:p>
    <w:p>
      <w:pPr>
        <w:spacing w:after="0" w:line="98"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 xml:space="preserve">Our Proxy Statement and Annual Report on Form 10-K for the year ended December 31, 2019 are available on the internet at </w:t>
      </w:r>
      <w:r>
        <w:rPr>
          <w:rFonts w:ascii="Arial" w:cs="Arial" w:eastAsia="Arial" w:hAnsi="Arial"/>
          <w:sz w:val="18"/>
          <w:szCs w:val="18"/>
          <w:i w:val="1"/>
          <w:iCs w:val="1"/>
          <w:color w:val="auto"/>
        </w:rPr>
        <w:t>http://www.astproxyportal.com/ast/19720</w:t>
      </w:r>
      <w:r>
        <w:rPr>
          <w:rFonts w:ascii="Arial" w:cs="Arial" w:eastAsia="Arial" w:hAnsi="Arial"/>
          <w:sz w:val="18"/>
          <w:szCs w:val="18"/>
          <w:color w:val="auto"/>
        </w:rPr>
        <w:t>.</w:t>
      </w:r>
    </w:p>
    <w:p>
      <w:pPr>
        <w:spacing w:after="0" w:line="89"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following information applicable to the Annual Meeting may be found in the Proxy Statement and accompanying Proxy Card:</w:t>
      </w:r>
    </w:p>
    <w:p>
      <w:pPr>
        <w:spacing w:after="0" w:line="103" w:lineRule="exact"/>
        <w:rPr>
          <w:sz w:val="20"/>
          <w:szCs w:val="20"/>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time and location of the Annual Meeting;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list of the matters intended to be acted on and our recommendations regarding those matters;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your Proxy Card; and</w:t>
      </w:r>
    </w:p>
    <w:p>
      <w:pPr>
        <w:spacing w:after="0" w:line="157"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about virtually attending the Annual Meeting and voting electronically via the live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228600</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12, 2020</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117"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b w:val="1"/>
          <w:bCs w:val="1"/>
          <w:color w:val="auto"/>
        </w:rPr>
        <w:t xml:space="preserve">NOTICE IS HEREBY GIVEN </w:t>
      </w:r>
      <w:r>
        <w:rPr>
          <w:rFonts w:ascii="Arial" w:cs="Arial" w:eastAsia="Arial" w:hAnsi="Arial"/>
          <w:sz w:val="16"/>
          <w:szCs w:val="16"/>
          <w:color w:val="auto"/>
        </w:rPr>
        <w:t>that the Annual Meeting of Shareholders (the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Newtek Business Services Corp. (the “Company”) will be held electronically via live webcast on June 12, 2020 at 9:00 a.m., local time. Due to the public health impact of the coronavirus, or COVID-19, pandemic, and to support the health and well-being of our shareholders, service providers, personnel and other stakeholders, the Annual Meeting will be held solely on the internet by virtual means. The live webcast will be accessible over the internet at </w:t>
      </w:r>
      <w:r>
        <w:rPr>
          <w:rFonts w:ascii="Arial" w:cs="Arial" w:eastAsia="Arial" w:hAnsi="Arial"/>
          <w:sz w:val="16"/>
          <w:szCs w:val="16"/>
          <w:i w:val="1"/>
          <w:iCs w:val="1"/>
          <w:color w:val="auto"/>
        </w:rPr>
        <w:t>https://web.lumiagm.com/219597142</w:t>
      </w:r>
      <w:r>
        <w:rPr>
          <w:rFonts w:ascii="Arial" w:cs="Arial" w:eastAsia="Arial" w:hAnsi="Arial"/>
          <w:sz w:val="16"/>
          <w:szCs w:val="16"/>
          <w:color w:val="auto"/>
        </w:rPr>
        <w:t>. Shareholders will NOT be able to attend the Annual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June 3, 2020.</w:t>
      </w:r>
    </w:p>
    <w:p>
      <w:pPr>
        <w:spacing w:after="0" w:line="103"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The Annual Meeting is for the following purposes, which are more completely described in the accompanying Proxy Statement:</w:t>
      </w:r>
    </w:p>
    <w:p>
      <w:pPr>
        <w:spacing w:after="0" w:line="62" w:lineRule="exact"/>
        <w:rPr>
          <w:sz w:val="20"/>
          <w:szCs w:val="20"/>
          <w:color w:val="auto"/>
        </w:rPr>
      </w:pPr>
    </w:p>
    <w:p>
      <w:pPr>
        <w:ind w:left="1320" w:right="679" w:hanging="434"/>
        <w:spacing w:after="0" w:line="342" w:lineRule="auto"/>
        <w:tabs>
          <w:tab w:leader="none" w:pos="129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two directors of the Company to serve on the Board of Directors until the Company’s Annual Meeting of Shareholders in 2023 and until their successors are duly elected and qualified;</w:t>
      </w:r>
    </w:p>
    <w:p>
      <w:pPr>
        <w:spacing w:after="0" w:line="15" w:lineRule="exact"/>
        <w:rPr>
          <w:rFonts w:ascii="Arial" w:cs="Arial" w:eastAsia="Arial" w:hAnsi="Arial"/>
          <w:sz w:val="16"/>
          <w:szCs w:val="16"/>
          <w:color w:val="auto"/>
        </w:rPr>
      </w:pPr>
    </w:p>
    <w:p>
      <w:pPr>
        <w:ind w:left="1320" w:right="699" w:hanging="434"/>
        <w:spacing w:after="0" w:line="277" w:lineRule="auto"/>
        <w:tabs>
          <w:tab w:leader="none" w:pos="1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RSM US LLP as the Company’s independent registered accounting firm (independent auditors) for the fiscal year ending December 31, 2020;</w:t>
      </w:r>
    </w:p>
    <w:p>
      <w:pPr>
        <w:spacing w:after="0" w:line="62" w:lineRule="exact"/>
        <w:rPr>
          <w:rFonts w:ascii="Arial" w:cs="Arial" w:eastAsia="Arial" w:hAnsi="Arial"/>
          <w:sz w:val="18"/>
          <w:szCs w:val="18"/>
          <w:color w:val="auto"/>
        </w:rPr>
      </w:pPr>
    </w:p>
    <w:p>
      <w:pPr>
        <w:ind w:left="1280" w:hanging="39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 and</w:t>
      </w:r>
    </w:p>
    <w:p>
      <w:pPr>
        <w:spacing w:after="0" w:line="117" w:lineRule="exact"/>
        <w:rPr>
          <w:rFonts w:ascii="Arial" w:cs="Arial" w:eastAsia="Arial" w:hAnsi="Arial"/>
          <w:sz w:val="18"/>
          <w:szCs w:val="18"/>
          <w:color w:val="auto"/>
        </w:rPr>
      </w:pPr>
    </w:p>
    <w:p>
      <w:pPr>
        <w:ind w:left="1320" w:right="1359" w:hanging="434"/>
        <w:spacing w:after="0" w:line="277" w:lineRule="auto"/>
        <w:tabs>
          <w:tab w:leader="none" w:pos="1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thereof.</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of Directors is not aware of any other business to come before the Annual Meeting.</w:t>
      </w:r>
    </w:p>
    <w:p>
      <w:pPr>
        <w:spacing w:after="0" w:line="117"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Any action may be taken on any one of the foregoing proposals at the Annual Meeting or any adjournments thereof. Shareholders of record at the close of business on April 29, 2020 are entitled to vote at the Annual Meeting and any adjournment thereof.</w:t>
      </w:r>
    </w:p>
    <w:p>
      <w:pPr>
        <w:spacing w:after="0" w:line="76"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during the live webcast.</w:t>
      </w:r>
    </w:p>
    <w:p>
      <w:pPr>
        <w:spacing w:after="0" w:line="17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40640</wp:posOffset>
            </wp:positionV>
            <wp:extent cx="2417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BARRY SLOANE</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CHAIRMAN, CHIEF EXECUTIVE OFFICER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PRESIDENT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13, 2020</w:t>
      </w:r>
    </w:p>
    <w:p>
      <w:pPr>
        <w:spacing w:after="0" w:line="207" w:lineRule="exact"/>
        <w:rPr>
          <w:sz w:val="20"/>
          <w:szCs w:val="20"/>
          <w:color w:val="auto"/>
        </w:rPr>
      </w:pPr>
    </w:p>
    <w:p>
      <w:pPr>
        <w:ind w:left="460" w:right="499"/>
        <w:spacing w:after="0" w:line="256" w:lineRule="auto"/>
        <w:rPr>
          <w:sz w:val="20"/>
          <w:szCs w:val="20"/>
          <w:color w:val="auto"/>
        </w:rPr>
      </w:pPr>
      <w:r>
        <w:rPr>
          <w:rFonts w:ascii="Arial" w:cs="Arial" w:eastAsia="Arial" w:hAnsi="Arial"/>
          <w:sz w:val="18"/>
          <w:szCs w:val="18"/>
          <w:b w:val="1"/>
          <w:bCs w:val="1"/>
          <w:color w:val="auto"/>
        </w:rPr>
        <w:t>IMPORTANT: THE PROMPT RETURN OF PROXIES WILL SAVE THE COMPANY THE EXPENSE OF A FURTHER REQUEST FOR PROXIES IN ORDER TO INSURE A QUORUM. A SELF-ADDRESSED ENVELOPE IS ENCLOSED FOR YOUR CONVENIENCE. NO POSTAGE IS REQUIRED IF MAILED WITHIN THE UNITED STATES. EVEN IF YOU VOTE YOUR SHARES PRIOR TO THE MEETING, YOU STILL MAY ATTEND THE MEETING AND VOTE YOUR SHARES ELECTRONICALLY VIA THE LIVE WEBCAST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387985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12,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 xml:space="preserve">This Proxy Statement is furnished in connection with the solicitation of proxies by the Board of Directors of Newtek Business Services Corp. (the “Company”) for the Annual Meeting of Shareholders (the “Annual Meeting”) to be held electronically via live webcast on June 12, 2020 at 9:00 a.m., local time. Due to the public health impact of the coronavirus, or COVID-19, pandemic, and to support the health and well-being of our shareholders, service providers, personnel and other stakeholders, the Annual Meeting will be held solely on the internet by virtual means. The live webcast will be accessible over the internet at </w:t>
      </w:r>
      <w:r>
        <w:rPr>
          <w:rFonts w:ascii="Arial" w:cs="Arial" w:eastAsia="Arial" w:hAnsi="Arial"/>
          <w:sz w:val="17"/>
          <w:szCs w:val="17"/>
          <w:i w:val="1"/>
          <w:iCs w:val="1"/>
          <w:color w:val="auto"/>
        </w:rPr>
        <w:t>https://web.lumiagm.com/219597142</w:t>
      </w:r>
      <w:r>
        <w:rPr>
          <w:rFonts w:ascii="Arial" w:cs="Arial" w:eastAsia="Arial" w:hAnsi="Arial"/>
          <w:sz w:val="17"/>
          <w:szCs w:val="17"/>
          <w:color w:val="auto"/>
        </w:rPr>
        <w:t>. Shareholders will NOT be able to attend the Annual Meeting in-person.</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June 3, 2020.</w:t>
      </w:r>
    </w:p>
    <w:p>
      <w:pPr>
        <w:spacing w:after="0" w:line="104"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accompanying Notice of Annual Meeting and this Proxy Statement, together with the enclosed Proxy Card, are first being mailed to shareholders on or about May 13, 2020.</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BELOW IS IMPORTANT INFORMATION ABOUT HOW YOU MAY OBTAIN VIRTUAL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ACCESS TO THE ANNUAL MEETING AND VOTE YOUR SHARES.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Attending the Annual Meeting Virtually</w:t>
      </w:r>
    </w:p>
    <w:p>
      <w:pPr>
        <w:spacing w:after="0" w:line="162"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 xml:space="preserve">Only record or beneficial owners of the Company’s common stock as of the close of business on April 29, 2020 (the “Record Date”) or their proxies may virtually attend the Annual Meeting. To participate in the virtual annual meeting, go to </w:t>
      </w:r>
      <w:r>
        <w:rPr>
          <w:rFonts w:ascii="Arial" w:cs="Arial" w:eastAsia="Arial" w:hAnsi="Arial"/>
          <w:sz w:val="18"/>
          <w:szCs w:val="18"/>
          <w:i w:val="1"/>
          <w:iCs w:val="1"/>
          <w:color w:val="auto"/>
        </w:rPr>
        <w:t>https://web.lumiagm.com/219597142</w:t>
      </w:r>
      <w:r>
        <w:rPr>
          <w:rFonts w:ascii="Arial" w:cs="Arial" w:eastAsia="Arial" w:hAnsi="Arial"/>
          <w:sz w:val="18"/>
          <w:szCs w:val="18"/>
          <w:color w:val="auto"/>
        </w:rPr>
        <w:t>.</w:t>
      </w:r>
    </w:p>
    <w:p>
      <w:pPr>
        <w:spacing w:after="0" w:line="112" w:lineRule="exact"/>
        <w:rPr>
          <w:sz w:val="20"/>
          <w:szCs w:val="20"/>
          <w:color w:val="auto"/>
        </w:rPr>
      </w:pPr>
    </w:p>
    <w:p>
      <w:pPr>
        <w:ind w:left="460" w:right="559" w:firstLine="432"/>
        <w:spacing w:after="0" w:line="258"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shareholder of record</w:t>
      </w:r>
      <w:r>
        <w:rPr>
          <w:rFonts w:ascii="Arial" w:cs="Arial" w:eastAsia="Arial" w:hAnsi="Arial"/>
          <w:sz w:val="18"/>
          <w:szCs w:val="18"/>
          <w:color w:val="auto"/>
        </w:rPr>
        <w:t xml:space="preserve"> as of April 29, 2020, the Record Date for the Annual Meeting, you should go to </w:t>
      </w:r>
      <w:r>
        <w:rPr>
          <w:rFonts w:ascii="Arial" w:cs="Arial" w:eastAsia="Arial" w:hAnsi="Arial"/>
          <w:sz w:val="18"/>
          <w:szCs w:val="18"/>
          <w:i w:val="1"/>
          <w:iCs w:val="1"/>
          <w:color w:val="auto"/>
        </w:rPr>
        <w:t>https://web.lumiagm.com/219597142</w:t>
      </w:r>
      <w:r>
        <w:rPr>
          <w:rFonts w:ascii="Arial" w:cs="Arial" w:eastAsia="Arial" w:hAnsi="Arial"/>
          <w:sz w:val="18"/>
          <w:szCs w:val="18"/>
          <w:color w:val="auto"/>
        </w:rPr>
        <w:t xml:space="preserve"> prior to the start of the Annual Meeting at 9:00 a.m., local time, on June 12, 2020, click on “I have a login,” enter the control number found on your Proxy Card or Notice of Internet Availability of Proxy Materials you previously received, and enter the password “</w:t>
      </w:r>
      <w:r>
        <w:rPr>
          <w:rFonts w:ascii="Arial" w:cs="Arial" w:eastAsia="Arial" w:hAnsi="Arial"/>
          <w:sz w:val="18"/>
          <w:szCs w:val="18"/>
          <w:b w:val="1"/>
          <w:bCs w:val="1"/>
          <w:color w:val="auto"/>
        </w:rPr>
        <w:t>newtek2020</w:t>
      </w:r>
      <w:r>
        <w:rPr>
          <w:rFonts w:ascii="Arial" w:cs="Arial" w:eastAsia="Arial" w:hAnsi="Arial"/>
          <w:sz w:val="18"/>
          <w:szCs w:val="18"/>
          <w:color w:val="auto"/>
        </w:rPr>
        <w:t>” (the password is case sensitive).</w:t>
      </w:r>
    </w:p>
    <w:p>
      <w:pPr>
        <w:spacing w:after="0" w:line="102" w:lineRule="exact"/>
        <w:rPr>
          <w:sz w:val="20"/>
          <w:szCs w:val="20"/>
          <w:color w:val="auto"/>
        </w:rPr>
      </w:pPr>
    </w:p>
    <w:p>
      <w:pPr>
        <w:ind w:left="460" w:right="659" w:firstLine="432"/>
        <w:spacing w:after="0" w:line="280" w:lineRule="auto"/>
        <w:rPr>
          <w:sz w:val="20"/>
          <w:szCs w:val="20"/>
          <w:color w:val="auto"/>
        </w:rPr>
      </w:pPr>
      <w:r>
        <w:rPr>
          <w:rFonts w:ascii="Arial" w:cs="Arial" w:eastAsia="Arial" w:hAnsi="Arial"/>
          <w:sz w:val="16"/>
          <w:szCs w:val="16"/>
          <w:color w:val="auto"/>
        </w:rPr>
        <w:t>If your shares are held in “</w:t>
      </w:r>
      <w:r>
        <w:rPr>
          <w:rFonts w:ascii="Arial" w:cs="Arial" w:eastAsia="Arial" w:hAnsi="Arial"/>
          <w:sz w:val="16"/>
          <w:szCs w:val="16"/>
          <w:b w:val="1"/>
          <w:bCs w:val="1"/>
          <w:color w:val="auto"/>
        </w:rPr>
        <w:t>street name</w:t>
      </w:r>
      <w:r>
        <w:rPr>
          <w:rFonts w:ascii="Arial" w:cs="Arial" w:eastAsia="Arial" w:hAnsi="Arial"/>
          <w:sz w:val="16"/>
          <w:szCs w:val="16"/>
          <w:color w:val="auto"/>
        </w:rPr>
        <w:t xml:space="preserve">” through a broker, bank or other nominee, in order to participate in the virtual Annual Meeting </w:t>
      </w:r>
      <w:r>
        <w:rPr>
          <w:rFonts w:ascii="Arial" w:cs="Arial" w:eastAsia="Arial" w:hAnsi="Arial"/>
          <w:sz w:val="16"/>
          <w:szCs w:val="16"/>
          <w:b w:val="1"/>
          <w:bCs w:val="1"/>
          <w:color w:val="auto"/>
        </w:rPr>
        <w:t>you must first</w:t>
      </w:r>
      <w:r>
        <w:rPr>
          <w:rFonts w:ascii="Arial" w:cs="Arial" w:eastAsia="Arial" w:hAnsi="Arial"/>
          <w:sz w:val="16"/>
          <w:szCs w:val="16"/>
          <w:color w:val="auto"/>
        </w:rPr>
        <w:t xml:space="preserve"> obtain a legal proxy from your broker, bank or other nominee reflecting the number of shares of Company common stock you held as of the Record Date, your name and email address. You </w:t>
      </w:r>
      <w:r>
        <w:rPr>
          <w:rFonts w:ascii="Arial" w:cs="Arial" w:eastAsia="Arial" w:hAnsi="Arial"/>
          <w:sz w:val="16"/>
          <w:szCs w:val="16"/>
          <w:b w:val="1"/>
          <w:bCs w:val="1"/>
          <w:color w:val="auto"/>
        </w:rPr>
        <w:t>then must submit a request for registration</w:t>
      </w:r>
      <w:r>
        <w:rPr>
          <w:rFonts w:ascii="Arial" w:cs="Arial" w:eastAsia="Arial" w:hAnsi="Arial"/>
          <w:sz w:val="16"/>
          <w:szCs w:val="16"/>
          <w:color w:val="auto"/>
        </w:rPr>
        <w:t xml:space="preserve"> to American Stock Transfer &amp; Trust Company, LLC: (1) by email to proxy@astfinancial.com; (2) by facsimile to 718-765-8730 or (3) by mail to American Stock Transfer &amp; Trust Company, LLC, Attn: Proxy Tabulation Department, 6201 15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Avenue, Brooklyn, NY 11219. </w:t>
      </w:r>
      <w:r>
        <w:rPr>
          <w:rFonts w:ascii="Arial" w:cs="Arial" w:eastAsia="Arial" w:hAnsi="Arial"/>
          <w:sz w:val="16"/>
          <w:szCs w:val="16"/>
          <w:b w:val="1"/>
          <w:bCs w:val="1"/>
          <w:color w:val="auto"/>
        </w:rPr>
        <w:t>Requests for registration must be labeled as “Legal Proxy” and be received by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American Stock Transfer &amp; Trust Company, LLC </w:t>
      </w:r>
      <w:r>
        <w:rPr>
          <w:rFonts w:ascii="Arial" w:cs="Arial" w:eastAsia="Arial" w:hAnsi="Arial"/>
          <w:sz w:val="16"/>
          <w:szCs w:val="16"/>
          <w:b w:val="1"/>
          <w:bCs w:val="1"/>
          <w:i w:val="1"/>
          <w:iCs w:val="1"/>
          <w:color w:val="auto"/>
        </w:rPr>
        <w:t>by no later than 5:00 p.m. Eastern time on June 3, 2020</w:t>
      </w:r>
      <w:r>
        <w:rPr>
          <w:rFonts w:ascii="Arial" w:cs="Arial" w:eastAsia="Arial" w:hAnsi="Arial"/>
          <w:sz w:val="16"/>
          <w:szCs w:val="16"/>
          <w:b w:val="1"/>
          <w:bCs w:val="1"/>
          <w:color w:val="auto"/>
        </w:rPr>
        <w:t>.</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may vote using any of the following methods:</w:t>
      </w:r>
    </w:p>
    <w:p>
      <w:pPr>
        <w:spacing w:after="0" w:line="154" w:lineRule="exact"/>
        <w:rPr>
          <w:sz w:val="20"/>
          <w:szCs w:val="20"/>
          <w:color w:val="auto"/>
        </w:rPr>
      </w:pPr>
    </w:p>
    <w:p>
      <w:pPr>
        <w:ind w:left="460" w:right="479" w:firstLine="432"/>
        <w:spacing w:after="0" w:line="256"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of record may submit proxies by completing, signing and dating each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received and returning it in the prepaid envelope. Sign your name exactly as it appears on the proxy. If you return your signed proxy but do not indicate your voting preferences, your shares will be voted on your behalf “FOR” the election of the nominee for director, “FOR” the ratification of RSM US LLP (“RSM”) as the Company’s independent registered public accounting firm for 2020, and “FOR” approval of the advisory vote on the compensation of the named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ind w:left="460" w:right="519"/>
        <w:spacing w:after="0" w:line="263" w:lineRule="auto"/>
        <w:rPr>
          <w:sz w:val="20"/>
          <w:szCs w:val="20"/>
          <w:color w:val="auto"/>
        </w:rPr>
      </w:pPr>
      <w:r>
        <w:rPr>
          <w:rFonts w:ascii="Arial" w:cs="Arial" w:eastAsia="Arial" w:hAnsi="Arial"/>
          <w:sz w:val="18"/>
          <w:szCs w:val="18"/>
          <w:color w:val="auto"/>
        </w:rPr>
        <w:t>executive officers. Shareholders who hold shares beneficially in street name may provide voting instructions by mail by completing, signing and dating the voting instruction forms provided by their brokers, banks or other nominees.</w:t>
      </w:r>
    </w:p>
    <w:p>
      <w:pPr>
        <w:spacing w:after="0" w:line="99"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Shareholders of record may submit proxies by following the telephone voting</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on each Proxy Card. Most shareholders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10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instructions on their Proxy Cards. Most shareholders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2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b w:val="1"/>
          <w:bCs w:val="1"/>
          <w:color w:val="auto"/>
        </w:rPr>
        <w:t xml:space="preserve">Virtually at the Annual Meeting </w:t>
      </w:r>
      <w:r>
        <w:rPr>
          <w:rFonts w:ascii="Arial" w:cs="Arial" w:eastAsia="Arial" w:hAnsi="Arial"/>
          <w:sz w:val="18"/>
          <w:szCs w:val="18"/>
          <w:color w:val="auto"/>
        </w:rPr>
        <w:t>— If you are a shareholder of record as of April 29, 2020,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for the Annual Meeting, you may vote during the virtual annual meeting by (a) visiting </w:t>
      </w:r>
      <w:r>
        <w:rPr>
          <w:rFonts w:ascii="Arial" w:cs="Arial" w:eastAsia="Arial" w:hAnsi="Arial"/>
          <w:sz w:val="18"/>
          <w:szCs w:val="18"/>
          <w:i w:val="1"/>
          <w:iCs w:val="1"/>
          <w:color w:val="auto"/>
        </w:rPr>
        <w:t xml:space="preserve">www.voteproxy.com </w:t>
      </w:r>
      <w:r>
        <w:rPr>
          <w:rFonts w:ascii="Arial" w:cs="Arial" w:eastAsia="Arial" w:hAnsi="Arial"/>
          <w:sz w:val="18"/>
          <w:szCs w:val="18"/>
          <w:color w:val="auto"/>
        </w:rPr>
        <w:t>and following the on screen instructions (have your proxy card or Notice of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w:t>
      </w:r>
    </w:p>
    <w:p>
      <w:pPr>
        <w:spacing w:after="0" w:line="112"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If your shares are held in “street name” through a bank, broker or other nominee, in order to vote during the virtual Annual Meeting you must first obtain a “legal proxy” from your bank, broker or other nominee and register with American Stock Transfer &amp; Trust Company, LLC, as described above, in order for you to participate in the virtual Annual Meeting. You then may vote by following the instructions provided to you by American Stock Transfer &amp; Trust Company.</w:t>
      </w:r>
    </w:p>
    <w:p>
      <w:pPr>
        <w:spacing w:after="0" w:line="120"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b w:val="1"/>
          <w:bCs w:val="1"/>
          <w:i w:val="1"/>
          <w:iCs w:val="1"/>
          <w:color w:val="auto"/>
        </w:rPr>
        <w:t xml:space="preserve">Whether or not you expect to participate in the virtual Annual Meeting, the Board of Directors urges shareholders to submit a proxy to vote your shares in advance of the Annual Meeting </w:t>
      </w:r>
      <w:r>
        <w:rPr>
          <w:rFonts w:ascii="Arial" w:cs="Arial" w:eastAsia="Arial" w:hAnsi="Arial"/>
          <w:sz w:val="16"/>
          <w:szCs w:val="16"/>
          <w:color w:val="auto"/>
        </w:rPr>
        <w:t>by (a) visiting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www.voteproxy.com </w:t>
      </w:r>
      <w:r>
        <w:rPr>
          <w:rFonts w:ascii="Arial" w:cs="Arial" w:eastAsia="Arial" w:hAnsi="Arial"/>
          <w:sz w:val="16"/>
          <w:szCs w:val="16"/>
          <w:color w:val="auto"/>
        </w:rPr>
        <w:t>and following the on screen instructions (have your proxy card or Notice of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 or (c) submitting your proxy card by mail by using the previously provided self-addressed, stamped envelope. Submitting a proxy will not prevent you from revoking a previously submitted proxy or changing your vote as described above, but it will help to secure a quorum and avoid added solicitation costs.</w:t>
      </w:r>
    </w:p>
    <w:p>
      <w:pPr>
        <w:spacing w:after="0" w:line="9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of the Company or by the filing of a properly executed, later-dated proxy. A proxy will not be voted if a shareholder virtually attends the Annual Meeting and votes during the live webcast. The virtual presence of a shareholder at the Annual Meeting alone will not revoke such shareholder’s proxy. Shareholders have no dissenters’ or appraisal rights in connection with any of the proposals described 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t>What is the Vote Required for Each Proposal?</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Broker</w:t>
            </w: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1"/>
              </w:rPr>
              <w:t>Discretionary</w:t>
            </w: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8"/>
              </w:rPr>
              <w:t>Voting</w:t>
            </w:r>
          </w:p>
        </w:tc>
        <w:tc>
          <w:tcPr>
            <w:tcW w:w="10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w w:val="90"/>
              </w:rPr>
              <w:t>Effect of Abstentions and</w:t>
            </w:r>
          </w:p>
        </w:tc>
        <w:tc>
          <w:tcPr>
            <w:tcW w:w="0" w:type="dxa"/>
            <w:vAlign w:val="bottom"/>
          </w:tcPr>
          <w:p>
            <w:pPr>
              <w:spacing w:after="0"/>
              <w:rPr>
                <w:sz w:val="1"/>
                <w:szCs w:val="1"/>
                <w:color w:val="auto"/>
              </w:rPr>
            </w:pPr>
          </w:p>
        </w:tc>
      </w:tr>
      <w:tr>
        <w:trPr>
          <w:trHeight w:val="210"/>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Proposal</w:t>
            </w:r>
          </w:p>
        </w:tc>
        <w:tc>
          <w:tcPr>
            <w:tcW w:w="1820" w:type="dxa"/>
            <w:vAlign w:val="bottom"/>
            <w:gridSpan w:val="2"/>
          </w:tcPr>
          <w:p>
            <w:pPr>
              <w:ind w:left="360"/>
              <w:spacing w:after="0"/>
              <w:rPr>
                <w:sz w:val="20"/>
                <w:szCs w:val="20"/>
                <w:color w:val="auto"/>
              </w:rPr>
            </w:pPr>
            <w:r>
              <w:rPr>
                <w:rFonts w:ascii="Arial" w:cs="Arial" w:eastAsia="Arial" w:hAnsi="Arial"/>
                <w:sz w:val="16"/>
                <w:szCs w:val="16"/>
                <w:b w:val="1"/>
                <w:bCs w:val="1"/>
                <w:color w:val="auto"/>
              </w:rPr>
              <w:t>Vote Required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Allowed?</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w w:val="91"/>
              </w:rPr>
              <w:t>Broker Non-Votes</w:t>
            </w:r>
          </w:p>
        </w:tc>
        <w:tc>
          <w:tcPr>
            <w:tcW w:w="0" w:type="dxa"/>
            <w:vAlign w:val="bottom"/>
          </w:tcPr>
          <w:p>
            <w:pPr>
              <w:spacing w:after="0"/>
              <w:rPr>
                <w:sz w:val="1"/>
                <w:szCs w:val="1"/>
                <w:color w:val="auto"/>
              </w:rPr>
            </w:pPr>
          </w:p>
        </w:tc>
      </w:tr>
      <w:tr>
        <w:trPr>
          <w:trHeight w:val="46"/>
        </w:trPr>
        <w:tc>
          <w:tcPr>
            <w:tcW w:w="25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540" w:type="dxa"/>
            <w:vAlign w:val="bottom"/>
          </w:tcPr>
          <w:p>
            <w:pPr>
              <w:spacing w:after="0" w:line="191" w:lineRule="exact"/>
              <w:rPr>
                <w:sz w:val="20"/>
                <w:szCs w:val="20"/>
                <w:color w:val="auto"/>
              </w:rPr>
            </w:pPr>
            <w:r>
              <w:rPr>
                <w:rFonts w:ascii="Arial" w:cs="Arial" w:eastAsia="Arial" w:hAnsi="Arial"/>
                <w:sz w:val="18"/>
                <w:szCs w:val="18"/>
                <w:b w:val="1"/>
                <w:bCs w:val="1"/>
                <w:color w:val="auto"/>
              </w:rPr>
              <w:t>Proposal I — Election of</w:t>
            </w:r>
          </w:p>
        </w:tc>
        <w:tc>
          <w:tcPr>
            <w:tcW w:w="100" w:type="dxa"/>
            <w:vAlign w:val="bottom"/>
            <w:vMerge w:val="continue"/>
          </w:tcPr>
          <w:p>
            <w:pPr>
              <w:spacing w:after="0"/>
              <w:rPr>
                <w:sz w:val="16"/>
                <w:szCs w:val="16"/>
                <w:color w:val="auto"/>
              </w:rPr>
            </w:pPr>
          </w:p>
        </w:tc>
        <w:tc>
          <w:tcPr>
            <w:tcW w:w="1720" w:type="dxa"/>
            <w:vAlign w:val="bottom"/>
          </w:tcPr>
          <w:p>
            <w:pPr>
              <w:spacing w:after="0" w:line="191" w:lineRule="exact"/>
              <w:rPr>
                <w:sz w:val="20"/>
                <w:szCs w:val="20"/>
                <w:color w:val="auto"/>
              </w:rPr>
            </w:pPr>
            <w:r>
              <w:rPr>
                <w:rFonts w:ascii="Arial" w:cs="Arial" w:eastAsia="Arial" w:hAnsi="Arial"/>
                <w:sz w:val="18"/>
                <w:szCs w:val="18"/>
                <w:color w:val="auto"/>
              </w:rPr>
              <w:t>Affirmative vote of a</w:t>
            </w:r>
          </w:p>
        </w:tc>
        <w:tc>
          <w:tcPr>
            <w:tcW w:w="100" w:type="dxa"/>
            <w:vAlign w:val="bottom"/>
            <w:vMerge w:val="continue"/>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color w:val="auto"/>
                <w:w w:val="95"/>
              </w:rPr>
              <w:t>No</w:t>
            </w:r>
          </w:p>
        </w:tc>
        <w:tc>
          <w:tcPr>
            <w:tcW w:w="100" w:type="dxa"/>
            <w:vAlign w:val="bottom"/>
            <w:vMerge w:val="continue"/>
          </w:tcPr>
          <w:p>
            <w:pPr>
              <w:spacing w:after="0"/>
              <w:rPr>
                <w:sz w:val="16"/>
                <w:szCs w:val="16"/>
                <w:color w:val="auto"/>
              </w:rPr>
            </w:pPr>
          </w:p>
        </w:tc>
        <w:tc>
          <w:tcPr>
            <w:tcW w:w="2580" w:type="dxa"/>
            <w:vAlign w:val="bottom"/>
          </w:tcPr>
          <w:p>
            <w:pPr>
              <w:spacing w:after="0" w:line="191" w:lineRule="exact"/>
              <w:rPr>
                <w:sz w:val="20"/>
                <w:szCs w:val="20"/>
                <w:color w:val="auto"/>
              </w:rPr>
            </w:pPr>
            <w:r>
              <w:rPr>
                <w:rFonts w:ascii="Arial" w:cs="Arial" w:eastAsia="Arial" w:hAnsi="Arial"/>
                <w:sz w:val="18"/>
                <w:szCs w:val="18"/>
                <w:color w:val="auto"/>
                <w:w w:val="95"/>
              </w:rPr>
              <w:t>Broker non-votes are not counted</w:t>
            </w:r>
          </w:p>
        </w:tc>
        <w:tc>
          <w:tcPr>
            <w:tcW w:w="0" w:type="dxa"/>
            <w:vAlign w:val="bottom"/>
          </w:tcPr>
          <w:p>
            <w:pPr>
              <w:spacing w:after="0"/>
              <w:rPr>
                <w:sz w:val="1"/>
                <w:szCs w:val="1"/>
                <w:color w:val="auto"/>
              </w:rPr>
            </w:pPr>
          </w:p>
        </w:tc>
      </w:tr>
      <w:tr>
        <w:trPr>
          <w:trHeight w:val="220"/>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1820" w:type="dxa"/>
            <w:vAlign w:val="bottom"/>
            <w:gridSpan w:val="2"/>
          </w:tcPr>
          <w:p>
            <w:pPr>
              <w:spacing w:after="0"/>
              <w:rPr>
                <w:sz w:val="20"/>
                <w:szCs w:val="20"/>
                <w:color w:val="auto"/>
              </w:rPr>
            </w:pPr>
            <w:r>
              <w:rPr>
                <w:rFonts w:ascii="Arial" w:cs="Arial" w:eastAsia="Arial" w:hAnsi="Arial"/>
                <w:sz w:val="18"/>
                <w:szCs w:val="18"/>
                <w:color w:val="auto"/>
              </w:rPr>
              <w:t>plurality of all votes</w:t>
            </w:r>
          </w:p>
        </w:tc>
        <w:tc>
          <w:tcPr>
            <w:tcW w:w="960" w:type="dxa"/>
            <w:vAlign w:val="bottom"/>
          </w:tcPr>
          <w:p>
            <w:pPr>
              <w:spacing w:after="0"/>
              <w:rPr>
                <w:sz w:val="19"/>
                <w:szCs w:val="19"/>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8"/>
              </w:rPr>
              <w:t>as votes cast for purposes of the</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cast at the Annual</w:t>
            </w:r>
          </w:p>
        </w:tc>
        <w:tc>
          <w:tcPr>
            <w:tcW w:w="96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2"/>
              </w:rPr>
              <w:t>election of a director nominee and,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Meeting</w:t>
            </w:r>
          </w:p>
        </w:tc>
        <w:tc>
          <w:tcPr>
            <w:tcW w:w="96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1"/>
              </w:rPr>
              <w:t>therefore, will have no effect on the</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4"/>
              </w:rPr>
              <w:t>outcome of such election. A proxy</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6"/>
              </w:rPr>
              <w:t>marked “withhold” with respect to</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7"/>
              </w:rPr>
              <w:t>the director nominee will result in</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89"/>
              </w:rPr>
              <w:t>the director nominees receiving one</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w w:val="93"/>
              </w:rPr>
              <w:t>fewer “FOR” vote that would count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2"/>
          </w:tcPr>
          <w:p>
            <w:pPr>
              <w:ind w:left="100"/>
              <w:spacing w:after="0"/>
              <w:rPr>
                <w:sz w:val="20"/>
                <w:szCs w:val="20"/>
                <w:color w:val="auto"/>
              </w:rPr>
            </w:pPr>
            <w:r>
              <w:rPr>
                <w:rFonts w:ascii="Arial" w:cs="Arial" w:eastAsia="Arial" w:hAnsi="Arial"/>
                <w:sz w:val="18"/>
                <w:szCs w:val="18"/>
                <w:color w:val="auto"/>
              </w:rPr>
              <w:t>towards a plurality.</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337" w:right="1440" w:bottom="1440" w:gutter="0" w:footer="0" w:header="0"/>
        </w:sectPr>
      </w:pPr>
    </w:p>
    <w:p>
      <w:pPr>
        <w:ind w:left="460"/>
        <w:spacing w:after="0"/>
        <w:rPr>
          <w:sz w:val="20"/>
          <w:szCs w:val="20"/>
          <w:color w:val="auto"/>
        </w:rPr>
      </w:pPr>
      <w:r>
        <w:rPr>
          <w:rFonts w:ascii="Arial" w:cs="Arial" w:eastAsia="Arial" w:hAnsi="Arial"/>
          <w:sz w:val="18"/>
          <w:szCs w:val="18"/>
          <w:b w:val="1"/>
          <w:bCs w:val="1"/>
          <w:color w:val="auto"/>
        </w:rPr>
        <w:t>Proposal II — Ratification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Appointment of Independent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Auditors</w:t>
      </w:r>
    </w:p>
    <w:p>
      <w:pPr>
        <w:spacing w:after="0" w:line="396"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b w:val="1"/>
          <w:bCs w:val="1"/>
          <w:color w:val="auto"/>
        </w:rPr>
        <w:t>Proposal III — Advisory Vote on Compensation of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Affirmative vote of a</w:t>
            </w:r>
          </w:p>
        </w:tc>
        <w:tc>
          <w:tcPr>
            <w:tcW w:w="820" w:type="dxa"/>
            <w:vAlign w:val="bottom"/>
          </w:tcPr>
          <w:p>
            <w:pPr>
              <w:ind w:left="340"/>
              <w:spacing w:after="0"/>
              <w:rPr>
                <w:sz w:val="20"/>
                <w:szCs w:val="20"/>
                <w:color w:val="auto"/>
              </w:rPr>
            </w:pPr>
            <w:r>
              <w:rPr>
                <w:rFonts w:ascii="Arial" w:cs="Arial" w:eastAsia="Arial" w:hAnsi="Arial"/>
                <w:sz w:val="18"/>
                <w:szCs w:val="18"/>
                <w:color w:val="auto"/>
              </w:rPr>
              <w:t>Yes</w:t>
            </w:r>
          </w:p>
        </w:tc>
        <w:tc>
          <w:tcPr>
            <w:tcW w:w="2640" w:type="dxa"/>
            <w:vAlign w:val="bottom"/>
          </w:tcPr>
          <w:p>
            <w:pPr>
              <w:ind w:left="220"/>
              <w:spacing w:after="0"/>
              <w:rPr>
                <w:sz w:val="20"/>
                <w:szCs w:val="20"/>
                <w:color w:val="auto"/>
              </w:rPr>
            </w:pPr>
            <w:r>
              <w:rPr>
                <w:rFonts w:ascii="Arial" w:cs="Arial" w:eastAsia="Arial" w:hAnsi="Arial"/>
                <w:sz w:val="18"/>
                <w:szCs w:val="18"/>
                <w:color w:val="auto"/>
                <w:w w:val="89"/>
              </w:rPr>
              <w:t>Abstentions and broker non-votes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majority of the votes</w:t>
            </w:r>
          </w:p>
        </w:tc>
        <w:tc>
          <w:tcPr>
            <w:tcW w:w="8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w w:val="92"/>
              </w:rPr>
              <w:t>will not be counted as votes cast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cast at the Annual</w:t>
            </w:r>
          </w:p>
        </w:tc>
        <w:tc>
          <w:tcPr>
            <w:tcW w:w="8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and will have no effect on the</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Meeting</w:t>
            </w:r>
          </w:p>
        </w:tc>
        <w:tc>
          <w:tcPr>
            <w:tcW w:w="8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result of the vote.</w:t>
            </w:r>
          </w:p>
        </w:tc>
      </w:tr>
      <w:tr>
        <w:trPr>
          <w:trHeight w:val="391"/>
        </w:trPr>
        <w:tc>
          <w:tcPr>
            <w:tcW w:w="1840" w:type="dxa"/>
            <w:vAlign w:val="bottom"/>
          </w:tcPr>
          <w:p>
            <w:pPr>
              <w:spacing w:after="0"/>
              <w:rPr>
                <w:sz w:val="20"/>
                <w:szCs w:val="20"/>
                <w:color w:val="auto"/>
              </w:rPr>
            </w:pPr>
            <w:r>
              <w:rPr>
                <w:rFonts w:ascii="Arial" w:cs="Arial" w:eastAsia="Arial" w:hAnsi="Arial"/>
                <w:sz w:val="18"/>
                <w:szCs w:val="18"/>
                <w:color w:val="auto"/>
              </w:rPr>
              <w:t>Affirmative vote of a</w:t>
            </w:r>
          </w:p>
        </w:tc>
        <w:tc>
          <w:tcPr>
            <w:tcW w:w="820" w:type="dxa"/>
            <w:vAlign w:val="bottom"/>
          </w:tcPr>
          <w:p>
            <w:pPr>
              <w:ind w:left="360"/>
              <w:spacing w:after="0"/>
              <w:rPr>
                <w:sz w:val="20"/>
                <w:szCs w:val="20"/>
                <w:color w:val="auto"/>
              </w:rPr>
            </w:pPr>
            <w:r>
              <w:rPr>
                <w:rFonts w:ascii="Arial" w:cs="Arial" w:eastAsia="Arial" w:hAnsi="Arial"/>
                <w:sz w:val="18"/>
                <w:szCs w:val="18"/>
                <w:color w:val="auto"/>
              </w:rPr>
              <w:t>No</w:t>
            </w:r>
          </w:p>
        </w:tc>
        <w:tc>
          <w:tcPr>
            <w:tcW w:w="2640" w:type="dxa"/>
            <w:vAlign w:val="bottom"/>
          </w:tcPr>
          <w:p>
            <w:pPr>
              <w:ind w:left="220"/>
              <w:spacing w:after="0"/>
              <w:rPr>
                <w:sz w:val="20"/>
                <w:szCs w:val="20"/>
                <w:color w:val="auto"/>
              </w:rPr>
            </w:pPr>
            <w:r>
              <w:rPr>
                <w:rFonts w:ascii="Arial" w:cs="Arial" w:eastAsia="Arial" w:hAnsi="Arial"/>
                <w:sz w:val="18"/>
                <w:szCs w:val="18"/>
                <w:color w:val="auto"/>
                <w:w w:val="89"/>
              </w:rPr>
              <w:t>Abstentions and broker non-votes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majority of the votes</w:t>
            </w:r>
          </w:p>
        </w:tc>
        <w:tc>
          <w:tcPr>
            <w:tcW w:w="8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w w:val="92"/>
              </w:rPr>
              <w:t>will not be counted as votes cast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cast at the Annual</w:t>
            </w:r>
          </w:p>
        </w:tc>
        <w:tc>
          <w:tcPr>
            <w:tcW w:w="8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and will have no effect on the</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Meeting</w:t>
            </w:r>
          </w:p>
        </w:tc>
        <w:tc>
          <w:tcPr>
            <w:tcW w:w="8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result of the vote.</w:t>
            </w:r>
          </w:p>
        </w:tc>
      </w:tr>
    </w:tbl>
    <w:p>
      <w:pPr>
        <w:spacing w:after="0" w:line="200" w:lineRule="exact"/>
        <w:rPr>
          <w:sz w:val="20"/>
          <w:szCs w:val="20"/>
          <w:color w:val="auto"/>
        </w:rPr>
      </w:pPr>
    </w:p>
    <w:p>
      <w:pPr>
        <w:sectPr>
          <w:pgSz w:w="11900" w:h="16838" w:orient="portrait"/>
          <w:cols w:equalWidth="0" w:num="2">
            <w:col w:w="2980" w:space="120"/>
            <w:col w:w="5919"/>
          </w:cols>
          <w:pgMar w:left="1440" w:top="337" w:right="1440"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REVOCATION OF PROXIES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securities which can be voted at the Annual Meeting consist of the Company’s common shares, $0.02 par value per share (“Common Shares”). Shareholders of record as of the close of business on the Record Date are entitled to one vote for each Common Share then held on all matters. As of the Record Date, approximately 20,906,745 Common Shares were issued and outstanding. The presence, electronically via the live webcast or by proxy, of at least a majority of the total number of Common Shares outstanding and entitled to vote will be necessary to constitute a quorum at the Annual Meeting.</w:t>
      </w:r>
    </w:p>
    <w:p>
      <w:pPr>
        <w:spacing w:after="0" w:line="97" w:lineRule="exact"/>
        <w:rPr>
          <w:sz w:val="20"/>
          <w:szCs w:val="20"/>
          <w:color w:val="auto"/>
        </w:rPr>
      </w:pPr>
    </w:p>
    <w:p>
      <w:pPr>
        <w:ind w:left="460" w:right="759" w:firstLine="432"/>
        <w:spacing w:after="0" w:line="263" w:lineRule="auto"/>
        <w:rPr>
          <w:sz w:val="20"/>
          <w:szCs w:val="20"/>
          <w:color w:val="auto"/>
        </w:rPr>
      </w:pPr>
      <w:r>
        <w:rPr>
          <w:rFonts w:ascii="Arial" w:cs="Arial" w:eastAsia="Arial" w:hAnsi="Arial"/>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The following table sets forth, as of April 13, 2020, the beneficial ownership of each current director, the nominee for director, the Company’s executive officers, each person known to us to beneficially own 5% or more of the outstanding Common Shares, and the executive officers and directors as a group. Percentage of beneficial ownership is based on 20,906,745 Common Shares outstanding as of April 22, 2020.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9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Unless otherwise indicated, the Company believes that each beneficial owner set forth in the table has sole voting and investment power.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Corp.,4800 T-Rex Avenue, Suite 120, Boca Raton, FL 33431.</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Beneficially</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Name of Beneficial Owner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Owned</w:t>
            </w:r>
          </w:p>
        </w:tc>
        <w:tc>
          <w:tcPr>
            <w:tcW w:w="12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46"/>
        </w:trPr>
        <w:tc>
          <w:tcPr>
            <w:tcW w:w="5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gridSpan w:val="2"/>
          </w:tcPr>
          <w:p>
            <w:pPr>
              <w:spacing w:after="0"/>
              <w:rPr>
                <w:sz w:val="20"/>
                <w:szCs w:val="20"/>
                <w:color w:val="auto"/>
              </w:rPr>
            </w:pPr>
            <w:r>
              <w:rPr>
                <w:rFonts w:ascii="Arial" w:cs="Arial" w:eastAsia="Arial" w:hAnsi="Arial"/>
                <w:sz w:val="18"/>
                <w:szCs w:val="18"/>
                <w:color w:val="auto"/>
              </w:rPr>
              <w:t>Barry Sloane</w:t>
            </w:r>
            <w:r>
              <w:rPr>
                <w:rFonts w:ascii="Arial" w:cs="Arial" w:eastAsia="Arial" w:hAnsi="Arial"/>
                <w:sz w:val="20"/>
                <w:szCs w:val="20"/>
                <w:color w:val="auto"/>
                <w:vertAlign w:val="superscript"/>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1,148,673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r>
              <w:rPr>
                <w:rFonts w:ascii="Arial" w:cs="Arial" w:eastAsia="Arial" w:hAnsi="Arial"/>
                <w:sz w:val="20"/>
                <w:szCs w:val="20"/>
                <w:color w:val="auto"/>
                <w:vertAlign w:val="superscript"/>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Zink</w:t>
            </w:r>
            <w:r>
              <w:rPr>
                <w:rFonts w:ascii="Arial" w:cs="Arial" w:eastAsia="Arial" w:hAnsi="Arial"/>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gridSpan w:val="2"/>
          </w:tcPr>
          <w:p>
            <w:pPr>
              <w:spacing w:after="0"/>
              <w:rPr>
                <w:sz w:val="20"/>
                <w:szCs w:val="20"/>
                <w:color w:val="auto"/>
              </w:rPr>
            </w:pPr>
            <w:r>
              <w:rPr>
                <w:rFonts w:ascii="Arial" w:cs="Arial" w:eastAsia="Arial" w:hAnsi="Arial"/>
                <w:sz w:val="18"/>
                <w:szCs w:val="18"/>
                <w:color w:val="auto"/>
              </w:rPr>
              <w:t>Salvatore Mulia</w:t>
            </w:r>
            <w:r>
              <w:rPr>
                <w:rFonts w:ascii="Arial" w:cs="Arial" w:eastAsia="Arial" w:hAnsi="Arial"/>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67,910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Salute</w:t>
            </w:r>
            <w:r>
              <w:rPr>
                <w:rFonts w:ascii="Arial" w:cs="Arial" w:eastAsia="Arial" w:hAnsi="Arial"/>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gridSpan w:val="2"/>
          </w:tcPr>
          <w:p>
            <w:pPr>
              <w:spacing w:after="0"/>
              <w:rPr>
                <w:sz w:val="20"/>
                <w:szCs w:val="20"/>
                <w:color w:val="auto"/>
              </w:rPr>
            </w:pPr>
            <w:r>
              <w:rPr>
                <w:rFonts w:ascii="Arial" w:cs="Arial" w:eastAsia="Arial" w:hAnsi="Arial"/>
                <w:sz w:val="18"/>
                <w:szCs w:val="18"/>
                <w:color w:val="auto"/>
              </w:rPr>
              <w:t>Michael Schwartz</w:t>
            </w:r>
            <w:r>
              <w:rPr>
                <w:rFonts w:ascii="Arial" w:cs="Arial" w:eastAsia="Arial" w:hAnsi="Arial"/>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19,314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current directors and executive officers as a group</w:t>
            </w:r>
            <w:r>
              <w:rPr>
                <w:rFonts w:ascii="Arial" w:cs="Arial" w:eastAsia="Arial" w:hAnsi="Arial"/>
                <w:sz w:val="20"/>
                <w:szCs w:val="20"/>
                <w:b w:val="1"/>
                <w:bCs w:val="1"/>
                <w:i w:val="1"/>
                <w:iCs w:val="1"/>
                <w:color w:val="auto"/>
                <w:vertAlign w:val="superscript"/>
              </w:rPr>
              <w:t>(7)</w:t>
            </w: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gridSpan w:val="2"/>
            <w:vMerge w:val="continue"/>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1,311,364</w:t>
            </w:r>
          </w:p>
        </w:tc>
        <w:tc>
          <w:tcPr>
            <w:tcW w:w="100" w:type="dxa"/>
            <w:vAlign w:val="bottom"/>
            <w:vMerge w:val="continue"/>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60" w:hanging="406"/>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Less than 1% of total Common Shares outstanding as of the Record Date.</w:t>
      </w:r>
    </w:p>
    <w:p>
      <w:pPr>
        <w:spacing w:after="0" w:line="22" w:lineRule="exact"/>
        <w:rPr>
          <w:sz w:val="20"/>
          <w:szCs w:val="20"/>
          <w:color w:val="auto"/>
        </w:rPr>
      </w:pPr>
    </w:p>
    <w:p>
      <w:pPr>
        <w:ind w:left="880" w:right="479" w:hanging="426"/>
        <w:spacing w:after="0" w:line="264"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96,221 Shares owned by The B Sloane Family Foundation, a 501(c)(3) private foundation, of which Mr. Sloane shares voting and dispositive power, and 58,480 restricted Common Shares awarded to Mr. Sloane in February 2018, plus accrued dividends through March 31, 2020, with a three-year vesting period.</w:t>
      </w:r>
    </w:p>
    <w:p>
      <w:pPr>
        <w:jc w:val="both"/>
        <w:ind w:left="880" w:right="799" w:hanging="426"/>
        <w:spacing w:after="0" w:line="264"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13,158 restricted Common Shares awarded in February 2018 with a three-year vesting period and 1,446 restricted Common Shares awarded in April 2019 with a one year vesting period, plus accrued dividends through March 31, 2020.</w:t>
      </w:r>
    </w:p>
    <w:p>
      <w:pPr>
        <w:ind w:left="880" w:right="1019" w:hanging="426"/>
        <w:spacing w:after="0" w:line="264"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1,446 restricted Common Shares awarded in April 2019 with a one year vesting period, plus accrued dividends through March 31, 2020.</w:t>
      </w:r>
    </w:p>
    <w:p>
      <w:pPr>
        <w:ind w:left="880" w:right="799" w:hanging="426"/>
        <w:spacing w:after="0" w:line="264"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8,772 restricted Common Shares awarded in February 2018 with a three-year vesting period and 1,446 restricted Common Shares awarded in April 2019 with a one year vesting period, plus accrued dividends through March 31, 2020.</w:t>
      </w:r>
    </w:p>
    <w:p>
      <w:pPr>
        <w:ind w:left="880" w:right="479" w:hanging="426"/>
        <w:spacing w:after="0" w:line="302"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1,332 restricted Company Shares awarded in June 2019 as equity-based compensation to each non-employee director at the beginning of their 2019 terms of service, which forfeiture restrictions will lapse as to one-third of such Company Shares each year for three years, plus accrued dividends through March 31, 2020.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ind w:left="880"/>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Dollar Range of</w:t>
            </w:r>
          </w:p>
        </w:tc>
      </w:t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1"/>
              </w:rPr>
              <w:t>Equity Securities in</w:t>
            </w:r>
          </w:p>
        </w:tc>
      </w:tr>
      <w:tr>
        <w:trPr>
          <w:trHeight w:val="203"/>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Newtek</w:t>
            </w:r>
          </w:p>
        </w:tc>
      </w:tr>
      <w:tr>
        <w:trPr>
          <w:trHeight w:val="198"/>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4"/>
              </w:rPr>
              <w:t>Business Services</w:t>
            </w:r>
          </w:p>
        </w:tc>
      </w:tr>
      <w:tr>
        <w:trPr>
          <w:trHeight w:val="288"/>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Director</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line="287" w:lineRule="exact"/>
              <w:rPr>
                <w:sz w:val="20"/>
                <w:szCs w:val="20"/>
                <w:color w:val="auto"/>
              </w:rPr>
            </w:pPr>
            <w:r>
              <w:rPr>
                <w:rFonts w:ascii="Arial" w:cs="Arial" w:eastAsia="Arial" w:hAnsi="Arial"/>
                <w:sz w:val="32"/>
                <w:szCs w:val="32"/>
                <w:b w:val="1"/>
                <w:bCs w:val="1"/>
                <w:color w:val="auto"/>
                <w:w w:val="79"/>
                <w:vertAlign w:val="subscript"/>
              </w:rPr>
              <w:t>Corp.</w:t>
            </w:r>
            <w:r>
              <w:rPr>
                <w:rFonts w:ascii="Arial" w:cs="Arial" w:eastAsia="Arial" w:hAnsi="Arial"/>
                <w:sz w:val="13"/>
                <w:szCs w:val="13"/>
                <w:b w:val="1"/>
                <w:bCs w:val="1"/>
                <w:color w:val="auto"/>
                <w:w w:val="79"/>
              </w:rPr>
              <w:t>(1)(2)</w:t>
            </w:r>
          </w:p>
        </w:tc>
      </w:tr>
      <w:tr>
        <w:trPr>
          <w:trHeight w:val="257"/>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40"/>
        </w:trPr>
        <w:tc>
          <w:tcPr>
            <w:tcW w:w="6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3"/>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365"/>
        </w:trPr>
        <w:tc>
          <w:tcPr>
            <w:tcW w:w="6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460" w:type="dxa"/>
            <w:vAlign w:val="bottom"/>
          </w:tcPr>
          <w:p>
            <w:pPr>
              <w:spacing w:after="0"/>
              <w:rPr>
                <w:sz w:val="24"/>
                <w:szCs w:val="24"/>
                <w:color w:val="auto"/>
              </w:rPr>
            </w:pPr>
          </w:p>
        </w:tc>
      </w:tr>
      <w:tr>
        <w:trPr>
          <w:trHeight w:val="40"/>
        </w:trPr>
        <w:tc>
          <w:tcPr>
            <w:tcW w:w="6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3"/>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43"/>
        </w:trPr>
        <w:tc>
          <w:tcPr>
            <w:tcW w:w="6640" w:type="dxa"/>
            <w:vAlign w:val="bottom"/>
            <w:gridSpan w:val="2"/>
          </w:tcPr>
          <w:p>
            <w:pPr>
              <w:spacing w:after="0"/>
              <w:rPr>
                <w:sz w:val="20"/>
                <w:szCs w:val="20"/>
                <w:color w:val="auto"/>
              </w:rPr>
            </w:pPr>
            <w:r>
              <w:rPr>
                <w:rFonts w:ascii="Arial" w:cs="Arial" w:eastAsia="Arial" w:hAnsi="Arial"/>
                <w:sz w:val="18"/>
                <w:szCs w:val="18"/>
                <w:color w:val="auto"/>
              </w:rPr>
              <w:t>Salvatore Mulia</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40"/>
        </w:trPr>
        <w:tc>
          <w:tcPr>
            <w:tcW w:w="6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4"/>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Gregory Zink</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51"/>
        </w:trPr>
        <w:tc>
          <w:tcPr>
            <w:tcW w:w="652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172" w:lineRule="exact"/>
        <w:rPr>
          <w:sz w:val="20"/>
          <w:szCs w:val="20"/>
          <w:color w:val="auto"/>
        </w:rPr>
      </w:pPr>
    </w:p>
    <w:p>
      <w:pPr>
        <w:ind w:left="880" w:hanging="426"/>
        <w:spacing w:after="0"/>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Dollar ranges are as follows: None, $1 – $10,000, $10,001 – $50,000, $50,001 – $100,000, or Over $100,000.</w:t>
      </w:r>
    </w:p>
    <w:p>
      <w:pPr>
        <w:spacing w:after="0" w:line="33" w:lineRule="exact"/>
        <w:rPr>
          <w:rFonts w:ascii="Arial" w:cs="Arial" w:eastAsia="Arial" w:hAnsi="Arial"/>
          <w:sz w:val="15"/>
          <w:szCs w:val="15"/>
          <w:color w:val="auto"/>
        </w:rPr>
      </w:pPr>
    </w:p>
    <w:p>
      <w:pPr>
        <w:ind w:left="880" w:right="759" w:hanging="426"/>
        <w:spacing w:after="0" w:line="276" w:lineRule="auto"/>
        <w:tabs>
          <w:tab w:leader="none" w:pos="87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dollar range of equity securities beneficially owned is based on the closing price for our Common Shares of $15.88 on April 13, 2020 on the Nasdaq Global Market. Beneficial ownership has been determined in accordance with Rule 13d-3 of the Exchange Act.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PROPOSAL I — ELECTION OF DIRECTORS</w:t>
      </w:r>
    </w:p>
    <w:p>
      <w:pPr>
        <w:spacing w:after="0" w:line="162"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Our Board of Directors currently consists of five directors serving in three classes. Each director holds office for the term to which he or she is elected and until his or her successor is duly elected and qualified. Barry Sloane and Peter Downs serve in Class I, with terms expiring at the 2021 annual meeting; Gregory Zink serves in Class II, with a term expiring at the 2022 annual meeting; and Richard Salute and Salvatore Mulia serve in Class III, with terms expiring at the 2020 annual meeting.</w:t>
      </w:r>
    </w:p>
    <w:p>
      <w:pPr>
        <w:spacing w:after="0" w:line="95"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Messrs. Salute and Mulia have been nominated for re-election for terms expiring in 2023. Messrs. Salute and Mulia are not being nominated as directors for election pursuant to any agreements or understandings between Messrs. Salute and Mulia and the Company. Messrs. Salute and Mulia have indicated their willingness to continue to serve if elected and have consented to be named as nominees. Messrs. Salute and Mulia are not “interested persons” of the Company, as such term is defined under the 1940 Act.</w:t>
      </w:r>
    </w:p>
    <w:p>
      <w:pPr>
        <w:spacing w:after="0" w:line="90" w:lineRule="exact"/>
        <w:rPr>
          <w:sz w:val="20"/>
          <w:szCs w:val="20"/>
          <w:color w:val="auto"/>
        </w:rPr>
      </w:pPr>
    </w:p>
    <w:p>
      <w:pPr>
        <w:ind w:left="460" w:right="459" w:firstLine="432"/>
        <w:spacing w:after="0" w:line="256" w:lineRule="auto"/>
        <w:rPr>
          <w:sz w:val="20"/>
          <w:szCs w:val="20"/>
          <w:color w:val="auto"/>
        </w:rPr>
      </w:pPr>
      <w:r>
        <w:rPr>
          <w:rFonts w:ascii="Arial" w:cs="Arial" w:eastAsia="Arial" w:hAnsi="Arial"/>
          <w:sz w:val="18"/>
          <w:szCs w:val="18"/>
          <w:color w:val="auto"/>
        </w:rPr>
        <w:t xml:space="preserve">A shareholder can vote for or withhold his or her vote for the nominees. </w:t>
      </w:r>
      <w:r>
        <w:rPr>
          <w:rFonts w:ascii="Arial" w:cs="Arial" w:eastAsia="Arial" w:hAnsi="Arial"/>
          <w:sz w:val="18"/>
          <w:szCs w:val="18"/>
          <w:b w:val="1"/>
          <w:bCs w:val="1"/>
          <w:color w:val="auto"/>
        </w:rPr>
        <w:t>In the absence of instructions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contrary, it is the intention of the 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replacement. </w:t>
      </w:r>
      <w:r>
        <w:rPr>
          <w:rFonts w:ascii="Arial" w:cs="Arial" w:eastAsia="Arial" w:hAnsi="Arial"/>
          <w:sz w:val="18"/>
          <w:szCs w:val="18"/>
          <w:color w:val="auto"/>
        </w:rPr>
        <w:t>Our Board of Directors has no reason to believe that the nominees will be unable</w:t>
      </w:r>
      <w:r>
        <w:rPr>
          <w:rFonts w:ascii="Arial" w:cs="Arial" w:eastAsia="Arial" w:hAnsi="Arial"/>
          <w:sz w:val="18"/>
          <w:szCs w:val="18"/>
          <w:b w:val="1"/>
          <w:bCs w:val="1"/>
          <w:color w:val="auto"/>
        </w:rPr>
        <w:t xml:space="preserve"> </w:t>
      </w:r>
      <w:r>
        <w:rPr>
          <w:rFonts w:ascii="Arial" w:cs="Arial" w:eastAsia="Arial" w:hAnsi="Arial"/>
          <w:sz w:val="18"/>
          <w:szCs w:val="18"/>
          <w:color w:val="auto"/>
        </w:rPr>
        <w:t>or unwilling to serve.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The director nominees shall be elected by a plurality of all the votes cast at the Annual Meeting, electronically via the live webcast or by proxy, if a quorum is present. Shareholders may not cumulate their votes. If you vote “withhold authority” with respect to a nominee, your shares will not be voted with respect to the person indicated. Because directors are elected by a plurality of the votes, an abstention will have no effect on the outcome of the vote and, therefore, is not offered as a voting option for this proposal. Common Shares represented by broker non-votes are not considered votes cast, and thus have no effect on this proposal.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Directors and Executive Officers</w:t>
      </w:r>
    </w:p>
    <w:p>
      <w:pPr>
        <w:spacing w:after="0" w:line="148" w:lineRule="exact"/>
        <w:rPr>
          <w:sz w:val="20"/>
          <w:szCs w:val="20"/>
          <w:color w:val="auto"/>
        </w:rPr>
      </w:pPr>
    </w:p>
    <w:p>
      <w:pPr>
        <w:ind w:left="460" w:right="459" w:firstLine="432"/>
        <w:spacing w:after="0" w:line="296" w:lineRule="auto"/>
        <w:rPr>
          <w:sz w:val="20"/>
          <w:szCs w:val="20"/>
          <w:color w:val="auto"/>
        </w:rPr>
      </w:pPr>
      <w:r>
        <w:rPr>
          <w:rFonts w:ascii="Arial" w:cs="Arial" w:eastAsia="Arial" w:hAnsi="Arial"/>
          <w:sz w:val="16"/>
          <w:szCs w:val="16"/>
          <w:color w:val="auto"/>
        </w:rPr>
        <w:t>Set forth below is information, as of April 29, 2020, regarding Messrs. Salute and Mulia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spacing w:after="0" w:line="94" w:lineRule="exact"/>
        <w:rPr>
          <w:sz w:val="20"/>
          <w:szCs w:val="20"/>
          <w:color w:val="auto"/>
        </w:rPr>
      </w:pPr>
    </w:p>
    <w:p>
      <w:pPr>
        <w:ind w:left="880" w:right="639" w:hanging="426"/>
        <w:spacing w:after="0" w:line="277" w:lineRule="auto"/>
        <w:tabs>
          <w:tab w:leader="none" w:pos="8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addresses of the director nominee and the other directors are c/o Newtek Business Services Corp., 4800 T-Rex Avenue, Suite 120, Boca Raton, FL 33431.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b w:val="1"/>
          <w:bCs w:val="1"/>
          <w:u w:val="single" w:color="auto"/>
          <w:color w:val="auto"/>
        </w:rPr>
        <w:t>Nominees for Class III Directors — Terms Expiring 2023</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3"/>
              </w:rPr>
              <w:t>Other</w:t>
            </w:r>
          </w:p>
        </w:tc>
      </w:t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89"/>
              </w:rPr>
              <w:t>Directorships</w:t>
            </w:r>
          </w:p>
        </w:tc>
      </w:t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6"/>
              </w:rPr>
              <w:t>Held by</w:t>
            </w:r>
          </w:p>
        </w:tc>
      </w:tr>
      <w:tr>
        <w:trPr>
          <w:trHeight w:val="202"/>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Director or</w:t>
            </w:r>
          </w:p>
        </w:tc>
      </w:t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59"/>
              <w:spacing w:after="0"/>
              <w:rPr>
                <w:sz w:val="20"/>
                <w:szCs w:val="20"/>
                <w:color w:val="auto"/>
              </w:rPr>
            </w:pPr>
            <w:r>
              <w:rPr>
                <w:rFonts w:ascii="Arial" w:cs="Arial" w:eastAsia="Arial" w:hAnsi="Arial"/>
                <w:sz w:val="16"/>
                <w:szCs w:val="16"/>
                <w:b w:val="1"/>
                <w:bCs w:val="1"/>
                <w:color w:val="auto"/>
                <w:w w:val="92"/>
              </w:rPr>
              <w:t>Nominee for</w:t>
            </w:r>
          </w:p>
        </w:tc>
      </w:tr>
      <w:tr>
        <w:trPr>
          <w:trHeight w:val="203"/>
        </w:trPr>
        <w:tc>
          <w:tcPr>
            <w:tcW w:w="2260" w:type="dxa"/>
            <w:vAlign w:val="bottom"/>
          </w:tcPr>
          <w:p>
            <w:pPr>
              <w:spacing w:after="0"/>
              <w:rPr>
                <w:sz w:val="17"/>
                <w:szCs w:val="17"/>
                <w:color w:val="auto"/>
              </w:rPr>
            </w:pPr>
          </w:p>
        </w:tc>
        <w:tc>
          <w:tcPr>
            <w:tcW w:w="152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Position(s)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Term of Office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080" w:type="dxa"/>
            <w:vAlign w:val="bottom"/>
          </w:tcPr>
          <w:p>
            <w:pPr>
              <w:jc w:val="center"/>
              <w:ind w:left="119"/>
              <w:spacing w:after="0"/>
              <w:rPr>
                <w:sz w:val="20"/>
                <w:szCs w:val="20"/>
                <w:color w:val="auto"/>
              </w:rPr>
            </w:pPr>
            <w:r>
              <w:rPr>
                <w:rFonts w:ascii="Arial" w:cs="Arial" w:eastAsia="Arial" w:hAnsi="Arial"/>
                <w:sz w:val="16"/>
                <w:szCs w:val="16"/>
                <w:b w:val="1"/>
                <w:bCs w:val="1"/>
                <w:color w:val="auto"/>
                <w:w w:val="97"/>
              </w:rPr>
              <w:t>Director</w:t>
            </w:r>
          </w:p>
        </w:tc>
      </w:tr>
      <w:tr>
        <w:trPr>
          <w:trHeight w:val="203"/>
        </w:trPr>
        <w:tc>
          <w:tcPr>
            <w:tcW w:w="2260" w:type="dxa"/>
            <w:vAlign w:val="bottom"/>
          </w:tcPr>
          <w:p>
            <w:pPr>
              <w:spacing w:after="0"/>
              <w:rPr>
                <w:sz w:val="17"/>
                <w:szCs w:val="17"/>
                <w:color w:val="auto"/>
              </w:rPr>
            </w:pPr>
          </w:p>
        </w:tc>
        <w:tc>
          <w:tcPr>
            <w:tcW w:w="1520" w:type="dxa"/>
            <w:vAlign w:val="bottom"/>
          </w:tcPr>
          <w:p>
            <w:pPr>
              <w:jc w:val="center"/>
              <w:ind w:left="219"/>
              <w:spacing w:after="0"/>
              <w:rPr>
                <w:sz w:val="20"/>
                <w:szCs w:val="20"/>
                <w:color w:val="auto"/>
              </w:rPr>
            </w:pPr>
            <w:r>
              <w:rPr>
                <w:rFonts w:ascii="Arial" w:cs="Arial" w:eastAsia="Arial" w:hAnsi="Arial"/>
                <w:sz w:val="16"/>
                <w:szCs w:val="16"/>
                <w:b w:val="1"/>
                <w:bCs w:val="1"/>
                <w:color w:val="auto"/>
                <w:w w:val="94"/>
              </w:rPr>
              <w:t>Held with the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and Length of</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Occupation(s) During</w:t>
            </w: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3"/>
              </w:rPr>
              <w:t>During</w:t>
            </w:r>
          </w:p>
        </w:tc>
      </w:tr>
      <w:tr>
        <w:trPr>
          <w:trHeight w:val="248"/>
        </w:trPr>
        <w:tc>
          <w:tcPr>
            <w:tcW w:w="2260" w:type="dxa"/>
            <w:vAlign w:val="bottom"/>
          </w:tcPr>
          <w:p>
            <w:pPr>
              <w:spacing w:after="0"/>
              <w:rPr>
                <w:sz w:val="20"/>
                <w:szCs w:val="20"/>
                <w:color w:val="auto"/>
              </w:rPr>
            </w:pPr>
            <w:r>
              <w:rPr>
                <w:rFonts w:ascii="Arial" w:cs="Arial" w:eastAsia="Arial" w:hAnsi="Arial"/>
                <w:sz w:val="16"/>
                <w:szCs w:val="16"/>
                <w:b w:val="1"/>
                <w:bCs w:val="1"/>
                <w:color w:val="auto"/>
              </w:rPr>
              <w:t>Name, Address, and Age</w:t>
            </w:r>
            <w:r>
              <w:rPr>
                <w:rFonts w:ascii="Arial" w:cs="Arial" w:eastAsia="Arial" w:hAnsi="Arial"/>
                <w:sz w:val="18"/>
                <w:szCs w:val="18"/>
                <w:b w:val="1"/>
                <w:bCs w:val="1"/>
                <w:color w:val="auto"/>
                <w:vertAlign w:val="superscript"/>
              </w:rPr>
              <w:t>(1)</w:t>
            </w:r>
          </w:p>
        </w:tc>
        <w:tc>
          <w:tcPr>
            <w:tcW w:w="152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Company</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Time Served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Past 5 Years</w:t>
            </w:r>
          </w:p>
        </w:tc>
        <w:tc>
          <w:tcPr>
            <w:tcW w:w="1080" w:type="dxa"/>
            <w:vAlign w:val="bottom"/>
          </w:tcPr>
          <w:p>
            <w:pPr>
              <w:jc w:val="center"/>
              <w:ind w:left="119"/>
              <w:spacing w:after="0"/>
              <w:rPr>
                <w:sz w:val="20"/>
                <w:szCs w:val="20"/>
                <w:color w:val="auto"/>
              </w:rPr>
            </w:pPr>
            <w:r>
              <w:rPr>
                <w:rFonts w:ascii="Arial" w:cs="Arial" w:eastAsia="Arial" w:hAnsi="Arial"/>
                <w:sz w:val="16"/>
                <w:szCs w:val="16"/>
                <w:b w:val="1"/>
                <w:bCs w:val="1"/>
                <w:color w:val="auto"/>
                <w:w w:val="88"/>
              </w:rPr>
              <w:t>Past 5 Years</w:t>
            </w:r>
          </w:p>
        </w:tc>
      </w:tr>
    </w:tbl>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Messrs. Salute and Mulia are not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“interested persons”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Company as defined in the 1940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Richard Salute, 74</w:t>
            </w:r>
          </w:p>
        </w:tc>
        <w:tc>
          <w:tcPr>
            <w:tcW w:w="1560" w:type="dxa"/>
            <w:vAlign w:val="bottom"/>
          </w:tcPr>
          <w:p>
            <w:pPr>
              <w:ind w:left="64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20"/>
              <w:spacing w:after="0"/>
              <w:rPr>
                <w:sz w:val="20"/>
                <w:szCs w:val="20"/>
                <w:color w:val="auto"/>
              </w:rPr>
            </w:pPr>
            <w:r>
              <w:rPr>
                <w:rFonts w:ascii="Arial" w:cs="Arial" w:eastAsia="Arial" w:hAnsi="Arial"/>
                <w:sz w:val="18"/>
                <w:szCs w:val="18"/>
                <w:color w:val="auto"/>
              </w:rPr>
              <w:t>Class III</w:t>
            </w:r>
          </w:p>
        </w:tc>
        <w:tc>
          <w:tcPr>
            <w:tcW w:w="1780" w:type="dxa"/>
            <w:vAlign w:val="bottom"/>
          </w:tcPr>
          <w:p>
            <w:pPr>
              <w:ind w:left="120"/>
              <w:spacing w:after="0"/>
              <w:rPr>
                <w:sz w:val="20"/>
                <w:szCs w:val="20"/>
                <w:color w:val="auto"/>
              </w:rPr>
            </w:pPr>
            <w:r>
              <w:rPr>
                <w:rFonts w:ascii="Arial" w:cs="Arial" w:eastAsia="Arial" w:hAnsi="Arial"/>
                <w:sz w:val="18"/>
                <w:szCs w:val="18"/>
                <w:color w:val="auto"/>
              </w:rPr>
              <w:t>Capital Markets and</w:t>
            </w:r>
          </w:p>
        </w:tc>
        <w:tc>
          <w:tcPr>
            <w:tcW w:w="1260" w:type="dxa"/>
            <w:vAlign w:val="bottom"/>
          </w:tcPr>
          <w:p>
            <w:pPr>
              <w:ind w:left="60"/>
              <w:spacing w:after="0"/>
              <w:rPr>
                <w:sz w:val="20"/>
                <w:szCs w:val="20"/>
                <w:color w:val="auto"/>
              </w:rPr>
            </w:pPr>
            <w:r>
              <w:rPr>
                <w:rFonts w:ascii="Arial" w:cs="Arial" w:eastAsia="Arial" w:hAnsi="Arial"/>
                <w:sz w:val="18"/>
                <w:szCs w:val="18"/>
                <w:color w:val="auto"/>
                <w:w w:val="91"/>
              </w:rPr>
              <w:t>Director, Walker</w:t>
            </w: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ind w:left="320"/>
              <w:spacing w:after="0"/>
              <w:rPr>
                <w:sz w:val="20"/>
                <w:szCs w:val="20"/>
                <w:color w:val="auto"/>
              </w:rPr>
            </w:pPr>
            <w:r>
              <w:rPr>
                <w:rFonts w:ascii="Arial" w:cs="Arial" w:eastAsia="Arial" w:hAnsi="Arial"/>
                <w:sz w:val="18"/>
                <w:szCs w:val="18"/>
                <w:color w:val="auto"/>
                <w:w w:val="99"/>
              </w:rPr>
              <w:t>Director since</w:t>
            </w:r>
          </w:p>
        </w:tc>
        <w:tc>
          <w:tcPr>
            <w:tcW w:w="1780" w:type="dxa"/>
            <w:vAlign w:val="bottom"/>
          </w:tcPr>
          <w:p>
            <w:pPr>
              <w:ind w:left="120"/>
              <w:spacing w:after="0"/>
              <w:rPr>
                <w:sz w:val="20"/>
                <w:szCs w:val="20"/>
                <w:color w:val="auto"/>
              </w:rPr>
            </w:pPr>
            <w:r>
              <w:rPr>
                <w:rFonts w:ascii="Arial" w:cs="Arial" w:eastAsia="Arial" w:hAnsi="Arial"/>
                <w:sz w:val="18"/>
                <w:szCs w:val="18"/>
                <w:color w:val="auto"/>
                <w:w w:val="93"/>
              </w:rPr>
              <w:t>SEC Practice Director</w:t>
            </w:r>
          </w:p>
        </w:tc>
        <w:tc>
          <w:tcPr>
            <w:tcW w:w="1260" w:type="dxa"/>
            <w:vAlign w:val="bottom"/>
          </w:tcPr>
          <w:p>
            <w:pPr>
              <w:ind w:left="60"/>
              <w:spacing w:after="0"/>
              <w:rPr>
                <w:sz w:val="20"/>
                <w:szCs w:val="20"/>
                <w:color w:val="auto"/>
              </w:rPr>
            </w:pPr>
            <w:r>
              <w:rPr>
                <w:rFonts w:ascii="Arial" w:cs="Arial" w:eastAsia="Arial" w:hAnsi="Arial"/>
                <w:sz w:val="18"/>
                <w:szCs w:val="18"/>
                <w:color w:val="auto"/>
                <w:w w:val="96"/>
              </w:rPr>
              <w:t>Innovation Inc.,</w:t>
            </w: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ind w:left="320"/>
              <w:spacing w:after="0"/>
              <w:rPr>
                <w:sz w:val="20"/>
                <w:szCs w:val="20"/>
                <w:color w:val="auto"/>
              </w:rPr>
            </w:pPr>
            <w:r>
              <w:rPr>
                <w:rFonts w:ascii="Arial" w:cs="Arial" w:eastAsia="Arial" w:hAnsi="Arial"/>
                <w:sz w:val="18"/>
                <w:szCs w:val="18"/>
                <w:color w:val="auto"/>
              </w:rPr>
              <w:t>2015; Term</w:t>
            </w:r>
          </w:p>
        </w:tc>
        <w:tc>
          <w:tcPr>
            <w:tcW w:w="1780" w:type="dxa"/>
            <w:vAlign w:val="bottom"/>
          </w:tcPr>
          <w:p>
            <w:pPr>
              <w:ind w:left="120"/>
              <w:spacing w:after="0"/>
              <w:rPr>
                <w:sz w:val="20"/>
                <w:szCs w:val="20"/>
                <w:color w:val="auto"/>
              </w:rPr>
            </w:pPr>
            <w:r>
              <w:rPr>
                <w:rFonts w:ascii="Arial" w:cs="Arial" w:eastAsia="Arial" w:hAnsi="Arial"/>
                <w:sz w:val="18"/>
                <w:szCs w:val="18"/>
                <w:color w:val="auto"/>
              </w:rPr>
              <w:t>at J.H. Cohn and</w:t>
            </w:r>
          </w:p>
        </w:tc>
        <w:tc>
          <w:tcPr>
            <w:tcW w:w="1260" w:type="dxa"/>
            <w:vAlign w:val="bottom"/>
          </w:tcPr>
          <w:p>
            <w:pPr>
              <w:ind w:left="60"/>
              <w:spacing w:after="0"/>
              <w:rPr>
                <w:sz w:val="20"/>
                <w:szCs w:val="20"/>
                <w:color w:val="auto"/>
              </w:rPr>
            </w:pPr>
            <w:r>
              <w:rPr>
                <w:rFonts w:ascii="Arial" w:cs="Arial" w:eastAsia="Arial" w:hAnsi="Arial"/>
                <w:sz w:val="18"/>
                <w:szCs w:val="18"/>
                <w:color w:val="auto"/>
              </w:rPr>
              <w:t>2015 – 2018</w:t>
            </w: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ind w:left="320"/>
              <w:spacing w:after="0"/>
              <w:rPr>
                <w:sz w:val="20"/>
                <w:szCs w:val="20"/>
                <w:color w:val="auto"/>
              </w:rPr>
            </w:pPr>
            <w:r>
              <w:rPr>
                <w:rFonts w:ascii="Arial" w:cs="Arial" w:eastAsia="Arial" w:hAnsi="Arial"/>
                <w:sz w:val="18"/>
                <w:szCs w:val="18"/>
                <w:color w:val="auto"/>
              </w:rPr>
              <w:t>expires 2020</w:t>
            </w:r>
          </w:p>
        </w:tc>
        <w:tc>
          <w:tcPr>
            <w:tcW w:w="1780" w:type="dxa"/>
            <w:vAlign w:val="bottom"/>
          </w:tcPr>
          <w:p>
            <w:pPr>
              <w:ind w:left="120"/>
              <w:spacing w:after="0"/>
              <w:rPr>
                <w:sz w:val="20"/>
                <w:szCs w:val="20"/>
                <w:color w:val="auto"/>
              </w:rPr>
            </w:pPr>
            <w:r>
              <w:rPr>
                <w:rFonts w:ascii="Arial" w:cs="Arial" w:eastAsia="Arial" w:hAnsi="Arial"/>
                <w:sz w:val="18"/>
                <w:szCs w:val="18"/>
                <w:color w:val="auto"/>
              </w:rPr>
              <w:t>CohnReznick LLP;</w:t>
            </w:r>
          </w:p>
        </w:tc>
        <w:tc>
          <w:tcPr>
            <w:tcW w:w="12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Partner at Arthur</w:t>
            </w:r>
          </w:p>
        </w:tc>
        <w:tc>
          <w:tcPr>
            <w:tcW w:w="12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Andersen; Chief</w:t>
            </w:r>
          </w:p>
        </w:tc>
        <w:tc>
          <w:tcPr>
            <w:tcW w:w="12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Financial Officer,</w:t>
            </w:r>
          </w:p>
        </w:tc>
        <w:tc>
          <w:tcPr>
            <w:tcW w:w="12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PAVmed Inc., June</w:t>
            </w:r>
          </w:p>
        </w:tc>
        <w:tc>
          <w:tcPr>
            <w:tcW w:w="12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2014 through</w:t>
            </w:r>
          </w:p>
        </w:tc>
        <w:tc>
          <w:tcPr>
            <w:tcW w:w="126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September 2015;</w:t>
            </w:r>
          </w:p>
        </w:tc>
        <w:tc>
          <w:tcPr>
            <w:tcW w:w="1260" w:type="dxa"/>
            <w:vAlign w:val="bottom"/>
          </w:tcPr>
          <w:p>
            <w:pPr>
              <w:spacing w:after="0"/>
              <w:rPr>
                <w:sz w:val="20"/>
                <w:szCs w:val="20"/>
                <w:color w:val="auto"/>
              </w:rPr>
            </w:pPr>
          </w:p>
        </w:tc>
      </w:tr>
    </w:tbl>
    <w:p>
      <w:pPr>
        <w:spacing w:after="0" w:line="215"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Mr. Salute 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is a graduate of Adelphi University and a member of the American Institute of Certified Public Accountants and the New York State Society of Certified Public Accountants. Mr. Salute also served as a director of Walker Innovation Inc. from 2015 through 2018.</w:t>
      </w:r>
    </w:p>
    <w:p>
      <w:pPr>
        <w:spacing w:after="0" w:line="91"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Mr. Salute has more than 39 years of audit, accounting, and tax experience. His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spacing w:after="0" w:line="165" w:lineRule="exact"/>
        <w:rPr>
          <w:sz w:val="20"/>
          <w:szCs w:val="20"/>
          <w:color w:val="auto"/>
        </w:rPr>
      </w:pPr>
    </w:p>
    <w:p>
      <w:pPr>
        <w:ind w:left="460"/>
        <w:spacing w:after="0"/>
        <w:tabs>
          <w:tab w:leader="none" w:pos="3080" w:val="left"/>
          <w:tab w:leader="none" w:pos="4340" w:val="left"/>
          <w:tab w:leader="none" w:pos="6340" w:val="left"/>
        </w:tabs>
        <w:rPr>
          <w:sz w:val="20"/>
          <w:szCs w:val="20"/>
          <w:color w:val="auto"/>
        </w:rPr>
      </w:pPr>
      <w:r>
        <w:rPr>
          <w:rFonts w:ascii="Arial" w:cs="Arial" w:eastAsia="Arial" w:hAnsi="Arial"/>
          <w:sz w:val="18"/>
          <w:szCs w:val="18"/>
          <w:color w:val="auto"/>
        </w:rPr>
        <w:t>Salvatore Mulia, 72</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Class III</w:t>
      </w:r>
      <w:r>
        <w:rPr>
          <w:sz w:val="20"/>
          <w:szCs w:val="20"/>
          <w:color w:val="auto"/>
        </w:rPr>
        <w:tab/>
      </w:r>
      <w:r>
        <w:rPr>
          <w:rFonts w:ascii="Arial" w:cs="Arial" w:eastAsia="Arial" w:hAnsi="Arial"/>
          <w:sz w:val="16"/>
          <w:szCs w:val="16"/>
          <w:color w:val="auto"/>
        </w:rPr>
        <w:t>Financial advisor at RTM</w:t>
      </w:r>
    </w:p>
    <w:p>
      <w:pPr>
        <w:spacing w:after="0" w:line="23" w:lineRule="exact"/>
        <w:rPr>
          <w:sz w:val="20"/>
          <w:szCs w:val="20"/>
          <w:color w:val="auto"/>
        </w:rPr>
      </w:pPr>
    </w:p>
    <w:p>
      <w:pPr>
        <w:ind w:left="4360"/>
        <w:spacing w:after="0"/>
        <w:tabs>
          <w:tab w:leader="none" w:pos="6340" w:val="left"/>
        </w:tabs>
        <w:rPr>
          <w:sz w:val="20"/>
          <w:szCs w:val="20"/>
          <w:color w:val="auto"/>
        </w:rPr>
      </w:pPr>
      <w:r>
        <w:rPr>
          <w:rFonts w:ascii="Arial" w:cs="Arial" w:eastAsia="Arial" w:hAnsi="Arial"/>
          <w:sz w:val="18"/>
          <w:szCs w:val="18"/>
          <w:color w:val="auto"/>
        </w:rPr>
        <w:t>Director since 2005;</w:t>
      </w:r>
      <w:r>
        <w:rPr>
          <w:sz w:val="20"/>
          <w:szCs w:val="20"/>
          <w:color w:val="auto"/>
        </w:rPr>
        <w:tab/>
      </w:r>
      <w:r>
        <w:rPr>
          <w:rFonts w:ascii="Arial" w:cs="Arial" w:eastAsia="Arial" w:hAnsi="Arial"/>
          <w:sz w:val="16"/>
          <w:szCs w:val="16"/>
          <w:color w:val="auto"/>
        </w:rPr>
        <w:t>Financial Services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Term expires 2020</w:t>
      </w:r>
    </w:p>
    <w:p>
      <w:pPr>
        <w:spacing w:after="0" w:line="211" w:lineRule="exact"/>
        <w:rPr>
          <w:sz w:val="20"/>
          <w:szCs w:val="20"/>
          <w:color w:val="auto"/>
        </w:rPr>
      </w:pPr>
    </w:p>
    <w:p>
      <w:pPr>
        <w:ind w:left="460" w:right="559"/>
        <w:spacing w:after="0" w:line="288" w:lineRule="auto"/>
        <w:rPr>
          <w:sz w:val="20"/>
          <w:szCs w:val="20"/>
          <w:color w:val="auto"/>
        </w:rPr>
      </w:pPr>
      <w:r>
        <w:rPr>
          <w:rFonts w:ascii="Arial" w:cs="Arial" w:eastAsia="Arial" w:hAnsi="Arial"/>
          <w:sz w:val="16"/>
          <w:szCs w:val="16"/>
          <w:color w:val="auto"/>
        </w:rPr>
        <w:t>Prior to his retirement in 2017, Mr. Mulia was a financial advisor and principal at RTM Financial Services, Westport, CT, a firm he founded with his wife. RTM was involved in advising small business with an emphasis on leasing and lending advisory services since February 2003. From February 2001 to February 2003, Mr. Mulia was Executive Vice President of Pitney Bowes Capital Corp, Shelton, CT which was engaged in providing financial services to business customers. Prior to that, from 1980 to 1993, Mr. Mulia held senior management positions within General Electric’s Financial Services Division, GE Capital Corporation (“GECC”), and during that time, from 1980 through 1993 he was responsible for developing new products and business initiatives in financial services. During his tenure at GECC Mr. Mulia was a principal in GEVEST, GECC’s investment banking unit, where he headed syndication and led acquisition teams which acquired leasing companies including TransAmerica Leasing, Chase Manhattan’s leasing subsidiary and LeaseAmerica.</w:t>
      </w:r>
    </w:p>
    <w:p>
      <w:pPr>
        <w:sectPr>
          <w:pgSz w:w="11900" w:h="16838" w:orient="portrait"/>
          <w:cols w:equalWidth="0" w:num="1">
            <w:col w:w="9019"/>
          </w:cols>
          <w:pgMar w:left="1440" w:top="337" w:right="1440"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 w:name="page13"/>
    <w:bookmarkEnd w:id="12"/>
    <w:p>
      <w:pPr>
        <w:ind w:left="460" w:right="539"/>
        <w:spacing w:after="0" w:line="257" w:lineRule="auto"/>
        <w:rPr>
          <w:sz w:val="20"/>
          <w:szCs w:val="20"/>
          <w:color w:val="auto"/>
        </w:rPr>
      </w:pPr>
      <w:r>
        <w:rPr>
          <w:rFonts w:ascii="Arial" w:cs="Arial" w:eastAsia="Arial" w:hAnsi="Arial"/>
          <w:sz w:val="18"/>
          <w:szCs w:val="18"/>
          <w:color w:val="auto"/>
        </w:rPr>
        <w:t>Mr. Mulia’s experience in the financial services industry, as well as his experience with smaller to mid-sized companies needing capital and debt and his understanding of these businesses provides a significant addition to our Board of Directors. His understanding of the dynamics of these businesses has been particularly helpful in addressing similar issues of the Company and this experience provides a significant addition to the Board of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Incumbent Class I Directors — Term Expiring 2021</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3"/>
              </w:rPr>
              <w:t>Other</w:t>
            </w:r>
          </w:p>
        </w:tc>
      </w:t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89"/>
              </w:rPr>
              <w:t>Directorships</w:t>
            </w:r>
          </w:p>
        </w:tc>
      </w:t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6"/>
              </w:rPr>
              <w:t>Held by</w:t>
            </w:r>
          </w:p>
        </w:tc>
      </w:t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Director or</w:t>
            </w:r>
          </w:p>
        </w:tc>
      </w:tr>
      <w:tr>
        <w:trPr>
          <w:trHeight w:val="203"/>
        </w:trPr>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jc w:val="center"/>
              <w:ind w:left="59"/>
              <w:spacing w:after="0"/>
              <w:rPr>
                <w:sz w:val="20"/>
                <w:szCs w:val="20"/>
                <w:color w:val="auto"/>
              </w:rPr>
            </w:pPr>
            <w:r>
              <w:rPr>
                <w:rFonts w:ascii="Arial" w:cs="Arial" w:eastAsia="Arial" w:hAnsi="Arial"/>
                <w:sz w:val="16"/>
                <w:szCs w:val="16"/>
                <w:b w:val="1"/>
                <w:bCs w:val="1"/>
                <w:color w:val="auto"/>
                <w:w w:val="92"/>
              </w:rPr>
              <w:t>Nominee for</w:t>
            </w:r>
          </w:p>
        </w:tc>
      </w:tr>
      <w:tr>
        <w:trPr>
          <w:trHeight w:val="203"/>
        </w:trPr>
        <w:tc>
          <w:tcPr>
            <w:tcW w:w="2260" w:type="dxa"/>
            <w:vAlign w:val="bottom"/>
          </w:tcPr>
          <w:p>
            <w:pPr>
              <w:spacing w:after="0"/>
              <w:rPr>
                <w:sz w:val="17"/>
                <w:szCs w:val="17"/>
                <w:color w:val="auto"/>
              </w:rPr>
            </w:pPr>
          </w:p>
        </w:tc>
        <w:tc>
          <w:tcPr>
            <w:tcW w:w="1520" w:type="dxa"/>
            <w:vAlign w:val="bottom"/>
          </w:tcPr>
          <w:p>
            <w:pPr>
              <w:jc w:val="center"/>
              <w:ind w:left="219"/>
              <w:spacing w:after="0"/>
              <w:rPr>
                <w:sz w:val="20"/>
                <w:szCs w:val="20"/>
                <w:color w:val="auto"/>
              </w:rPr>
            </w:pPr>
            <w:r>
              <w:rPr>
                <w:rFonts w:ascii="Arial" w:cs="Arial" w:eastAsia="Arial" w:hAnsi="Arial"/>
                <w:sz w:val="16"/>
                <w:szCs w:val="16"/>
                <w:b w:val="1"/>
                <w:bCs w:val="1"/>
                <w:color w:val="auto"/>
                <w:w w:val="89"/>
              </w:rPr>
              <w:t>Position(s)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Term of Office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7"/>
              </w:rPr>
              <w:t>Director</w:t>
            </w:r>
          </w:p>
        </w:tc>
      </w:tr>
      <w:tr>
        <w:trPr>
          <w:trHeight w:val="203"/>
        </w:trPr>
        <w:tc>
          <w:tcPr>
            <w:tcW w:w="2260" w:type="dxa"/>
            <w:vAlign w:val="bottom"/>
          </w:tcPr>
          <w:p>
            <w:pPr>
              <w:spacing w:after="0"/>
              <w:rPr>
                <w:sz w:val="17"/>
                <w:szCs w:val="17"/>
                <w:color w:val="auto"/>
              </w:rPr>
            </w:pPr>
          </w:p>
        </w:tc>
        <w:tc>
          <w:tcPr>
            <w:tcW w:w="1520" w:type="dxa"/>
            <w:vAlign w:val="bottom"/>
          </w:tcPr>
          <w:p>
            <w:pPr>
              <w:jc w:val="center"/>
              <w:ind w:left="219"/>
              <w:spacing w:after="0"/>
              <w:rPr>
                <w:sz w:val="20"/>
                <w:szCs w:val="20"/>
                <w:color w:val="auto"/>
              </w:rPr>
            </w:pPr>
            <w:r>
              <w:rPr>
                <w:rFonts w:ascii="Arial" w:cs="Arial" w:eastAsia="Arial" w:hAnsi="Arial"/>
                <w:sz w:val="16"/>
                <w:szCs w:val="16"/>
                <w:b w:val="1"/>
                <w:bCs w:val="1"/>
                <w:color w:val="auto"/>
                <w:w w:val="94"/>
              </w:rPr>
              <w:t>Held with the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and Length of</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Occupation(s) During</w:t>
            </w:r>
          </w:p>
        </w:tc>
        <w:tc>
          <w:tcPr>
            <w:tcW w:w="1080" w:type="dxa"/>
            <w:vAlign w:val="bottom"/>
          </w:tcPr>
          <w:p>
            <w:pPr>
              <w:jc w:val="center"/>
              <w:ind w:left="79"/>
              <w:spacing w:after="0"/>
              <w:rPr>
                <w:sz w:val="20"/>
                <w:szCs w:val="20"/>
                <w:color w:val="auto"/>
              </w:rPr>
            </w:pPr>
            <w:r>
              <w:rPr>
                <w:rFonts w:ascii="Arial" w:cs="Arial" w:eastAsia="Arial" w:hAnsi="Arial"/>
                <w:sz w:val="16"/>
                <w:szCs w:val="16"/>
                <w:b w:val="1"/>
                <w:bCs w:val="1"/>
                <w:color w:val="auto"/>
                <w:w w:val="93"/>
              </w:rPr>
              <w:t>During</w:t>
            </w:r>
          </w:p>
        </w:tc>
      </w:tr>
      <w:tr>
        <w:trPr>
          <w:trHeight w:val="248"/>
        </w:trPr>
        <w:tc>
          <w:tcPr>
            <w:tcW w:w="2260" w:type="dxa"/>
            <w:vAlign w:val="bottom"/>
          </w:tcPr>
          <w:p>
            <w:pPr>
              <w:spacing w:after="0"/>
              <w:rPr>
                <w:sz w:val="20"/>
                <w:szCs w:val="20"/>
                <w:color w:val="auto"/>
              </w:rPr>
            </w:pPr>
            <w:r>
              <w:rPr>
                <w:rFonts w:ascii="Arial" w:cs="Arial" w:eastAsia="Arial" w:hAnsi="Arial"/>
                <w:sz w:val="16"/>
                <w:szCs w:val="16"/>
                <w:b w:val="1"/>
                <w:bCs w:val="1"/>
                <w:color w:val="auto"/>
              </w:rPr>
              <w:t>Name, Address, and Age</w:t>
            </w:r>
            <w:r>
              <w:rPr>
                <w:rFonts w:ascii="Arial" w:cs="Arial" w:eastAsia="Arial" w:hAnsi="Arial"/>
                <w:sz w:val="18"/>
                <w:szCs w:val="18"/>
                <w:b w:val="1"/>
                <w:bCs w:val="1"/>
                <w:color w:val="auto"/>
                <w:vertAlign w:val="superscript"/>
              </w:rPr>
              <w:t>(1)</w:t>
            </w:r>
          </w:p>
        </w:tc>
        <w:tc>
          <w:tcPr>
            <w:tcW w:w="152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Company</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Time Served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Past 5 Years</w:t>
            </w:r>
          </w:p>
        </w:tc>
        <w:tc>
          <w:tcPr>
            <w:tcW w:w="1080" w:type="dxa"/>
            <w:vAlign w:val="bottom"/>
          </w:tcPr>
          <w:p>
            <w:pPr>
              <w:jc w:val="center"/>
              <w:ind w:left="119"/>
              <w:spacing w:after="0"/>
              <w:rPr>
                <w:sz w:val="20"/>
                <w:szCs w:val="20"/>
                <w:color w:val="auto"/>
              </w:rPr>
            </w:pPr>
            <w:r>
              <w:rPr>
                <w:rFonts w:ascii="Arial" w:cs="Arial" w:eastAsia="Arial" w:hAnsi="Arial"/>
                <w:sz w:val="16"/>
                <w:szCs w:val="16"/>
                <w:b w:val="1"/>
                <w:bCs w:val="1"/>
                <w:color w:val="auto"/>
                <w:w w:val="88"/>
              </w:rPr>
              <w:t>Past 5 Years</w:t>
            </w:r>
          </w:p>
        </w:tc>
      </w:tr>
    </w:tbl>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Interested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Nominees: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Messrs. Sloane and Downs are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“interested persons”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Company as defined in the 1940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Barry Sloane, 60</w:t>
            </w:r>
          </w:p>
        </w:tc>
        <w:tc>
          <w:tcPr>
            <w:tcW w:w="1860" w:type="dxa"/>
            <w:vAlign w:val="bottom"/>
          </w:tcPr>
          <w:p>
            <w:pPr>
              <w:ind w:left="700"/>
              <w:spacing w:after="0"/>
              <w:rPr>
                <w:sz w:val="20"/>
                <w:szCs w:val="20"/>
                <w:color w:val="auto"/>
              </w:rPr>
            </w:pPr>
            <w:r>
              <w:rPr>
                <w:rFonts w:ascii="Arial" w:cs="Arial" w:eastAsia="Arial" w:hAnsi="Arial"/>
                <w:sz w:val="18"/>
                <w:szCs w:val="18"/>
                <w:color w:val="auto"/>
                <w:w w:val="99"/>
              </w:rPr>
              <w:t>Director, Chief</w:t>
            </w:r>
          </w:p>
        </w:tc>
        <w:tc>
          <w:tcPr>
            <w:tcW w:w="1260" w:type="dxa"/>
            <w:vAlign w:val="bottom"/>
          </w:tcPr>
          <w:p>
            <w:pPr>
              <w:ind w:left="80"/>
              <w:spacing w:after="0"/>
              <w:rPr>
                <w:sz w:val="20"/>
                <w:szCs w:val="20"/>
                <w:color w:val="auto"/>
              </w:rPr>
            </w:pPr>
            <w:r>
              <w:rPr>
                <w:rFonts w:ascii="Arial" w:cs="Arial" w:eastAsia="Arial" w:hAnsi="Arial"/>
                <w:sz w:val="18"/>
                <w:szCs w:val="18"/>
                <w:color w:val="auto"/>
                <w:w w:val="94"/>
              </w:rPr>
              <w:t>Class I Director</w:t>
            </w:r>
          </w:p>
        </w:tc>
        <w:tc>
          <w:tcPr>
            <w:tcW w:w="1660" w:type="dxa"/>
            <w:vAlign w:val="bottom"/>
          </w:tcPr>
          <w:p>
            <w:pPr>
              <w:ind w:left="60"/>
              <w:spacing w:after="0"/>
              <w:rPr>
                <w:sz w:val="20"/>
                <w:szCs w:val="20"/>
                <w:color w:val="auto"/>
              </w:rPr>
            </w:pPr>
            <w:r>
              <w:rPr>
                <w:rFonts w:ascii="Arial" w:cs="Arial" w:eastAsia="Arial" w:hAnsi="Arial"/>
                <w:sz w:val="18"/>
                <w:szCs w:val="18"/>
                <w:color w:val="auto"/>
              </w:rPr>
              <w:t>Chairman of the</w:t>
            </w:r>
          </w:p>
        </w:tc>
      </w:tr>
      <w:tr>
        <w:trPr>
          <w:trHeight w:val="216"/>
        </w:trPr>
        <w:tc>
          <w:tcPr>
            <w:tcW w:w="1920" w:type="dxa"/>
            <w:vAlign w:val="bottom"/>
          </w:tcPr>
          <w:p>
            <w:pPr>
              <w:spacing w:after="0"/>
              <w:rPr>
                <w:sz w:val="18"/>
                <w:szCs w:val="18"/>
                <w:color w:val="auto"/>
              </w:rPr>
            </w:pPr>
          </w:p>
        </w:tc>
        <w:tc>
          <w:tcPr>
            <w:tcW w:w="1860" w:type="dxa"/>
            <w:vAlign w:val="bottom"/>
          </w:tcPr>
          <w:p>
            <w:pPr>
              <w:ind w:left="700"/>
              <w:spacing w:after="0"/>
              <w:rPr>
                <w:sz w:val="20"/>
                <w:szCs w:val="20"/>
                <w:color w:val="auto"/>
              </w:rPr>
            </w:pPr>
            <w:r>
              <w:rPr>
                <w:rFonts w:ascii="Arial" w:cs="Arial" w:eastAsia="Arial" w:hAnsi="Arial"/>
                <w:sz w:val="18"/>
                <w:szCs w:val="18"/>
                <w:color w:val="auto"/>
              </w:rPr>
              <w:t>Executive</w:t>
            </w:r>
          </w:p>
        </w:tc>
        <w:tc>
          <w:tcPr>
            <w:tcW w:w="1260" w:type="dxa"/>
            <w:vAlign w:val="bottom"/>
          </w:tcPr>
          <w:p>
            <w:pPr>
              <w:ind w:left="80"/>
              <w:spacing w:after="0"/>
              <w:rPr>
                <w:sz w:val="20"/>
                <w:szCs w:val="20"/>
                <w:color w:val="auto"/>
              </w:rPr>
            </w:pPr>
            <w:r>
              <w:rPr>
                <w:rFonts w:ascii="Arial" w:cs="Arial" w:eastAsia="Arial" w:hAnsi="Arial"/>
                <w:sz w:val="18"/>
                <w:szCs w:val="18"/>
                <w:color w:val="auto"/>
              </w:rPr>
              <w:t>since 1999;</w:t>
            </w:r>
          </w:p>
        </w:tc>
        <w:tc>
          <w:tcPr>
            <w:tcW w:w="1660" w:type="dxa"/>
            <w:vAlign w:val="bottom"/>
          </w:tcPr>
          <w:p>
            <w:pPr>
              <w:ind w:left="60"/>
              <w:spacing w:after="0"/>
              <w:rPr>
                <w:sz w:val="20"/>
                <w:szCs w:val="20"/>
                <w:color w:val="auto"/>
              </w:rPr>
            </w:pPr>
            <w:r>
              <w:rPr>
                <w:rFonts w:ascii="Arial" w:cs="Arial" w:eastAsia="Arial" w:hAnsi="Arial"/>
                <w:sz w:val="18"/>
                <w:szCs w:val="18"/>
                <w:color w:val="auto"/>
              </w:rPr>
              <w:t>Board of Directors,</w:t>
            </w:r>
          </w:p>
        </w:tc>
      </w:tr>
      <w:tr>
        <w:trPr>
          <w:trHeight w:val="216"/>
        </w:trPr>
        <w:tc>
          <w:tcPr>
            <w:tcW w:w="1920" w:type="dxa"/>
            <w:vAlign w:val="bottom"/>
          </w:tcPr>
          <w:p>
            <w:pPr>
              <w:spacing w:after="0"/>
              <w:rPr>
                <w:sz w:val="18"/>
                <w:szCs w:val="18"/>
                <w:color w:val="auto"/>
              </w:rPr>
            </w:pPr>
          </w:p>
        </w:tc>
        <w:tc>
          <w:tcPr>
            <w:tcW w:w="1860" w:type="dxa"/>
            <w:vAlign w:val="bottom"/>
          </w:tcPr>
          <w:p>
            <w:pPr>
              <w:ind w:left="700"/>
              <w:spacing w:after="0"/>
              <w:rPr>
                <w:sz w:val="20"/>
                <w:szCs w:val="20"/>
                <w:color w:val="auto"/>
              </w:rPr>
            </w:pPr>
            <w:r>
              <w:rPr>
                <w:rFonts w:ascii="Arial" w:cs="Arial" w:eastAsia="Arial" w:hAnsi="Arial"/>
                <w:sz w:val="18"/>
                <w:szCs w:val="18"/>
                <w:color w:val="auto"/>
              </w:rPr>
              <w:t>Officer, and</w:t>
            </w:r>
          </w:p>
        </w:tc>
        <w:tc>
          <w:tcPr>
            <w:tcW w:w="1260" w:type="dxa"/>
            <w:vAlign w:val="bottom"/>
          </w:tcPr>
          <w:p>
            <w:pPr>
              <w:ind w:left="80"/>
              <w:spacing w:after="0"/>
              <w:rPr>
                <w:sz w:val="20"/>
                <w:szCs w:val="20"/>
                <w:color w:val="auto"/>
              </w:rPr>
            </w:pPr>
            <w:r>
              <w:rPr>
                <w:rFonts w:ascii="Arial" w:cs="Arial" w:eastAsia="Arial" w:hAnsi="Arial"/>
                <w:sz w:val="18"/>
                <w:szCs w:val="18"/>
                <w:color w:val="auto"/>
              </w:rPr>
              <w:t>Term expires</w:t>
            </w:r>
          </w:p>
        </w:tc>
        <w:tc>
          <w:tcPr>
            <w:tcW w:w="1660" w:type="dxa"/>
            <w:vAlign w:val="bottom"/>
          </w:tcPr>
          <w:p>
            <w:pPr>
              <w:ind w:left="60"/>
              <w:spacing w:after="0"/>
              <w:rPr>
                <w:sz w:val="20"/>
                <w:szCs w:val="20"/>
                <w:color w:val="auto"/>
              </w:rPr>
            </w:pPr>
            <w:r>
              <w:rPr>
                <w:rFonts w:ascii="Arial" w:cs="Arial" w:eastAsia="Arial" w:hAnsi="Arial"/>
                <w:sz w:val="18"/>
                <w:szCs w:val="18"/>
                <w:color w:val="auto"/>
              </w:rPr>
              <w:t>Chief Executive</w:t>
            </w:r>
          </w:p>
        </w:tc>
      </w:tr>
      <w:tr>
        <w:trPr>
          <w:trHeight w:val="216"/>
        </w:trPr>
        <w:tc>
          <w:tcPr>
            <w:tcW w:w="1920" w:type="dxa"/>
            <w:vAlign w:val="bottom"/>
          </w:tcPr>
          <w:p>
            <w:pPr>
              <w:spacing w:after="0"/>
              <w:rPr>
                <w:sz w:val="18"/>
                <w:szCs w:val="18"/>
                <w:color w:val="auto"/>
              </w:rPr>
            </w:pPr>
          </w:p>
        </w:tc>
        <w:tc>
          <w:tcPr>
            <w:tcW w:w="1860" w:type="dxa"/>
            <w:vAlign w:val="bottom"/>
          </w:tcPr>
          <w:p>
            <w:pPr>
              <w:ind w:left="700"/>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80"/>
              <w:spacing w:after="0"/>
              <w:rPr>
                <w:sz w:val="20"/>
                <w:szCs w:val="20"/>
                <w:color w:val="auto"/>
              </w:rPr>
            </w:pPr>
            <w:r>
              <w:rPr>
                <w:rFonts w:ascii="Arial" w:cs="Arial" w:eastAsia="Arial" w:hAnsi="Arial"/>
                <w:sz w:val="18"/>
                <w:szCs w:val="18"/>
                <w:color w:val="auto"/>
              </w:rPr>
              <w:t>2021</w:t>
            </w:r>
          </w:p>
        </w:tc>
        <w:tc>
          <w:tcPr>
            <w:tcW w:w="1660" w:type="dxa"/>
            <w:vAlign w:val="bottom"/>
          </w:tcPr>
          <w:p>
            <w:pPr>
              <w:ind w:left="60"/>
              <w:spacing w:after="0"/>
              <w:rPr>
                <w:sz w:val="20"/>
                <w:szCs w:val="20"/>
                <w:color w:val="auto"/>
              </w:rPr>
            </w:pPr>
            <w:r>
              <w:rPr>
                <w:rFonts w:ascii="Arial" w:cs="Arial" w:eastAsia="Arial" w:hAnsi="Arial"/>
                <w:sz w:val="18"/>
                <w:szCs w:val="18"/>
                <w:color w:val="auto"/>
                <w:w w:val="90"/>
              </w:rPr>
              <w:t>Officer, President and</w:t>
            </w:r>
          </w:p>
        </w:tc>
      </w:tr>
      <w:tr>
        <w:trPr>
          <w:trHeight w:val="216"/>
        </w:trPr>
        <w:tc>
          <w:tcPr>
            <w:tcW w:w="1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rPr>
              <w:t>founder of the</w:t>
            </w:r>
          </w:p>
        </w:tc>
      </w:tr>
      <w:tr>
        <w:trPr>
          <w:trHeight w:val="216"/>
        </w:trPr>
        <w:tc>
          <w:tcPr>
            <w:tcW w:w="1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w w:val="95"/>
              </w:rPr>
              <w:t>Company; Executive</w:t>
            </w:r>
          </w:p>
        </w:tc>
      </w:tr>
      <w:tr>
        <w:trPr>
          <w:trHeight w:val="216"/>
        </w:trPr>
        <w:tc>
          <w:tcPr>
            <w:tcW w:w="1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w w:val="94"/>
              </w:rPr>
              <w:t>Officer of each of the</w:t>
            </w:r>
          </w:p>
        </w:tc>
      </w:tr>
      <w:tr>
        <w:trPr>
          <w:trHeight w:val="216"/>
        </w:trPr>
        <w:tc>
          <w:tcPr>
            <w:tcW w:w="1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w w:val="91"/>
              </w:rPr>
              <w:t>Company’s controlled</w:t>
            </w:r>
          </w:p>
        </w:tc>
      </w:tr>
      <w:tr>
        <w:trPr>
          <w:trHeight w:val="230"/>
        </w:trPr>
        <w:tc>
          <w:tcPr>
            <w:tcW w:w="1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60" w:type="dxa"/>
            <w:vAlign w:val="bottom"/>
          </w:tcPr>
          <w:p>
            <w:pPr>
              <w:ind w:left="60"/>
              <w:spacing w:after="0"/>
              <w:rPr>
                <w:sz w:val="20"/>
                <w:szCs w:val="20"/>
                <w:color w:val="auto"/>
              </w:rPr>
            </w:pPr>
            <w:r>
              <w:rPr>
                <w:rFonts w:ascii="Arial" w:cs="Arial" w:eastAsia="Arial" w:hAnsi="Arial"/>
                <w:sz w:val="18"/>
                <w:szCs w:val="18"/>
                <w:color w:val="auto"/>
                <w:w w:val="98"/>
              </w:rPr>
              <w:t>portfolio companies.</w:t>
            </w:r>
          </w:p>
        </w:tc>
      </w:tr>
    </w:tbl>
    <w:p>
      <w:pPr>
        <w:spacing w:after="0" w:line="202" w:lineRule="exact"/>
        <w:rPr>
          <w:sz w:val="20"/>
          <w:szCs w:val="20"/>
          <w:color w:val="auto"/>
        </w:rPr>
      </w:pPr>
    </w:p>
    <w:p>
      <w:pPr>
        <w:ind w:left="460" w:right="479"/>
        <w:spacing w:after="0" w:line="287" w:lineRule="auto"/>
        <w:rPr>
          <w:sz w:val="20"/>
          <w:szCs w:val="20"/>
          <w:color w:val="auto"/>
        </w:rPr>
      </w:pPr>
      <w:r>
        <w:rPr>
          <w:rFonts w:ascii="Arial" w:cs="Arial" w:eastAsia="Arial" w:hAnsi="Arial"/>
          <w:sz w:val="16"/>
          <w:szCs w:val="16"/>
          <w:color w:val="auto"/>
        </w:rPr>
        <w:t>Mr. Sloane has served as our Chairman and Chief Executive Officer since 1999 and as our President since 2008. Mr. Sloane founded Newtek in 1998 and is an executive officer of each of the Company’s controlled portfolio companies. In addition, in April 2015, Mr. Sloane became a director with AK Capital LLC, a securities brokerage company, a position he left in 2019. From September 1993 through July 1995, Mr. Sloane was a Managing Director of Smith Barney, Inc. While there, he directed the Commercial and Residential Real Estate Securitization Unit, and he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100"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color w:val="auto"/>
        </w:rPr>
        <w:t>Mr. Sloane’s broad business and financial experience and his knowledge of the Company’s businesses have been of great value to the other members of the Board and qualify him to serve on our Board of Directors and as the Chairman of our Board of Directors.</w:t>
      </w:r>
    </w:p>
    <w:p>
      <w:pPr>
        <w:spacing w:after="0" w:line="143" w:lineRule="exact"/>
        <w:rPr>
          <w:sz w:val="20"/>
          <w:szCs w:val="20"/>
          <w:color w:val="auto"/>
        </w:rPr>
      </w:pPr>
    </w:p>
    <w:p>
      <w:pPr>
        <w:ind w:left="460"/>
        <w:spacing w:after="0"/>
        <w:tabs>
          <w:tab w:leader="none" w:pos="2480" w:val="left"/>
          <w:tab w:leader="none" w:pos="4500" w:val="left"/>
          <w:tab w:leader="none" w:pos="6500" w:val="left"/>
        </w:tabs>
        <w:rPr>
          <w:sz w:val="20"/>
          <w:szCs w:val="20"/>
          <w:color w:val="auto"/>
        </w:rPr>
      </w:pPr>
      <w:r>
        <w:rPr>
          <w:rFonts w:ascii="Arial" w:cs="Arial" w:eastAsia="Arial" w:hAnsi="Arial"/>
          <w:sz w:val="18"/>
          <w:szCs w:val="18"/>
          <w:color w:val="auto"/>
        </w:rPr>
        <w:t>Peter Downs, 55</w:t>
      </w:r>
      <w:r>
        <w:rPr>
          <w:sz w:val="20"/>
          <w:szCs w:val="20"/>
          <w:color w:val="auto"/>
        </w:rPr>
        <w:tab/>
      </w:r>
      <w:r>
        <w:rPr>
          <w:rFonts w:ascii="Arial" w:cs="Arial" w:eastAsia="Arial" w:hAnsi="Arial"/>
          <w:sz w:val="18"/>
          <w:szCs w:val="18"/>
          <w:color w:val="auto"/>
        </w:rPr>
        <w:t>Director, Chief Lending</w:t>
      </w:r>
      <w:r>
        <w:rPr>
          <w:sz w:val="20"/>
          <w:szCs w:val="20"/>
          <w:color w:val="auto"/>
        </w:rPr>
        <w:tab/>
      </w:r>
      <w:r>
        <w:rPr>
          <w:rFonts w:ascii="Arial" w:cs="Arial" w:eastAsia="Arial" w:hAnsi="Arial"/>
          <w:sz w:val="18"/>
          <w:szCs w:val="18"/>
          <w:color w:val="auto"/>
        </w:rPr>
        <w:t>Class I Director since</w:t>
      </w:r>
      <w:r>
        <w:rPr>
          <w:sz w:val="20"/>
          <w:szCs w:val="20"/>
          <w:color w:val="auto"/>
        </w:rPr>
        <w:tab/>
      </w:r>
      <w:r>
        <w:rPr>
          <w:rFonts w:ascii="Arial" w:cs="Arial" w:eastAsia="Arial" w:hAnsi="Arial"/>
          <w:sz w:val="17"/>
          <w:szCs w:val="17"/>
          <w:color w:val="auto"/>
        </w:rPr>
        <w:t>Chief Lending Officer of</w:t>
      </w:r>
    </w:p>
    <w:p>
      <w:pPr>
        <w:spacing w:after="0" w:line="23" w:lineRule="exact"/>
        <w:rPr>
          <w:sz w:val="20"/>
          <w:szCs w:val="20"/>
          <w:color w:val="auto"/>
        </w:rPr>
      </w:pPr>
    </w:p>
    <w:p>
      <w:pPr>
        <w:ind w:left="2500"/>
        <w:spacing w:after="0"/>
        <w:tabs>
          <w:tab w:leader="none" w:pos="4500" w:val="left"/>
          <w:tab w:leader="none" w:pos="6500" w:val="left"/>
        </w:tabs>
        <w:rPr>
          <w:sz w:val="20"/>
          <w:szCs w:val="20"/>
          <w:color w:val="auto"/>
        </w:rPr>
      </w:pPr>
      <w:r>
        <w:rPr>
          <w:rFonts w:ascii="Arial" w:cs="Arial" w:eastAsia="Arial" w:hAnsi="Arial"/>
          <w:sz w:val="18"/>
          <w:szCs w:val="18"/>
          <w:color w:val="auto"/>
        </w:rPr>
        <w:t>Officer</w:t>
      </w:r>
      <w:r>
        <w:rPr>
          <w:sz w:val="20"/>
          <w:szCs w:val="20"/>
          <w:color w:val="auto"/>
        </w:rPr>
        <w:tab/>
      </w:r>
      <w:r>
        <w:rPr>
          <w:rFonts w:ascii="Arial" w:cs="Arial" w:eastAsia="Arial" w:hAnsi="Arial"/>
          <w:sz w:val="18"/>
          <w:szCs w:val="18"/>
          <w:color w:val="auto"/>
        </w:rPr>
        <w:t>2014; Term expires 2021</w:t>
      </w:r>
      <w:r>
        <w:rPr>
          <w:sz w:val="20"/>
          <w:szCs w:val="20"/>
          <w:color w:val="auto"/>
        </w:rPr>
        <w:tab/>
      </w:r>
      <w:r>
        <w:rPr>
          <w:rFonts w:ascii="Arial" w:cs="Arial" w:eastAsia="Arial" w:hAnsi="Arial"/>
          <w:sz w:val="16"/>
          <w:szCs w:val="16"/>
          <w:color w:val="auto"/>
        </w:rPr>
        <w:t>the Company; President of</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Newtek Small Business</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Finance, LLC</w:t>
      </w:r>
    </w:p>
    <w:p>
      <w:pPr>
        <w:spacing w:after="0" w:line="224" w:lineRule="exact"/>
        <w:rPr>
          <w:sz w:val="20"/>
          <w:szCs w:val="20"/>
          <w:color w:val="auto"/>
        </w:rPr>
      </w:pPr>
    </w:p>
    <w:p>
      <w:pPr>
        <w:ind w:left="460" w:right="499"/>
        <w:spacing w:after="0" w:line="254" w:lineRule="auto"/>
        <w:rPr>
          <w:sz w:val="20"/>
          <w:szCs w:val="20"/>
          <w:color w:val="auto"/>
        </w:rPr>
      </w:pPr>
      <w:r>
        <w:rPr>
          <w:rFonts w:ascii="Arial" w:cs="Arial" w:eastAsia="Arial" w:hAnsi="Arial"/>
          <w:sz w:val="18"/>
          <w:szCs w:val="18"/>
          <w:color w:val="auto"/>
        </w:rPr>
        <w:t>Mr. Downs is the Company’s Chief Lending Officer and was appointed as director in connection with the Company’s conversion to a business development company on November 12, 2014. Mr. Downs joined the Company in 2003 and has been the President of Newtek Small Business Finance, LLC (“NSBF”) and a member of the board of directors and Risk Committee for NSBF.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right="639"/>
        <w:spacing w:after="0" w:line="253" w:lineRule="auto"/>
        <w:rPr>
          <w:sz w:val="20"/>
          <w:szCs w:val="20"/>
          <w:color w:val="auto"/>
        </w:rPr>
      </w:pPr>
      <w:r>
        <w:rPr>
          <w:rFonts w:ascii="Arial" w:cs="Arial" w:eastAsia="Arial" w:hAnsi="Arial"/>
          <w:sz w:val="18"/>
          <w:szCs w:val="18"/>
          <w:color w:val="auto"/>
        </w:rPr>
        <w:t>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115" w:lineRule="exact"/>
        <w:rPr>
          <w:sz w:val="20"/>
          <w:szCs w:val="20"/>
          <w:color w:val="auto"/>
        </w:rPr>
      </w:pPr>
    </w:p>
    <w:p>
      <w:pPr>
        <w:ind w:left="460" w:right="599"/>
        <w:spacing w:after="0" w:line="263" w:lineRule="auto"/>
        <w:rPr>
          <w:sz w:val="20"/>
          <w:szCs w:val="20"/>
          <w:color w:val="auto"/>
        </w:rPr>
      </w:pPr>
      <w:r>
        <w:rPr>
          <w:rFonts w:ascii="Arial" w:cs="Arial" w:eastAsia="Arial" w:hAnsi="Arial"/>
          <w:sz w:val="18"/>
          <w:szCs w:val="18"/>
          <w:color w:val="auto"/>
        </w:rPr>
        <w:t>Mr. Down’s history with the Company and extensive experience in the small business lending space, including U.S. Small Business Administration (SBA) 7(a) lending, provides our Board of Directors with the valuable insight of an experienced lender.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Incumbent Class II Director — Term Expiring 2022</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jc w:val="center"/>
              <w:ind w:left="139"/>
              <w:spacing w:after="0"/>
              <w:rPr>
                <w:sz w:val="20"/>
                <w:szCs w:val="20"/>
                <w:color w:val="auto"/>
              </w:rPr>
            </w:pPr>
            <w:r>
              <w:rPr>
                <w:rFonts w:ascii="Arial" w:cs="Arial" w:eastAsia="Arial" w:hAnsi="Arial"/>
                <w:sz w:val="16"/>
                <w:szCs w:val="16"/>
                <w:b w:val="1"/>
                <w:bCs w:val="1"/>
                <w:color w:val="auto"/>
                <w:w w:val="93"/>
              </w:rPr>
              <w:t>Other</w:t>
            </w:r>
          </w:p>
        </w:tc>
      </w:tr>
      <w:tr>
        <w:trPr>
          <w:trHeight w:val="203"/>
        </w:trPr>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Directorships</w:t>
            </w:r>
          </w:p>
        </w:tc>
      </w:tr>
      <w:tr>
        <w:trPr>
          <w:trHeight w:val="203"/>
        </w:trPr>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jc w:val="center"/>
              <w:ind w:left="139"/>
              <w:spacing w:after="0"/>
              <w:rPr>
                <w:sz w:val="20"/>
                <w:szCs w:val="20"/>
                <w:color w:val="auto"/>
              </w:rPr>
            </w:pPr>
            <w:r>
              <w:rPr>
                <w:rFonts w:ascii="Arial" w:cs="Arial" w:eastAsia="Arial" w:hAnsi="Arial"/>
                <w:sz w:val="16"/>
                <w:szCs w:val="16"/>
                <w:b w:val="1"/>
                <w:bCs w:val="1"/>
                <w:color w:val="auto"/>
                <w:w w:val="96"/>
              </w:rPr>
              <w:t>Held by</w:t>
            </w:r>
          </w:p>
        </w:tc>
      </w:tr>
      <w:tr>
        <w:trPr>
          <w:trHeight w:val="203"/>
        </w:trPr>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jc w:val="center"/>
              <w:ind w:left="139"/>
              <w:spacing w:after="0"/>
              <w:rPr>
                <w:sz w:val="20"/>
                <w:szCs w:val="20"/>
                <w:color w:val="auto"/>
              </w:rPr>
            </w:pPr>
            <w:r>
              <w:rPr>
                <w:rFonts w:ascii="Arial" w:cs="Arial" w:eastAsia="Arial" w:hAnsi="Arial"/>
                <w:sz w:val="16"/>
                <w:szCs w:val="16"/>
                <w:b w:val="1"/>
                <w:bCs w:val="1"/>
                <w:color w:val="auto"/>
                <w:w w:val="92"/>
              </w:rPr>
              <w:t>Director or</w:t>
            </w:r>
          </w:p>
        </w:tc>
      </w:tr>
      <w:tr>
        <w:trPr>
          <w:trHeight w:val="203"/>
        </w:trPr>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Nominee for</w:t>
            </w:r>
          </w:p>
        </w:tc>
      </w:tr>
      <w:tr>
        <w:trPr>
          <w:trHeight w:val="203"/>
        </w:trPr>
        <w:tc>
          <w:tcPr>
            <w:tcW w:w="2200" w:type="dxa"/>
            <w:vAlign w:val="bottom"/>
          </w:tcPr>
          <w:p>
            <w:pPr>
              <w:spacing w:after="0"/>
              <w:rPr>
                <w:sz w:val="17"/>
                <w:szCs w:val="17"/>
                <w:color w:val="auto"/>
              </w:rPr>
            </w:pPr>
          </w:p>
        </w:tc>
        <w:tc>
          <w:tcPr>
            <w:tcW w:w="1420" w:type="dxa"/>
            <w:vAlign w:val="bottom"/>
          </w:tcPr>
          <w:p>
            <w:pPr>
              <w:jc w:val="center"/>
              <w:ind w:left="179"/>
              <w:spacing w:after="0"/>
              <w:rPr>
                <w:sz w:val="20"/>
                <w:szCs w:val="20"/>
                <w:color w:val="auto"/>
              </w:rPr>
            </w:pPr>
            <w:r>
              <w:rPr>
                <w:rFonts w:ascii="Arial" w:cs="Arial" w:eastAsia="Arial" w:hAnsi="Arial"/>
                <w:sz w:val="16"/>
                <w:szCs w:val="16"/>
                <w:b w:val="1"/>
                <w:bCs w:val="1"/>
                <w:color w:val="auto"/>
                <w:w w:val="87"/>
              </w:rPr>
              <w:t>Position(s)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Term of Office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140" w:type="dxa"/>
            <w:vAlign w:val="bottom"/>
          </w:tcPr>
          <w:p>
            <w:pPr>
              <w:jc w:val="center"/>
              <w:ind w:left="119"/>
              <w:spacing w:after="0"/>
              <w:rPr>
                <w:sz w:val="20"/>
                <w:szCs w:val="20"/>
                <w:color w:val="auto"/>
              </w:rPr>
            </w:pPr>
            <w:r>
              <w:rPr>
                <w:rFonts w:ascii="Arial" w:cs="Arial" w:eastAsia="Arial" w:hAnsi="Arial"/>
                <w:sz w:val="16"/>
                <w:szCs w:val="16"/>
                <w:b w:val="1"/>
                <w:bCs w:val="1"/>
                <w:color w:val="auto"/>
                <w:w w:val="94"/>
              </w:rPr>
              <w:t>Director</w:t>
            </w:r>
          </w:p>
        </w:tc>
      </w:tr>
      <w:tr>
        <w:trPr>
          <w:trHeight w:val="203"/>
        </w:trPr>
        <w:tc>
          <w:tcPr>
            <w:tcW w:w="2200" w:type="dxa"/>
            <w:vAlign w:val="bottom"/>
          </w:tcPr>
          <w:p>
            <w:pPr>
              <w:spacing w:after="0"/>
              <w:rPr>
                <w:sz w:val="17"/>
                <w:szCs w:val="17"/>
                <w:color w:val="auto"/>
              </w:rPr>
            </w:pPr>
          </w:p>
        </w:tc>
        <w:tc>
          <w:tcPr>
            <w:tcW w:w="1420" w:type="dxa"/>
            <w:vAlign w:val="bottom"/>
          </w:tcPr>
          <w:p>
            <w:pPr>
              <w:jc w:val="center"/>
              <w:ind w:left="199"/>
              <w:spacing w:after="0"/>
              <w:rPr>
                <w:sz w:val="20"/>
                <w:szCs w:val="20"/>
                <w:color w:val="auto"/>
              </w:rPr>
            </w:pPr>
            <w:r>
              <w:rPr>
                <w:rFonts w:ascii="Arial" w:cs="Arial" w:eastAsia="Arial" w:hAnsi="Arial"/>
                <w:sz w:val="16"/>
                <w:szCs w:val="16"/>
                <w:b w:val="1"/>
                <w:bCs w:val="1"/>
                <w:color w:val="auto"/>
                <w:w w:val="94"/>
              </w:rPr>
              <w:t>Held with the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and Length of</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Occupation(s) During</w:t>
            </w:r>
          </w:p>
        </w:tc>
        <w:tc>
          <w:tcPr>
            <w:tcW w:w="1140" w:type="dxa"/>
            <w:vAlign w:val="bottom"/>
          </w:tcPr>
          <w:p>
            <w:pPr>
              <w:jc w:val="center"/>
              <w:ind w:left="139"/>
              <w:spacing w:after="0"/>
              <w:rPr>
                <w:sz w:val="20"/>
                <w:szCs w:val="20"/>
                <w:color w:val="auto"/>
              </w:rPr>
            </w:pPr>
            <w:r>
              <w:rPr>
                <w:rFonts w:ascii="Arial" w:cs="Arial" w:eastAsia="Arial" w:hAnsi="Arial"/>
                <w:sz w:val="16"/>
                <w:szCs w:val="16"/>
                <w:b w:val="1"/>
                <w:bCs w:val="1"/>
                <w:color w:val="auto"/>
                <w:w w:val="93"/>
              </w:rPr>
              <w:t>During</w:t>
            </w:r>
          </w:p>
        </w:tc>
      </w:tr>
      <w:tr>
        <w:trPr>
          <w:trHeight w:val="248"/>
        </w:trPr>
        <w:tc>
          <w:tcPr>
            <w:tcW w:w="2200" w:type="dxa"/>
            <w:vAlign w:val="bottom"/>
          </w:tcPr>
          <w:p>
            <w:pPr>
              <w:spacing w:after="0"/>
              <w:rPr>
                <w:sz w:val="20"/>
                <w:szCs w:val="20"/>
                <w:color w:val="auto"/>
              </w:rPr>
            </w:pPr>
            <w:r>
              <w:rPr>
                <w:rFonts w:ascii="Arial" w:cs="Arial" w:eastAsia="Arial" w:hAnsi="Arial"/>
                <w:sz w:val="16"/>
                <w:szCs w:val="16"/>
                <w:b w:val="1"/>
                <w:bCs w:val="1"/>
                <w:color w:val="auto"/>
              </w:rPr>
              <w:t>Name, Address, and Age</w:t>
            </w:r>
            <w:r>
              <w:rPr>
                <w:rFonts w:ascii="Arial" w:cs="Arial" w:eastAsia="Arial" w:hAnsi="Arial"/>
                <w:sz w:val="18"/>
                <w:szCs w:val="18"/>
                <w:b w:val="1"/>
                <w:bCs w:val="1"/>
                <w:color w:val="auto"/>
                <w:vertAlign w:val="superscript"/>
              </w:rPr>
              <w:t>(1)</w:t>
            </w:r>
          </w:p>
        </w:tc>
        <w:tc>
          <w:tcPr>
            <w:tcW w:w="1420" w:type="dxa"/>
            <w:vAlign w:val="bottom"/>
          </w:tcPr>
          <w:p>
            <w:pPr>
              <w:jc w:val="center"/>
              <w:ind w:left="219"/>
              <w:spacing w:after="0"/>
              <w:rPr>
                <w:sz w:val="20"/>
                <w:szCs w:val="20"/>
                <w:color w:val="auto"/>
              </w:rPr>
            </w:pPr>
            <w:r>
              <w:rPr>
                <w:rFonts w:ascii="Arial" w:cs="Arial" w:eastAsia="Arial" w:hAnsi="Arial"/>
                <w:sz w:val="16"/>
                <w:szCs w:val="16"/>
                <w:b w:val="1"/>
                <w:bCs w:val="1"/>
                <w:color w:val="auto"/>
                <w:w w:val="93"/>
              </w:rPr>
              <w:t>Company</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Time Served</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Past 5 Years</w:t>
            </w:r>
          </w:p>
        </w:tc>
        <w:tc>
          <w:tcPr>
            <w:tcW w:w="1140" w:type="dxa"/>
            <w:vAlign w:val="bottom"/>
          </w:tcPr>
          <w:p>
            <w:pPr>
              <w:jc w:val="center"/>
              <w:ind w:left="179"/>
              <w:spacing w:after="0"/>
              <w:rPr>
                <w:sz w:val="20"/>
                <w:szCs w:val="20"/>
                <w:color w:val="auto"/>
              </w:rPr>
            </w:pPr>
            <w:r>
              <w:rPr>
                <w:rFonts w:ascii="Arial" w:cs="Arial" w:eastAsia="Arial" w:hAnsi="Arial"/>
                <w:sz w:val="16"/>
                <w:szCs w:val="16"/>
                <w:b w:val="1"/>
                <w:bCs w:val="1"/>
                <w:color w:val="auto"/>
                <w:w w:val="88"/>
              </w:rPr>
              <w:t>Past 5 Years</w:t>
            </w:r>
          </w:p>
        </w:tc>
      </w:tr>
    </w:tbl>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Zink is not an “interested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 of the Company 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defined in the 1940 Act.</w:t>
      </w:r>
    </w:p>
    <w:p>
      <w:pPr>
        <w:spacing w:after="0" w:line="184" w:lineRule="exact"/>
        <w:rPr>
          <w:sz w:val="20"/>
          <w:szCs w:val="20"/>
          <w:color w:val="auto"/>
        </w:rPr>
      </w:pPr>
    </w:p>
    <w:p>
      <w:pPr>
        <w:ind w:left="460"/>
        <w:spacing w:after="0"/>
        <w:tabs>
          <w:tab w:leader="none" w:pos="4140" w:val="left"/>
          <w:tab w:leader="none" w:pos="5380" w:val="left"/>
        </w:tabs>
        <w:rPr>
          <w:sz w:val="20"/>
          <w:szCs w:val="20"/>
          <w:color w:val="auto"/>
        </w:rPr>
      </w:pPr>
      <w:r>
        <w:rPr>
          <w:rFonts w:ascii="Arial" w:cs="Arial" w:eastAsia="Arial" w:hAnsi="Arial"/>
          <w:sz w:val="18"/>
          <w:szCs w:val="18"/>
          <w:color w:val="auto"/>
        </w:rPr>
        <w:t>Gregory Zink, 63</w:t>
      </w:r>
      <w:r>
        <w:rPr>
          <w:sz w:val="20"/>
          <w:szCs w:val="20"/>
          <w:color w:val="auto"/>
        </w:rPr>
        <w:tab/>
      </w:r>
      <w:r>
        <w:rPr>
          <w:rFonts w:ascii="Arial" w:cs="Arial" w:eastAsia="Arial" w:hAnsi="Arial"/>
          <w:sz w:val="18"/>
          <w:szCs w:val="18"/>
          <w:color w:val="auto"/>
        </w:rPr>
        <w:t>Class II</w:t>
      </w:r>
      <w:r>
        <w:rPr>
          <w:sz w:val="20"/>
          <w:szCs w:val="20"/>
          <w:color w:val="auto"/>
        </w:rPr>
        <w:tab/>
      </w:r>
      <w:r>
        <w:rPr>
          <w:rFonts w:ascii="Arial" w:cs="Arial" w:eastAsia="Arial" w:hAnsi="Arial"/>
          <w:sz w:val="16"/>
          <w:szCs w:val="16"/>
          <w:color w:val="auto"/>
        </w:rPr>
        <w:t>Management</w:t>
      </w:r>
    </w:p>
    <w:p>
      <w:pPr>
        <w:spacing w:after="0" w:line="23" w:lineRule="exact"/>
        <w:rPr>
          <w:sz w:val="20"/>
          <w:szCs w:val="20"/>
          <w:color w:val="auto"/>
        </w:rPr>
      </w:pPr>
    </w:p>
    <w:p>
      <w:pPr>
        <w:ind w:left="4160"/>
        <w:spacing w:after="0"/>
        <w:tabs>
          <w:tab w:leader="none" w:pos="5380" w:val="left"/>
        </w:tabs>
        <w:rPr>
          <w:sz w:val="20"/>
          <w:szCs w:val="20"/>
          <w:color w:val="auto"/>
        </w:rPr>
      </w:pPr>
      <w:r>
        <w:rPr>
          <w:rFonts w:ascii="Arial" w:cs="Arial" w:eastAsia="Arial" w:hAnsi="Arial"/>
          <w:sz w:val="18"/>
          <w:szCs w:val="18"/>
          <w:color w:val="auto"/>
        </w:rPr>
        <w:t>Director since</w:t>
      </w:r>
      <w:r>
        <w:rPr>
          <w:sz w:val="20"/>
          <w:szCs w:val="20"/>
          <w:color w:val="auto"/>
        </w:rPr>
        <w:tab/>
      </w:r>
      <w:r>
        <w:rPr>
          <w:rFonts w:ascii="Arial" w:cs="Arial" w:eastAsia="Arial" w:hAnsi="Arial"/>
          <w:sz w:val="16"/>
          <w:szCs w:val="16"/>
          <w:color w:val="auto"/>
        </w:rPr>
        <w:t>Consultant, Lowell</w:t>
      </w:r>
    </w:p>
    <w:p>
      <w:pPr>
        <w:spacing w:after="0" w:line="9" w:lineRule="exact"/>
        <w:rPr>
          <w:sz w:val="20"/>
          <w:szCs w:val="20"/>
          <w:color w:val="auto"/>
        </w:rPr>
      </w:pPr>
    </w:p>
    <w:p>
      <w:pPr>
        <w:ind w:left="4160"/>
        <w:spacing w:after="0"/>
        <w:tabs>
          <w:tab w:leader="none" w:pos="5380" w:val="left"/>
        </w:tabs>
        <w:rPr>
          <w:sz w:val="20"/>
          <w:szCs w:val="20"/>
          <w:color w:val="auto"/>
        </w:rPr>
      </w:pPr>
      <w:r>
        <w:rPr>
          <w:rFonts w:ascii="Arial" w:cs="Arial" w:eastAsia="Arial" w:hAnsi="Arial"/>
          <w:sz w:val="18"/>
          <w:szCs w:val="18"/>
          <w:color w:val="auto"/>
        </w:rPr>
        <w:t>2017; Term</w:t>
      </w:r>
      <w:r>
        <w:rPr>
          <w:sz w:val="20"/>
          <w:szCs w:val="20"/>
          <w:color w:val="auto"/>
        </w:rPr>
        <w:tab/>
      </w:r>
      <w:r>
        <w:rPr>
          <w:rFonts w:ascii="Arial" w:cs="Arial" w:eastAsia="Arial" w:hAnsi="Arial"/>
          <w:sz w:val="16"/>
          <w:szCs w:val="16"/>
          <w:color w:val="auto"/>
        </w:rPr>
        <w:t>Group, LLC; NGJ</w:t>
      </w:r>
    </w:p>
    <w:p>
      <w:pPr>
        <w:spacing w:after="0" w:line="9" w:lineRule="exact"/>
        <w:rPr>
          <w:sz w:val="20"/>
          <w:szCs w:val="20"/>
          <w:color w:val="auto"/>
        </w:rPr>
      </w:pPr>
    </w:p>
    <w:p>
      <w:pPr>
        <w:ind w:left="4160"/>
        <w:spacing w:after="0"/>
        <w:tabs>
          <w:tab w:leader="none" w:pos="5380" w:val="left"/>
        </w:tabs>
        <w:rPr>
          <w:sz w:val="20"/>
          <w:szCs w:val="20"/>
          <w:color w:val="auto"/>
        </w:rPr>
      </w:pPr>
      <w:r>
        <w:rPr>
          <w:rFonts w:ascii="Arial" w:cs="Arial" w:eastAsia="Arial" w:hAnsi="Arial"/>
          <w:sz w:val="18"/>
          <w:szCs w:val="18"/>
          <w:color w:val="auto"/>
        </w:rPr>
        <w:t>expires 2022</w:t>
      </w:r>
      <w:r>
        <w:rPr>
          <w:sz w:val="20"/>
          <w:szCs w:val="20"/>
          <w:color w:val="auto"/>
        </w:rPr>
        <w:tab/>
      </w:r>
      <w:r>
        <w:rPr>
          <w:rFonts w:ascii="Arial" w:cs="Arial" w:eastAsia="Arial" w:hAnsi="Arial"/>
          <w:sz w:val="16"/>
          <w:szCs w:val="16"/>
          <w:color w:val="auto"/>
        </w:rPr>
        <w:t>Brand Solutions,</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CEO, CFO and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Director; Exigo,</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International Sales</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60" w:right="639"/>
        <w:spacing w:after="0" w:line="269" w:lineRule="auto"/>
        <w:rPr>
          <w:sz w:val="20"/>
          <w:szCs w:val="20"/>
          <w:color w:val="auto"/>
        </w:rPr>
      </w:pPr>
      <w:r>
        <w:rPr>
          <w:rFonts w:ascii="Arial" w:cs="Arial" w:eastAsia="Arial" w:hAnsi="Arial"/>
          <w:sz w:val="17"/>
          <w:szCs w:val="17"/>
          <w:color w:val="auto"/>
        </w:rPr>
        <w:t>From 1998 to-date, Mr. Zink has been the principal of the Lowell Group, LLC, a management consulting firm which provides strategic, operational, marketing and financial consulting assistance to start-up, small and medium size businesses. From 1988 through 2018, Mr. Zink served as the Chief Executive Officer, Chief Financial Officer and Director of NGJ Brand Solutions, an international distributor of commercial fitness equipment and solutions provider in the Asia Pacific region. Beginning in 2018, Mr. Zink has been the Asia Pacific Sales Director of Exigo, a U.K. manufacturer of commercial fitness equipment and provider of programming solutions for fitness and wellness centers. Mr. Zink was an Executive Vice President of the Company from 2000 to 2005. Mr. Zink was also previously employed by Touche Ross/Deloitte Consulting, AT&amp;T, and is a graduate of the General Electric Financial Management Program. Mr. Zink attended Pennsylvania State University and has an MBA from the Wharton School of Business at the University of Pennsylvania.</w:t>
      </w:r>
    </w:p>
    <w:p>
      <w:pPr>
        <w:spacing w:after="0" w:line="114"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color w:val="auto"/>
        </w:rPr>
        <w:t>Mr. Zink’s professional experience provides a significant addition to the Board of Directors. Mr. Zink’s many years of experience providing consulting and financial advice to small and medium sized businesses, provides a significant addition to the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and Board of Directors Meetings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Newtek’s Board of Directors and management are committed to responsible corporate governance to ensure that the Company is managed for the long-term benefit of its shareholders. To that end, the Board of Directors and management periodically review and update, as appropriate, the Company’s corporate governance policies and practices. In doing so, the Board of Directors and management review published guidelines and recommendations of institutional shareholder organizations and current best practices of similarly situated public companies. The</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right="619"/>
        <w:spacing w:after="0" w:line="270" w:lineRule="auto"/>
        <w:rPr>
          <w:sz w:val="20"/>
          <w:szCs w:val="20"/>
          <w:color w:val="auto"/>
        </w:rPr>
      </w:pPr>
      <w:r>
        <w:rPr>
          <w:rFonts w:ascii="Arial" w:cs="Arial" w:eastAsia="Arial" w:hAnsi="Arial"/>
          <w:sz w:val="17"/>
          <w:szCs w:val="17"/>
          <w:color w:val="auto"/>
        </w:rPr>
        <w:t>Board of Directors and management also regularly evaluate and, when appropriate, revise the Company’s corporate governance policies and practices in accordance with the requirements of the Sarbanes-Oxley Act of 2002 and the rules and listing standards issued by the SEC and The Nasdaq</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Stock Market, Inc. (“Nasdaq”) where the Company’s Common Shares are listed and traded.</w:t>
      </w:r>
    </w:p>
    <w:p>
      <w:pPr>
        <w:spacing w:after="0" w:line="93"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During the fiscal year ended December 31, 2019, the Board of Directors held a total of 17 meetings, the Audit Committee held 4 meetings and the Compensation, Corporate Governance and Nominating Committee held 4 meetings. Each of the incumbent directors attended at least 75% of the aggregate of the Board of Directors meetings and meetings of the committee(s) on which he served held during the last fiscal year and while he served as a director. All members of the Board of Directors make a diligent effort to attend all board and committee meetings, as well as the Annual Meeting of Shareholders. In 2019, all members of the Board of Directors attended the Annual Meeting of Shareholders.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Governance Policies</w:t>
      </w:r>
    </w:p>
    <w:p>
      <w:pPr>
        <w:spacing w:after="0" w:line="162"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The Company has adopted corporate governance policies which are available at the Investor Relations page of </w:t>
      </w:r>
      <w:r>
        <w:rPr>
          <w:rFonts w:ascii="Arial" w:cs="Arial" w:eastAsia="Arial" w:hAnsi="Arial"/>
          <w:sz w:val="18"/>
          <w:szCs w:val="18"/>
          <w:i w:val="1"/>
          <w:iCs w:val="1"/>
          <w:color w:val="auto"/>
        </w:rPr>
        <w:t>www.newtekone.com</w:t>
      </w:r>
      <w:r>
        <w:rPr>
          <w:rFonts w:ascii="Arial" w:cs="Arial" w:eastAsia="Arial" w:hAnsi="Arial"/>
          <w:sz w:val="18"/>
          <w:szCs w:val="18"/>
          <w:color w:val="auto"/>
        </w:rPr>
        <w:t xml:space="preserve"> (</w:t>
      </w:r>
      <w:r>
        <w:rPr>
          <w:rFonts w:ascii="Arial" w:cs="Arial" w:eastAsia="Arial" w:hAnsi="Arial"/>
          <w:sz w:val="18"/>
          <w:szCs w:val="18"/>
          <w:i w:val="1"/>
          <w:iCs w:val="1"/>
          <w:color w:val="auto"/>
        </w:rPr>
        <w:t>http://investor.newtekbusinessservices.com/corporate-governance.cfm</w:t>
      </w:r>
      <w:r>
        <w:rPr>
          <w:rFonts w:ascii="Arial" w:cs="Arial" w:eastAsia="Arial" w:hAnsi="Arial"/>
          <w:sz w:val="18"/>
          <w:szCs w:val="18"/>
          <w:color w:val="auto"/>
        </w:rPr>
        <w:t>).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spacing w:after="0" w:line="127"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 xml:space="preserve">The Board of Directors currently has two standing committees: the Audit Committee and the Compensation, Corporate Governance and Nominating Committee. Each member of these committees is independent as defined by applicable Nasdaq and SEC rules. A brief description of each committee is included in this Proxy Statement and each of the committees has a written charter approved by the Board of Directors, which is available the Investor Relations page of our website at </w:t>
      </w:r>
      <w:r>
        <w:rPr>
          <w:rFonts w:ascii="Arial" w:cs="Arial" w:eastAsia="Arial" w:hAnsi="Arial"/>
          <w:sz w:val="17"/>
          <w:szCs w:val="17"/>
          <w:i w:val="1"/>
          <w:iCs w:val="1"/>
          <w:color w:val="auto"/>
        </w:rPr>
        <w:t>www.newtekone.com</w:t>
      </w:r>
      <w:r>
        <w:rPr>
          <w:rFonts w:ascii="Arial" w:cs="Arial" w:eastAsia="Arial" w:hAnsi="Arial"/>
          <w:sz w:val="17"/>
          <w:szCs w:val="17"/>
          <w:color w:val="auto"/>
        </w:rPr>
        <w:t xml:space="preserve"> (</w:t>
      </w:r>
      <w:r>
        <w:rPr>
          <w:rFonts w:ascii="Arial" w:cs="Arial" w:eastAsia="Arial" w:hAnsi="Arial"/>
          <w:sz w:val="17"/>
          <w:szCs w:val="17"/>
          <w:i w:val="1"/>
          <w:iCs w:val="1"/>
          <w:color w:val="auto"/>
        </w:rPr>
        <w:t>http://investor.newtekbusinessservices.com/corporate-governance.cfm</w:t>
      </w:r>
      <w:r>
        <w:rPr>
          <w:rFonts w:ascii="Arial" w:cs="Arial" w:eastAsia="Arial" w:hAnsi="Arial"/>
          <w:sz w:val="17"/>
          <w:szCs w:val="17"/>
          <w:color w:val="auto"/>
        </w:rPr>
        <w:t>).</w:t>
      </w:r>
    </w:p>
    <w:p>
      <w:pPr>
        <w:spacing w:after="0" w:line="11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Board of Directors has established an Audit Committee in accordance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Act. The Audit Committee consists of Messrs. Salute, Mulia and Zink, none of whom are “interested persons” as defined in the 1940 Act,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audit policies. In addition, the Board of Directors has determined that all members of the Audit Committee are “financially literate” as that term is defined by applicable Nasdaq and SEC rules.</w:t>
      </w:r>
    </w:p>
    <w:p>
      <w:pPr>
        <w:spacing w:after="0" w:line="113"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b w:val="1"/>
          <w:bCs w:val="1"/>
          <w:i w:val="1"/>
          <w:iCs w:val="1"/>
          <w:color w:val="auto"/>
        </w:rPr>
        <w:t xml:space="preserve">Compensation, Corporate Governance and Nominating Committee. </w:t>
      </w:r>
      <w:r>
        <w:rPr>
          <w:rFonts w:ascii="Arial" w:cs="Arial" w:eastAsia="Arial" w:hAnsi="Arial"/>
          <w:sz w:val="16"/>
          <w:szCs w:val="16"/>
          <w:color w:val="auto"/>
        </w:rPr>
        <w:t>The Board of Directors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 Compensation, Corporate Governance and Nominating Committee. The Company’s Compensation, Corporate Governance and Nominating Committee consists of Messrs. Mulia, Salute and Zink, none of whom are “interested persons” as defined in the 1940 Act, and operates pursuant to its written Charter. Mr. Mulia currently serves as Chair of the Compensation, Corporate Governance and Nominating Committee. The Compensation, Corporate Governance and Nominating Committee evaluates the compensation and benefits of the directors, officers and employees, recommends changes, and monitors and evaluates employee performance. The Compensation, Corporate Governance and Nominating Committee is generally responsible for identifying corporate governance issues, creating corporate governance policies, identifying and recommending potential candidates for election to the Board of Directors, review and approve conflict of interest or related party transactions and reviewing executive and director compensation and performance.</w:t>
      </w:r>
    </w:p>
    <w:p>
      <w:pPr>
        <w:spacing w:after="0" w:line="9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Compensation, Corporate Governance and Nominating Committee seeks candidates who possess the background, skills, and expertise to make a significant contribution to the Board of Directors, the Company, and its shareholders. In considering possible candidates for election as a director, the Compensation, Corporate Governance</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right="799"/>
        <w:spacing w:after="0" w:line="277" w:lineRule="auto"/>
        <w:rPr>
          <w:sz w:val="20"/>
          <w:szCs w:val="20"/>
          <w:color w:val="auto"/>
        </w:rPr>
      </w:pPr>
      <w:r>
        <w:rPr>
          <w:rFonts w:ascii="Arial" w:cs="Arial" w:eastAsia="Arial" w:hAnsi="Arial"/>
          <w:sz w:val="18"/>
          <w:szCs w:val="18"/>
          <w:color w:val="auto"/>
        </w:rPr>
        <w:t>and Nominating Committee will take into account, in addition to such other factors as it deems relevant, the desirability of selecting candidates who:</w:t>
      </w:r>
    </w:p>
    <w:p>
      <w:pPr>
        <w:spacing w:after="0" w:line="89" w:lineRule="exact"/>
        <w:rPr>
          <w:sz w:val="20"/>
          <w:szCs w:val="20"/>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of the highest character and integrity;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free of any conflict of interest;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willing and able to devote sufficient time to the affairs of the Company;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the capacity and desire to represent the best interests of the shareholders.</w:t>
      </w:r>
    </w:p>
    <w:p>
      <w:pPr>
        <w:spacing w:after="0" w:line="15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Compensation, Corporate Governance and Nominating Committee has not adopted a formal policy with regard to the consideration of diversity in identifying director nominees. In determining whether to recommend a director nominee, the Compensation, Corporate Governance and Nominating Committee considers and discusses diversity, among other factors, with a view toward the needs of the Board of Directors as a whole. The Compensation, Corporate Governance and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Compensation, Corporate Governance and Nominating Committee believes that the inclusion of diversity as one of many factors considered in selecting director nominees is consistent with the Compensation, Corporate Governance and Nominating Committee’s goal of creating a Board of Directors that best serves the needs of the Company and the interest of its shareholders.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 and Executive Sessions</w:t>
      </w:r>
    </w:p>
    <w:p>
      <w:pPr>
        <w:spacing w:after="0" w:line="162"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Nasdaq listing standards and Section 2(a)(19) of the 1940 Act require that a majority of the Board of Directors and every member of our Audit Committee and Compensation, Corporate Governance and Nominating Committee are “independent.” Our Board of Directors reviews the independence of its members annually.</w:t>
      </w:r>
    </w:p>
    <w:p>
      <w:pPr>
        <w:spacing w:after="0" w:line="106"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The Board of Directors has determined that Messrs. Mulia, Zink and Salute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10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Leadership Structure</w:t>
      </w:r>
    </w:p>
    <w:p>
      <w:pPr>
        <w:spacing w:after="0" w:line="162"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and is an “interested person” under Section</w:t>
      </w:r>
    </w:p>
    <w:p>
      <w:pPr>
        <w:spacing w:after="0" w:line="2" w:lineRule="exact"/>
        <w:rPr>
          <w:sz w:val="20"/>
          <w:szCs w:val="20"/>
          <w:color w:val="auto"/>
        </w:rPr>
      </w:pPr>
    </w:p>
    <w:p>
      <w:pPr>
        <w:ind w:left="460" w:right="479"/>
        <w:spacing w:after="0" w:line="290" w:lineRule="auto"/>
        <w:rPr>
          <w:sz w:val="20"/>
          <w:szCs w:val="20"/>
          <w:color w:val="auto"/>
        </w:rPr>
      </w:pPr>
      <w:r>
        <w:rPr>
          <w:rFonts w:ascii="Arial" w:cs="Arial" w:eastAsia="Arial" w:hAnsi="Arial"/>
          <w:sz w:val="16"/>
          <w:szCs w:val="16"/>
          <w:color w:val="auto"/>
        </w:rPr>
        <w:t>2(a)(19) of the 1940 Act. The Board of Directors continues to believe that our leadership structure is appropriate since Mr. Sloane has over 25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83"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116" w:lineRule="exact"/>
        <w:rPr>
          <w:sz w:val="20"/>
          <w:szCs w:val="20"/>
          <w:color w:val="auto"/>
        </w:rPr>
      </w:pPr>
    </w:p>
    <w:p>
      <w:pPr>
        <w:ind w:left="1300" w:hanging="41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of our five current directors are independent directors;</w:t>
      </w:r>
    </w:p>
    <w:p>
      <w:pPr>
        <w:spacing w:after="0" w:line="157"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 the members of our Audit Committee and Compensation, Corporate Governance and Nominating Committee are independent directors;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1320" w:right="579" w:hanging="434"/>
        <w:spacing w:after="0" w:line="263"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scheduled, and as needed, meetings in executive session, out of the presence of Messrs. Sloane and Downs and other members of management;</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meetings which specifically include Messrs. Sloane and Downs;</w:t>
      </w:r>
    </w:p>
    <w:p>
      <w:pPr>
        <w:spacing w:after="0" w:line="102" w:lineRule="exact"/>
        <w:rPr>
          <w:rFonts w:ascii="Arial" w:cs="Arial" w:eastAsia="Arial" w:hAnsi="Arial"/>
          <w:sz w:val="18"/>
          <w:szCs w:val="18"/>
          <w:color w:val="auto"/>
        </w:rPr>
      </w:pPr>
    </w:p>
    <w:p>
      <w:pPr>
        <w:ind w:left="1320" w:right="919" w:hanging="434"/>
        <w:spacing w:after="0" w:line="263"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116" w:lineRule="exact"/>
        <w:rPr>
          <w:rFonts w:ascii="Arial" w:cs="Arial" w:eastAsia="Arial" w:hAnsi="Arial"/>
          <w:sz w:val="18"/>
          <w:szCs w:val="18"/>
          <w:color w:val="auto"/>
        </w:rPr>
      </w:pPr>
    </w:p>
    <w:p>
      <w:pPr>
        <w:ind w:left="1320" w:right="1059" w:hanging="434"/>
        <w:spacing w:after="0" w:line="277" w:lineRule="auto"/>
        <w:tabs>
          <w:tab w:leader="none" w:pos="13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including the independent directors, and its committees interact with employees of the Company outside the ranks of senior management.</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not appointed a lead independent director.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Risk Oversight</w:t>
      </w:r>
    </w:p>
    <w:p>
      <w:pPr>
        <w:spacing w:after="0" w:line="162"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but is not limited to, the following risks:</w:t>
      </w:r>
    </w:p>
    <w:p>
      <w:pPr>
        <w:spacing w:after="0" w:line="119" w:lineRule="exact"/>
        <w:rPr>
          <w:sz w:val="20"/>
          <w:szCs w:val="20"/>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operational;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reputational.</w:t>
      </w:r>
    </w:p>
    <w:p>
      <w:pPr>
        <w:spacing w:after="0" w:line="144" w:lineRule="exact"/>
        <w:rPr>
          <w:sz w:val="20"/>
          <w:szCs w:val="20"/>
          <w:color w:val="auto"/>
        </w:rPr>
      </w:pPr>
    </w:p>
    <w:p>
      <w:pPr>
        <w:ind w:left="460" w:right="699" w:firstLine="432"/>
        <w:spacing w:after="0" w:line="342" w:lineRule="auto"/>
        <w:rPr>
          <w:sz w:val="20"/>
          <w:szCs w:val="20"/>
          <w:color w:val="auto"/>
        </w:rPr>
      </w:pPr>
      <w:r>
        <w:rPr>
          <w:rFonts w:ascii="Arial" w:cs="Arial" w:eastAsia="Arial" w:hAnsi="Arial"/>
          <w:sz w:val="16"/>
          <w:szCs w:val="16"/>
          <w:color w:val="auto"/>
        </w:rPr>
        <w:t>During each year, management and the Board of Directors jointly review major risks that the Company prioritizes in the following year. In 2019, the Board of Directors focused on the following areas of risk:</w:t>
      </w:r>
    </w:p>
    <w:p>
      <w:pPr>
        <w:spacing w:after="0" w:line="56"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Newtek’s long-term growth;</w:t>
      </w:r>
    </w:p>
    <w:p>
      <w:pPr>
        <w:spacing w:after="0" w:line="157"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and operational planning, including investments and the evaluation of the Company’s capital structure and long-term debt financing;</w:t>
      </w:r>
    </w:p>
    <w:p>
      <w:pPr>
        <w:spacing w:after="0" w:line="89" w:lineRule="exact"/>
        <w:rPr>
          <w:rFonts w:ascii="Arial" w:cs="Arial" w:eastAsia="Arial" w:hAnsi="Arial"/>
          <w:sz w:val="18"/>
          <w:szCs w:val="18"/>
          <w:color w:val="auto"/>
        </w:rPr>
      </w:pPr>
    </w:p>
    <w:p>
      <w:pPr>
        <w:ind w:left="1320" w:right="99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reviewing and approving management’s estimates of fair value of the Company’s investment portfolio;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Board of Directors has delegated responsibility for the oversight of specific risks to Board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committees. The Audit Committee oversees risks associated with:</w:t>
      </w:r>
    </w:p>
    <w:p>
      <w:pPr>
        <w:spacing w:after="0" w:line="130"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financial statements and financial reporting;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internal controls over financial reporting.</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Compensation, Governance and Nominating Committee considers the risks associated with:</w:t>
      </w:r>
    </w:p>
    <w:p>
      <w:pPr>
        <w:spacing w:after="0" w:line="169"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policies and practices;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resources, structure, succession planning and management development;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overall governance practices and the structure and leadership of the Board of Directors;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related person transactions and the code of conduct for all employees, officers and directors.</w:t>
      </w:r>
    </w:p>
    <w:p>
      <w:pPr>
        <w:spacing w:after="0" w:line="169" w:lineRule="exact"/>
        <w:rPr>
          <w:sz w:val="20"/>
          <w:szCs w:val="20"/>
          <w:color w:val="auto"/>
        </w:rPr>
      </w:pPr>
    </w:p>
    <w:p>
      <w:pPr>
        <w:ind w:left="460" w:right="839" w:firstLine="432"/>
        <w:spacing w:after="0" w:line="259" w:lineRule="auto"/>
        <w:rPr>
          <w:sz w:val="20"/>
          <w:szCs w:val="20"/>
          <w:color w:val="auto"/>
        </w:rPr>
      </w:pPr>
      <w:r>
        <w:rPr>
          <w:rFonts w:ascii="Arial" w:cs="Arial" w:eastAsia="Arial" w:hAnsi="Arial"/>
          <w:sz w:val="18"/>
          <w:szCs w:val="18"/>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right="519"/>
        <w:spacing w:after="0" w:line="263" w:lineRule="auto"/>
        <w:rPr>
          <w:sz w:val="20"/>
          <w:szCs w:val="20"/>
          <w:color w:val="auto"/>
        </w:rPr>
      </w:pPr>
      <w:r>
        <w:rPr>
          <w:rFonts w:ascii="Arial" w:cs="Arial" w:eastAsia="Arial" w:hAnsi="Arial"/>
          <w:sz w:val="18"/>
          <w:szCs w:val="18"/>
          <w:color w:val="auto"/>
        </w:rPr>
        <w:t>Chief Executive Officer and the senior management of the Company. Our senior management is responsible for assessing and managing risk exposure and the Board of Directors, and committees of the Board of Directors provide the oversight consistent with those efforts.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14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In considering whether to recommend any particular candidate for inclusion in the Board of Directors’ slate of recommended director nominees, the Compensation, Corporate Governance and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9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Shareholders may recommend individuals to the Compensation, Corporate Governance and Nominating Committee for consideration as potential director candidates by submitting their names, together with appropriate biographical information and background materials. The recommendation should be sent to the Compensation, Corporate Governance and Nominating Committee, c/o Michael A. Schwartz, Corporate Secretary, Newtek Business Services Corp., 1981 Marcus Avenue, Suite 130, Lake Success, New York 11042.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114"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Shareholders also have the right under our Bylaws to nominate director candidates, without any action or recommendation on the part of the Compensation, Corporate Governance and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 xml:space="preserve">We have adopted, and will maintain, a Code of Ethics that establishes procedures for personal investments and restricts certain personal securities transactions. Personnel subject to the Code of Ethics may invest in securities for their personal investment accounts, including securities that may be purchased or held by us, so long as such investments are made in accordance with the Code’s requirements. Our Code of Ethics generally will not permit investments by our employees in securities that may be purchased or held by us. We may be prohibited under the 1940 Act from conducting certain transactions with our affiliates without the prior approval of our directors who are not interested persons and, in some cases, the prior approval of the SEC. Our current Code of Ethics is posted on the Investor Relations section of our website at </w:t>
      </w:r>
      <w:r>
        <w:rPr>
          <w:rFonts w:ascii="Arial" w:cs="Arial" w:eastAsia="Arial" w:hAnsi="Arial"/>
          <w:sz w:val="17"/>
          <w:szCs w:val="17"/>
          <w:i w:val="1"/>
          <w:iCs w:val="1"/>
          <w:color w:val="auto"/>
        </w:rPr>
        <w:t>http://investor.newtekbusinessservices.com</w:t>
      </w:r>
      <w:r>
        <w:rPr>
          <w:rFonts w:ascii="Arial" w:cs="Arial" w:eastAsia="Arial" w:hAnsi="Arial"/>
          <w:sz w:val="17"/>
          <w:szCs w:val="17"/>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have written procedures in place for the review, approval and monitoring of transactions involving the Company and certain persons related to the Company. As a business development company (“BDC”), the Company is prohibited under the 1940 Act from participating in certain transactions with certain of its affiliates without meeting certain requirements, such as the prior approval of the independent directors and, in some cases, the SEC. The affiliates with which the Company may be prohibited from transacting include its officers, directors and employees and any person who owns 5% or more of our outstanding voting securities or controlling or under common control with the Company.</w:t>
      </w:r>
    </w:p>
    <w:p>
      <w:pPr>
        <w:spacing w:after="0" w:line="11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Board of Directors reviews all potential related party transactions on an ongoing basis, and all such transactions must be approved by the Board of Directors. The Board of Directors reviews such transactions on a case-by-case basis. In addition, the Compensation, Corporate Governance and Nominating Committee or the Board of Directors reviews and approves all compensation-related policies involving our directors and executive officers.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right="639"/>
        <w:spacing w:after="0" w:line="286" w:lineRule="auto"/>
        <w:rPr>
          <w:sz w:val="20"/>
          <w:szCs w:val="20"/>
          <w:color w:val="auto"/>
        </w:rPr>
      </w:pPr>
      <w:r>
        <w:rPr>
          <w:rFonts w:ascii="Arial" w:cs="Arial" w:eastAsia="Arial" w:hAnsi="Arial"/>
          <w:sz w:val="17"/>
          <w:szCs w:val="17"/>
          <w:color w:val="auto"/>
        </w:rPr>
        <w:t>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84" w:lineRule="exact"/>
        <w:rPr>
          <w:sz w:val="20"/>
          <w:szCs w:val="20"/>
          <w:color w:val="auto"/>
        </w:rPr>
      </w:pPr>
    </w:p>
    <w:p>
      <w:pPr>
        <w:jc w:val="both"/>
        <w:ind w:left="460" w:right="599" w:firstLine="432"/>
        <w:spacing w:after="0" w:line="279" w:lineRule="auto"/>
        <w:rPr>
          <w:sz w:val="20"/>
          <w:szCs w:val="20"/>
          <w:color w:val="auto"/>
        </w:rPr>
      </w:pPr>
      <w:r>
        <w:rPr>
          <w:rFonts w:ascii="Arial" w:cs="Arial" w:eastAsia="Arial" w:hAnsi="Arial"/>
          <w:sz w:val="17"/>
          <w:szCs w:val="17"/>
          <w:color w:val="auto"/>
        </w:rPr>
        <w:t>Mr. Sloane’s nephew Kyle Sloane is employed by one of the Company’s controlled portfolio companies. Kyle Sloane earned in excess of $120,000 for the year ended December 31, 2019. Mr. Sloane’s brother Warren Sloane, who was employed by one of the Company’s controlled portfolio companies during 2019 and prior, is no longer employed by the Company’s controlled portfolio company.</w:t>
      </w:r>
    </w:p>
    <w:p>
      <w:pPr>
        <w:spacing w:after="0" w:line="10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During a portion of 2019, Mr. Sloane was a director with AK Capital LLC, a securities brokerage company. Pursuant to an agreement with AK Capital, AK Capital provided consulting and advisory services to the Company in connection with the sale and/or securitization of participations in SBA guaranteed and unguaranteed SBA 7(a) loans (the “AK Capital Agreement”). The AK Capital Agreement, which was not renewed upon expiration in September 2019, provided for the payment of an annual fee of $10,000, paid monthly over the one-year period of the AK Capital Agreement. During the year ended December 31, 2019, the Company incurred $9,000 in fees from AK Capital pursuant to the AK Capital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Board of Directors has adopted a plan for compensation of non-employee directors which gives effect to the time and effort required of each of them in the performance of their duties. For 2019, the Board of Directors provided for the payment of annual compensation in the amount of $125,000 for each non-employee director, with no additional fees for committee membership or chairmanship. In addition, pursuant to the terms of the Company’s Amended and Restated 2014 Stock Incentive Plan, non-employee directors may be granted up to 2,000 shares of Company Restricted Stock at the beginning of each one-year term of service on the Board, with one-third of such shares of Restricted Stock vesting on each of the next three anniversaries of the date of grant. In June 2019, the non-employee directors were each granted 1,332 shares of Company Restricted Stock at the beginning of their 2019 terms of service on the Board, with one-third of such shares of Restricted Stock vesting on each of the next three anniversaries of the date of grant.</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Directors do not receive any perquisites or other personal benefits from the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Summary Compensation Table</w:t>
      </w:r>
    </w:p>
    <w:p>
      <w:pPr>
        <w:spacing w:after="0" w:line="162"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The following table discloses the cash, equity awards and other compensation earned, paid or awarded, as the case may be, to each of our current directors during the fiscal years ended December 31, 2019.</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2"/>
              </w:rPr>
              <w:t>Fees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earned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or Paid</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Stock</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Option</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All Other</w:t>
            </w:r>
          </w:p>
        </w:tc>
        <w:tc>
          <w:tcPr>
            <w:tcW w:w="9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in Cash</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Awards</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Awards</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Compensation</w:t>
            </w: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Total</w:t>
            </w:r>
          </w:p>
        </w:tc>
      </w:tr>
      <w:tr>
        <w:trPr>
          <w:trHeight w:val="253"/>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Director</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(2)</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w:t>
            </w:r>
          </w:p>
        </w:tc>
      </w:tr>
      <w:tr>
        <w:trPr>
          <w:trHeight w:val="261"/>
        </w:trPr>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independent directors:</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Salvatore F. Mulia</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155,000</w:t>
            </w:r>
          </w:p>
        </w:tc>
      </w:tr>
      <w:tr>
        <w:trPr>
          <w:trHeight w:val="40"/>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Richard Salute</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r>
      <w:tr>
        <w:trPr>
          <w:trHeight w:val="243"/>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Gregory Zink</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155,000</w:t>
            </w:r>
          </w:p>
        </w:tc>
      </w:tr>
      <w:tr>
        <w:trPr>
          <w:trHeight w:val="40"/>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385"/>
        </w:trPr>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Barry Sloane</w:t>
            </w:r>
            <w:r>
              <w:rPr>
                <w:rFonts w:ascii="Arial" w:cs="Arial" w:eastAsia="Arial" w:hAnsi="Arial"/>
                <w:sz w:val="20"/>
                <w:szCs w:val="20"/>
                <w:color w:val="auto"/>
                <w:vertAlign w:val="superscript"/>
              </w:rPr>
              <w:t>(1)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Peter Downs</w:t>
            </w:r>
            <w:r>
              <w:rPr>
                <w:rFonts w:ascii="Arial" w:cs="Arial" w:eastAsia="Arial" w:hAnsi="Arial"/>
                <w:sz w:val="20"/>
                <w:szCs w:val="20"/>
                <w:color w:val="auto"/>
                <w:vertAlign w:val="superscript"/>
              </w:rPr>
              <w:t>(1)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2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85" w:lineRule="exact"/>
        <w:rPr>
          <w:sz w:val="20"/>
          <w:szCs w:val="20"/>
          <w:color w:val="auto"/>
        </w:rPr>
      </w:pPr>
    </w:p>
    <w:p>
      <w:pPr>
        <w:ind w:left="880" w:right="499" w:hanging="426"/>
        <w:spacing w:after="0" w:line="265" w:lineRule="auto"/>
        <w:tabs>
          <w:tab w:leader="none" w:pos="871"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employee directors, Messrs. Sloane and Downs do not receive any compensation for their service as directors. The compensation Messrs. Sloane and Downs receive from the Company as employees is disclosed in the Summary Compensation Table and elsewhere under “EXECUTIVE COMPENSATION.”</w:t>
      </w:r>
    </w:p>
    <w:p>
      <w:pPr>
        <w:spacing w:after="0" w:line="1" w:lineRule="exact"/>
        <w:rPr>
          <w:rFonts w:ascii="Arial" w:cs="Arial" w:eastAsia="Arial" w:hAnsi="Arial"/>
          <w:sz w:val="16"/>
          <w:szCs w:val="16"/>
          <w:color w:val="auto"/>
        </w:rPr>
      </w:pPr>
    </w:p>
    <w:p>
      <w:pPr>
        <w:jc w:val="both"/>
        <w:ind w:left="880" w:right="699" w:hanging="426"/>
        <w:spacing w:after="0" w:line="276"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June 14, 2019, the non-employee directors were each granted 1,332 shares of Company Restricted Stock at the beginning of their 2019 terms of service on the Board, with one-third of such shares of Restricted Stock vesting on each of the next three anniversaries of the date of grant.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b w:val="1"/>
          <w:bCs w:val="1"/>
          <w:color w:val="auto"/>
        </w:rPr>
        <w:t>Chief Executive Officer Pay Ratio</w:t>
      </w:r>
    </w:p>
    <w:p>
      <w:pPr>
        <w:spacing w:after="0" w:line="162"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spacing w:after="0" w:line="10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For fiscal year 2019, the median of the annual total compensation of all of our employees (other than Mr. Sloane, our Chief Executive Officer) was $82,767 and the annual total compensation of our Chief Executive Officer, as reported in the Summary Compensation Table, was $1,400,000. Based on this information, our Chief Executive Officer’s 2019 annual total compensation was approximately 16.92 times that of the median of the 2019 annual total compensation of all of our employees.</w:t>
      </w:r>
    </w:p>
    <w:p>
      <w:pPr>
        <w:spacing w:after="0" w:line="120"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We selected December 31, 2019 as the date used to identify our “median employee” whose annual total compensation was the median of the annual total compensation of all our employees (other than our Chief Executive Officer) for 2019. As of December 31, 2019, our employee population consisted of 117 individuals, who are located in our Lake Success, New York, Irvine, California, Boca Raton, Florida, and Orlando, Florida offices. To identify our median employee, we compared the annual total compensation for each of our employees, as determined in accordance with the requirements of Item 402(c)(2)(x) of Regulation S-K, which included salary and bonus. In making this determination, we annualized the compensation of 30 employees who were hired in 2019 but did not work for us the entire fiscal year.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Named Executive Officers</w:t>
      </w:r>
    </w:p>
    <w:p>
      <w:pPr>
        <w:spacing w:after="0" w:line="162"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This compensation discussion and analysis (“CD&amp;A”) provides 2019 compensation information for the following Named Executive Officers (“NEOs”). References to “2019 NEOs” in this CD&amp;A are references to Messrs. Sloane, Downs, Schwartz and Towers.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5700" w:type="dxa"/>
            <w:vAlign w:val="bottom"/>
          </w:tcPr>
          <w:p>
            <w:pPr>
              <w:ind w:left="2560"/>
              <w:spacing w:after="0"/>
              <w:rPr>
                <w:sz w:val="20"/>
                <w:szCs w:val="20"/>
                <w:color w:val="auto"/>
              </w:rPr>
            </w:pPr>
            <w:r>
              <w:rPr>
                <w:rFonts w:ascii="Arial" w:cs="Arial" w:eastAsia="Arial" w:hAnsi="Arial"/>
                <w:sz w:val="16"/>
                <w:szCs w:val="16"/>
                <w:b w:val="1"/>
                <w:bCs w:val="1"/>
                <w:color w:val="auto"/>
              </w:rPr>
              <w:t>Position</w:t>
            </w:r>
          </w:p>
        </w:tc>
      </w:tr>
      <w:tr>
        <w:trPr>
          <w:trHeight w:val="46"/>
        </w:trPr>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r>
        <w:trPr>
          <w:trHeight w:val="257"/>
        </w:trPr>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2019 NEOs:</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r>
      <w:tr>
        <w:trPr>
          <w:trHeight w:val="243"/>
        </w:trPr>
        <w:tc>
          <w:tcPr>
            <w:tcW w:w="176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41"/>
        </w:trPr>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700" w:type="dxa"/>
            <w:vAlign w:val="bottom"/>
          </w:tcPr>
          <w:p>
            <w:pPr>
              <w:spacing w:after="0"/>
              <w:rPr>
                <w:sz w:val="3"/>
                <w:szCs w:val="3"/>
                <w:color w:val="auto"/>
              </w:rPr>
            </w:pPr>
          </w:p>
        </w:tc>
      </w:tr>
      <w:tr>
        <w:trPr>
          <w:trHeight w:val="283"/>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20"/>
                <w:szCs w:val="20"/>
                <w:color w:val="auto"/>
                <w:vertAlign w:val="superscript"/>
              </w:rPr>
              <w:t>(1)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Chief Accounting Officer</w:t>
            </w:r>
          </w:p>
        </w:tc>
      </w:tr>
      <w:tr>
        <w:trPr>
          <w:trHeight w:val="243"/>
        </w:trPr>
        <w:tc>
          <w:tcPr>
            <w:tcW w:w="1760" w:type="dxa"/>
            <w:vAlign w:val="bottom"/>
            <w:gridSpan w:val="2"/>
          </w:tcPr>
          <w:p>
            <w:pPr>
              <w:spacing w:after="0"/>
              <w:rPr>
                <w:sz w:val="20"/>
                <w:szCs w:val="20"/>
                <w:color w:val="auto"/>
              </w:rPr>
            </w:pPr>
            <w:r>
              <w:rPr>
                <w:rFonts w:ascii="Arial" w:cs="Arial" w:eastAsia="Arial" w:hAnsi="Arial"/>
                <w:sz w:val="18"/>
                <w:szCs w:val="18"/>
                <w:color w:val="auto"/>
              </w:rPr>
              <w:t>Peter Downs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Lending Officer; President Newtek Small Business Finance, LLC</w:t>
            </w:r>
          </w:p>
        </w:tc>
      </w:tr>
      <w:tr>
        <w:trPr>
          <w:trHeight w:val="40"/>
        </w:trPr>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700" w:type="dxa"/>
            <w:vAlign w:val="bottom"/>
          </w:tcPr>
          <w:p>
            <w:pPr>
              <w:spacing w:after="0"/>
              <w:rPr>
                <w:sz w:val="3"/>
                <w:szCs w:val="3"/>
                <w:color w:val="auto"/>
              </w:rPr>
            </w:pPr>
          </w:p>
        </w:tc>
      </w:tr>
      <w:tr>
        <w:trPr>
          <w:trHeight w:val="263"/>
        </w:trPr>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A. Schwartz</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Legal Officer, Chief Compliance Officer and Corporate Secretary</w:t>
            </w:r>
          </w:p>
        </w:tc>
      </w:tr>
      <w:tr>
        <w:trPr>
          <w:trHeight w:val="284"/>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63"/>
        </w:trPr>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Former NEO:</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r>
      <w:tr>
        <w:trPr>
          <w:trHeight w:val="291"/>
        </w:trPr>
        <w:tc>
          <w:tcPr>
            <w:tcW w:w="1760" w:type="dxa"/>
            <w:vAlign w:val="bottom"/>
            <w:gridSpan w:val="2"/>
          </w:tcPr>
          <w:p>
            <w:pPr>
              <w:spacing w:after="0"/>
              <w:rPr>
                <w:sz w:val="20"/>
                <w:szCs w:val="20"/>
                <w:color w:val="auto"/>
              </w:rPr>
            </w:pPr>
            <w:r>
              <w:rPr>
                <w:rFonts w:ascii="Arial" w:cs="Arial" w:eastAsia="Arial" w:hAnsi="Arial"/>
                <w:sz w:val="18"/>
                <w:szCs w:val="18"/>
                <w:color w:val="auto"/>
              </w:rPr>
              <w:t>Jennifer Eddelson</w:t>
            </w:r>
            <w:r>
              <w:rPr>
                <w:rFonts w:ascii="Arial" w:cs="Arial" w:eastAsia="Arial" w:hAnsi="Arial"/>
                <w:sz w:val="20"/>
                <w:szCs w:val="20"/>
                <w:color w:val="auto"/>
                <w:vertAlign w:val="superscript"/>
              </w:rPr>
              <w:t>(2)</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999" w:hanging="426"/>
        <w:spacing w:after="0" w:line="266" w:lineRule="auto"/>
        <w:tabs>
          <w:tab w:leader="none" w:pos="8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Board of Directors appointed Christopher Towers to the position of Chief Accounting Officer effective May 3, 2019.</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Eddelson resigned from the Company effective May 3, 2019.</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about NEOs Who Are Not Directors</w:t>
      </w:r>
    </w:p>
    <w:p>
      <w:pPr>
        <w:spacing w:after="0" w:line="15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b w:val="1"/>
          <w:bCs w:val="1"/>
          <w:color w:val="auto"/>
        </w:rPr>
        <w:t xml:space="preserve">Christopher Towers </w:t>
      </w:r>
      <w:r>
        <w:rPr>
          <w:rFonts w:ascii="Arial" w:cs="Arial" w:eastAsia="Arial" w:hAnsi="Arial"/>
          <w:sz w:val="17"/>
          <w:szCs w:val="17"/>
          <w:color w:val="auto"/>
        </w:rPr>
        <w:t>has served as Chief Accounting Officer since May 3, 2019. Mr. Towers has served</w:t>
      </w:r>
      <w:r>
        <w:rPr>
          <w:rFonts w:ascii="Arial" w:cs="Arial" w:eastAsia="Arial" w:hAnsi="Arial"/>
          <w:sz w:val="17"/>
          <w:szCs w:val="17"/>
          <w:b w:val="1"/>
          <w:bCs w:val="1"/>
          <w:color w:val="auto"/>
        </w:rPr>
        <w:t xml:space="preserve"> </w:t>
      </w:r>
      <w:r>
        <w:rPr>
          <w:rFonts w:ascii="Arial" w:cs="Arial" w:eastAsia="Arial" w:hAnsi="Arial"/>
          <w:sz w:val="17"/>
          <w:szCs w:val="17"/>
          <w:color w:val="auto"/>
        </w:rPr>
        <w:t>as Vice President of Financial Reporting of the Company since September 2014, with principal responsibility for financial reporting and the development and implementation of the Company’s accounting policies and practices. Mr. Towers is a New York State certified public accountant and previously worked in the corporate reporting group of Pall Corporation from January 2014 to September 2014 and practiced as a CPA for six years with PwC from April 2012 to January 2014 and CohnReznick, LLP (formerly J.H. Cohn, LLP) from October 2008 to March 2012, primarily in the audit of public and private entities. Mr. Towers is a member of the NYS Society of CPAs and the AICPA.</w:t>
      </w:r>
    </w:p>
    <w:p>
      <w:pPr>
        <w:spacing w:after="0" w:line="104" w:lineRule="exact"/>
        <w:rPr>
          <w:sz w:val="20"/>
          <w:szCs w:val="20"/>
          <w:color w:val="auto"/>
        </w:rPr>
      </w:pPr>
    </w:p>
    <w:p>
      <w:pPr>
        <w:ind w:left="460" w:right="499" w:firstLine="432"/>
        <w:spacing w:after="0" w:line="294" w:lineRule="auto"/>
        <w:rPr>
          <w:sz w:val="20"/>
          <w:szCs w:val="20"/>
          <w:color w:val="auto"/>
        </w:rPr>
      </w:pPr>
      <w:r>
        <w:rPr>
          <w:rFonts w:ascii="Arial" w:cs="Arial" w:eastAsia="Arial" w:hAnsi="Arial"/>
          <w:sz w:val="16"/>
          <w:szCs w:val="16"/>
          <w:b w:val="1"/>
          <w:bCs w:val="1"/>
          <w:color w:val="auto"/>
        </w:rPr>
        <w:t xml:space="preserve">Michael A. Schwartz </w:t>
      </w:r>
      <w:r>
        <w:rPr>
          <w:rFonts w:ascii="Arial" w:cs="Arial" w:eastAsia="Arial" w:hAnsi="Arial"/>
          <w:sz w:val="16"/>
          <w:szCs w:val="16"/>
          <w:color w:val="auto"/>
        </w:rPr>
        <w:t>has served as Chief Legal Officer and Corporate Secretary since January 2015. In</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2015, Mr. Schwartz was appointed the Company’s Chief Compliance Officer. Previously, Mr. Schwartz was Senior Counsel to the Company beginning in November 2013.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Arial" w:cs="Arial" w:eastAsia="Arial" w:hAnsi="Arial"/>
          <w:sz w:val="16"/>
          <w:szCs w:val="16"/>
          <w:b w:val="1"/>
          <w:bCs w:val="1"/>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Former NEO</w:t>
      </w:r>
    </w:p>
    <w:p>
      <w:pPr>
        <w:spacing w:after="0" w:line="144"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Ms. Eddelson served as the Company’s Chief Accounting Officer from July 1, 2011 until her resignation, which was effective May 3, 2019.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4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10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believe that the compensation of our executives should reflect their success as a management team, rather than just as individuals, in attaining key operating objectives, such as growth of investment income, growth of net asset value and growth or maintenance of dividends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stock options and restricted stock awards.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Committee. Decisions regarding the non-equity compensation of NEOs are made by the Chief Executive Officer and the Committee for consistency with the Company’s compensation policies.</w:t>
      </w:r>
    </w:p>
    <w:p>
      <w:pPr>
        <w:spacing w:after="0" w:line="11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Chief Executive Officer semi-annually reviews the performance of each member of the senior executive team, including NEOs (other than himself whose performance is reviewed by the Committee). The conclusions reached and recommendations based on these reviews, including with respect to salary adjustments and annual award amounts, are then presented to the Committee by the Chief Executive Officer. The Committee will review and approve the recommendations for consistency with the Company’s compensation policies.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Setting Executive Compensation</w:t>
      </w:r>
    </w:p>
    <w:p>
      <w:pPr>
        <w:spacing w:after="0" w:line="16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Committee for conformity with the Company’s overall compensation policies. The NEOs are not present at the time of these deliberations. The Committee then performs a similar review of the Chief Executive Officer’s total compensation and makes compensation decisions with respect to such officer, who does not participate in that determination.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 w:name="page23"/>
    <w:bookmarkEnd w:id="22"/>
    <w:p>
      <w:pPr>
        <w:jc w:val="both"/>
        <w:ind w:left="460" w:right="779" w:firstLine="432"/>
        <w:spacing w:after="0" w:line="279" w:lineRule="auto"/>
        <w:rPr>
          <w:sz w:val="20"/>
          <w:szCs w:val="20"/>
          <w:color w:val="auto"/>
        </w:rPr>
      </w:pPr>
      <w:r>
        <w:rPr>
          <w:rFonts w:ascii="Arial" w:cs="Arial" w:eastAsia="Arial" w:hAnsi="Arial"/>
          <w:sz w:val="17"/>
          <w:szCs w:val="17"/>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uses the following factors to determine the amount of salary and other benefits to pay each NEO:</w:t>
      </w:r>
    </w:p>
    <w:p>
      <w:pPr>
        <w:spacing w:after="0" w:line="90"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achievement of income to sustain and grow the Company’s dividend payments;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attainment of risk-adjusted returns on the Company’s investment portfolio;</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against competitors for the year;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achieving desired results in the coming year;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long-term performance;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contribution and growth as a member of the executive management team;</w:t>
      </w:r>
    </w:p>
    <w:p>
      <w:pPr>
        <w:spacing w:after="0" w:line="144" w:lineRule="exact"/>
        <w:rPr>
          <w:rFonts w:ascii="Arial" w:cs="Arial" w:eastAsia="Arial" w:hAnsi="Arial"/>
          <w:sz w:val="18"/>
          <w:szCs w:val="18"/>
          <w:color w:val="auto"/>
        </w:rPr>
      </w:pPr>
    </w:p>
    <w:p>
      <w:pPr>
        <w:ind w:left="1320" w:right="83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development and growth of individual executives, the management team and other employees;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do not establish individual goals but focus on the overall profitable growth of our business.</w:t>
      </w:r>
    </w:p>
    <w:p>
      <w:pPr>
        <w:spacing w:after="0" w:line="144"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Based on the foregoing objectives, we have structured the Company’s annual and long-term incentive-based cash and non- cash executive compensation to motivate executives to achieve the business goals set by the Company.</w:t>
      </w:r>
    </w:p>
    <w:p>
      <w:pPr>
        <w:spacing w:after="0" w:line="116" w:lineRule="exact"/>
        <w:rPr>
          <w:sz w:val="20"/>
          <w:szCs w:val="20"/>
          <w:color w:val="auto"/>
        </w:rPr>
      </w:pPr>
    </w:p>
    <w:p>
      <w:pPr>
        <w:ind w:left="460" w:right="459" w:firstLine="432"/>
        <w:spacing w:after="0" w:line="263" w:lineRule="auto"/>
        <w:rPr>
          <w:sz w:val="20"/>
          <w:szCs w:val="20"/>
          <w:color w:val="auto"/>
        </w:rPr>
      </w:pPr>
      <w:r>
        <w:rPr>
          <w:rFonts w:ascii="Arial" w:cs="Arial" w:eastAsia="Arial" w:hAnsi="Arial"/>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116"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For the year ended December 31, 2019, the principal components of compensation for named executive officers were:</w:t>
      </w:r>
    </w:p>
    <w:p>
      <w:pPr>
        <w:spacing w:after="0" w:line="89"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1320" w:right="135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performance-based incentive compensation based on the Company’s and the executive’s performance;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retirement and other benefits made available to all employees.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the review of base salaries for senior level executives, including the NEOs, we primarily consider:</w:t>
      </w:r>
    </w:p>
    <w:p>
      <w:pPr>
        <w:spacing w:after="0" w:line="167" w:lineRule="exact"/>
        <w:rPr>
          <w:sz w:val="20"/>
          <w:szCs w:val="20"/>
          <w:color w:val="auto"/>
        </w:rPr>
      </w:pPr>
    </w:p>
    <w:p>
      <w:pPr>
        <w:ind w:left="1320" w:right="11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internal review of each executive’s compensation both individually and relative to other executive officers;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performance of the executive; and</w:t>
      </w:r>
    </w:p>
    <w:p>
      <w:pPr>
        <w:spacing w:after="0" w:line="157"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review of the Company’s dividend growth and adjusted net investment income relative to the Company’s annual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right="479" w:firstLine="432"/>
        <w:spacing w:after="0" w:line="296" w:lineRule="auto"/>
        <w:rPr>
          <w:sz w:val="20"/>
          <w:szCs w:val="20"/>
          <w:color w:val="auto"/>
        </w:rPr>
      </w:pPr>
      <w:r>
        <w:rPr>
          <w:rFonts w:ascii="Arial" w:cs="Arial" w:eastAsia="Arial" w:hAnsi="Arial"/>
          <w:sz w:val="16"/>
          <w:szCs w:val="16"/>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Committee and those for the Chief Executive Officer are determined by the Committee.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Bonus</w:t>
      </w:r>
    </w:p>
    <w:p>
      <w:pPr>
        <w:spacing w:after="0" w:line="14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Committee. The Committee determines any bonus for the Chief Executive Officer based on, among other things, a review of the Company’s investment income, net asset value and dividend payments relative to the Company’s annual plans as established by the Board of Directors. The Chief Executive Officer in consultation with the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Equity-Based Compensation</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private equity funds,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will be determined by the Compensation, Corporate Governance and Nominating Committee and set forth in an award agreement between the Company and the executive or employee. The Company has not issued options under the 2014 Plan.</w:t>
      </w:r>
    </w:p>
    <w:p>
      <w:pPr>
        <w:spacing w:after="0" w:line="10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On April 27, 2015, the Compensation, Corporate Governance and Nominating Committee and the Board of Directors approved the Amended and Restated 2014 Stock Incentive Plan (the “2015 Stock Plan”), subject to exemptive relief from the SEC and shareholder approval, in order to have increased flexibility to use restricted Common Shares, in addition to stock 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w:t>
      </w:r>
    </w:p>
    <w:p>
      <w:pPr>
        <w:spacing w:after="0" w:line="85"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2015 Stock Plan permits us to issue awards of stock options and restricted Common Shares in an aggregate amount of up to 20% of our issued and outstanding Common Shares (the “Plan Maximum Shares”) as of the effective date of the plan. Under the 2015 Stock Plan, all of the Plan Maximum Shares are available for grants of stock options, and half of the Plan Maximum Shares (up to 10% of our issued and outstanding Common Shares as of the effective date of the 2015 Stock Plan) is available for grants of restricted Common Shares. The Compensation, Corporate Governance and Nominating Committee believes that restricted Common Shares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If in the future we successfully grow our assets under management and our net asset value, we may choose to increase the number of employees of the Company. The Compensation, Corporate Governance and Nominating Committee may or may not choose to consider the use of stock options for incentive compensation of these employees.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right="479" w:firstLine="432"/>
        <w:spacing w:after="0" w:line="296" w:lineRule="auto"/>
        <w:rPr>
          <w:sz w:val="20"/>
          <w:szCs w:val="20"/>
          <w:color w:val="auto"/>
        </w:rPr>
      </w:pPr>
      <w:r>
        <w:rPr>
          <w:rFonts w:ascii="Arial" w:cs="Arial" w:eastAsia="Arial" w:hAnsi="Arial"/>
          <w:sz w:val="16"/>
          <w:szCs w:val="16"/>
          <w:color w:val="auto"/>
        </w:rPr>
        <w:t>The Company’s Board of Directors and its Compensation, Corporate Governance and Nominating Committee, which consists entirely of directors who are not employees of the Company, believe that in light of the Company’s plan for growth, stock-based incentive compensation, particularly the award of restricted Common Shares, advances the interests of the Company by providing substantial motivation for superior performance and more fully aligning the interests of officers and directors with the interests of our shareholders.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Benefits and Perquisites</w:t>
      </w:r>
    </w:p>
    <w:p>
      <w:pPr>
        <w:spacing w:after="0" w:line="148" w:lineRule="exact"/>
        <w:rPr>
          <w:sz w:val="20"/>
          <w:szCs w:val="20"/>
          <w:color w:val="auto"/>
        </w:rPr>
      </w:pPr>
    </w:p>
    <w:p>
      <w:pPr>
        <w:ind w:left="460" w:right="699" w:firstLine="432"/>
        <w:spacing w:after="0" w:line="270" w:lineRule="auto"/>
        <w:rPr>
          <w:sz w:val="20"/>
          <w:szCs w:val="20"/>
          <w:color w:val="auto"/>
        </w:rPr>
      </w:pPr>
      <w:r>
        <w:rPr>
          <w:rFonts w:ascii="Arial" w:cs="Arial" w:eastAsia="Arial" w:hAnsi="Arial"/>
          <w:sz w:val="17"/>
          <w:szCs w:val="17"/>
          <w:color w:val="auto"/>
        </w:rPr>
        <w:t>Our NEOs are generally not entitled to benefits that are not available to all of our employees. In this regard, it should be noted that we do not provide pension arrangements, post-retirement health coverage or similar benefits for our executives or employees. The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which consists of a discretionary match of 50% of the first 2% of employee contributions up to a maximum of 1% of the employee’s compensation (subject to the Internal Revenue Code annual limitation). For 2019, a match of approximately $116,173 in cash was approved and will be paid in May 2020.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$700,000 for 2019 and 2018. Mr. Sloane earned a $700,000 bonus in 2019 that was paid in 2020, and a $600,000 bonus for 2018 that was paid in 2019.</w:t>
      </w:r>
    </w:p>
    <w:p>
      <w:pPr>
        <w:spacing w:after="0" w:line="109"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Mr. Sloane received an award of 58,480 restricted Common Shares in February 2018 with a three-year vesting period and did not receive an award of restricted Common Shares in 2019. The Committee has determined that this salary and bonus package is competitive with the labor market median for someone with Mr. Sloane’s skills and talents and is reflective of the Company’s current cash and financial position and the status of the Company’s Common Shares.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the Other NEOs</w:t>
      </w:r>
    </w:p>
    <w:p>
      <w:pPr>
        <w:spacing w:after="0" w:line="14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Committee approved the 2019 compensation for Jennifer Eddelson, Peter Downs, Michael Schwartz and Christopher Towers, as recommended to it by the Chief Executive Officer.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2019 NEOs</w:t>
      </w:r>
    </w:p>
    <w:p>
      <w:pPr>
        <w:spacing w:after="0" w:line="158"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Mr. Down’s base salary was $500,000 in 2019 and $450,000 in 2018. Mr. Downs received a $125,000 cash bonus in 2019 (paid in 2020) and a $250,000 cash bonus in 2018 (paid in 2019). Mr. Downs received an award of 1,446 restricted Common Shares in April 2019 with a one year vesting period and an award of 13,158 restricted Common Shares in February 2018 with a three-year vesting period.</w:t>
      </w:r>
    </w:p>
    <w:p>
      <w:pPr>
        <w:spacing w:after="0" w:line="104"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Mr. Schwartz’s base salary was $335,000 in 2019 and 2018. Mr. Schwartz received a $200,000 cash bonus in 2019 (paid in 2020) and a $175,000 cash bonus in 2018 (paid in 2019). Mr. Schwartz received an award of 1,446 restricted Common Shares in April 2019 with a one year vesting period and an award of 8,772 restricted Common Shares in February 2018 with a three-year vesting period.</w:t>
      </w:r>
    </w:p>
    <w:p>
      <w:pPr>
        <w:spacing w:after="0" w:line="9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Mr. Towers’ base salary was $240,000 in 2019. Mr. Towers received a $75,000 cash bonus in 2019 (paid in 2020). Mr. Towers received an award of 1,446 restricted Common Shares in April 2019 with a one year vesting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Former NEOs</w:t>
      </w:r>
    </w:p>
    <w:p>
      <w:pPr>
        <w:spacing w:after="0" w:line="158" w:lineRule="exact"/>
        <w:rPr>
          <w:sz w:val="20"/>
          <w:szCs w:val="20"/>
          <w:color w:val="auto"/>
        </w:rPr>
      </w:pPr>
    </w:p>
    <w:p>
      <w:pPr>
        <w:ind w:left="460" w:right="899" w:firstLine="432"/>
        <w:spacing w:after="0" w:line="311" w:lineRule="auto"/>
        <w:rPr>
          <w:sz w:val="20"/>
          <w:szCs w:val="20"/>
          <w:color w:val="auto"/>
        </w:rPr>
      </w:pPr>
      <w:r>
        <w:rPr>
          <w:rFonts w:ascii="Arial" w:cs="Arial" w:eastAsia="Arial" w:hAnsi="Arial"/>
          <w:sz w:val="16"/>
          <w:szCs w:val="16"/>
          <w:color w:val="auto"/>
        </w:rPr>
        <w:t>Ms. Eddelson’s base salary was $335,000 in 2019 and 2018. Ms. Eddelson received a $150,000 cash bonus in 2018 (paid in 2019). Ms. Eddelson received an award of 8,772 restricted Common Shares in February 2018 with a three-year vesting period, which shares were forfeited upon her resignation in 2019.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b w:val="1"/>
          <w:bCs w:val="1"/>
          <w:color w:val="auto"/>
        </w:rPr>
        <w:t>Elements of Executive Compensation and 2019 Compensation Determinations</w:t>
      </w:r>
    </w:p>
    <w:p>
      <w:pPr>
        <w:spacing w:after="0" w:line="162" w:lineRule="exact"/>
        <w:rPr>
          <w:sz w:val="20"/>
          <w:szCs w:val="20"/>
          <w:color w:val="auto"/>
        </w:rPr>
      </w:pPr>
    </w:p>
    <w:p>
      <w:pPr>
        <w:ind w:left="460" w:right="459" w:firstLine="432"/>
        <w:spacing w:after="0" w:line="301"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We believe that base salaries are a fundamental element of our compensation program.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establishes base salaries for 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76"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Committee considers base salary levels at least annually as part of its review of the performance of NEOs and from time to time upon a promotion or other change in job responsibilities. During its review of base salaries for our executives, the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2019 and 2018 base salaries for our current NEOs.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413"/>
              <w:spacing w:after="0"/>
              <w:rPr>
                <w:sz w:val="20"/>
                <w:szCs w:val="20"/>
                <w:color w:val="auto"/>
              </w:rPr>
            </w:pPr>
            <w:r>
              <w:rPr>
                <w:rFonts w:ascii="Arial" w:cs="Arial" w:eastAsia="Arial" w:hAnsi="Arial"/>
                <w:sz w:val="16"/>
                <w:szCs w:val="16"/>
                <w:b w:val="1"/>
                <w:bCs w:val="1"/>
                <w:color w:val="auto"/>
              </w:rPr>
              <w:t>2018</w:t>
            </w:r>
          </w:p>
        </w:tc>
      </w:t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Base Salary</w:t>
            </w:r>
          </w:p>
        </w:tc>
        <w:tc>
          <w:tcPr>
            <w:tcW w:w="18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6"/>
                <w:szCs w:val="16"/>
                <w:b w:val="1"/>
                <w:bCs w:val="1"/>
                <w:color w:val="auto"/>
                <w:w w:val="92"/>
              </w:rPr>
              <w:t>Base Salary</w:t>
            </w: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2019 NEOs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Barry Sloane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700,000</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Peter Downs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20"/>
                <w:szCs w:val="20"/>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Schwartz</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335,000</w:t>
            </w: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Former NEOs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91"/>
        </w:trPr>
        <w:tc>
          <w:tcPr>
            <w:tcW w:w="5600" w:type="dxa"/>
            <w:vAlign w:val="bottom"/>
          </w:tcPr>
          <w:p>
            <w:pPr>
              <w:spacing w:after="0"/>
              <w:rPr>
                <w:sz w:val="20"/>
                <w:szCs w:val="20"/>
                <w:color w:val="auto"/>
              </w:rPr>
            </w:pPr>
            <w:r>
              <w:rPr>
                <w:rFonts w:ascii="Arial" w:cs="Arial" w:eastAsia="Arial" w:hAnsi="Arial"/>
                <w:sz w:val="18"/>
                <w:szCs w:val="18"/>
                <w:color w:val="auto"/>
              </w:rPr>
              <w:t>Jennifer Eddelson</w:t>
            </w:r>
            <w:r>
              <w:rPr>
                <w:rFonts w:ascii="Arial" w:cs="Arial" w:eastAsia="Arial" w:hAnsi="Arial"/>
                <w:sz w:val="20"/>
                <w:szCs w:val="20"/>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335,000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335,000</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999" w:hanging="426"/>
        <w:spacing w:after="0" w:line="266" w:lineRule="auto"/>
        <w:tabs>
          <w:tab w:leader="none" w:pos="8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Board of Directors appointed Christopher Towers to the position of Chief Accounting Officer effective May 3, 2019.</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April 12, 2019, Ms. Eddelson resigned from the Company effective May 3, 2019.</w:t>
      </w:r>
    </w:p>
    <w:p>
      <w:pPr>
        <w:spacing w:after="0" w:line="145"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b w:val="1"/>
          <w:bCs w:val="1"/>
          <w:i w:val="1"/>
          <w:iCs w:val="1"/>
          <w:color w:val="auto"/>
        </w:rPr>
        <w:t>Annual Bonus Awards</w:t>
      </w:r>
      <w:r>
        <w:rPr>
          <w:rFonts w:ascii="Arial" w:cs="Arial" w:eastAsia="Arial" w:hAnsi="Arial"/>
          <w:sz w:val="17"/>
          <w:szCs w:val="17"/>
          <w:color w:val="auto"/>
        </w:rPr>
        <w:t>. The Committee designs our annual cash bonuses to motivate our NEOs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 financial and non-financial objectives consistent with our operating plan. The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2019 cash bonus awards, the Committee considered the factors to determine the amount of salary and other benefits, as set forth above. The Committee also considered the following factors and aspects of the Company’s 2018 operating performance in the determination of specific NEO bonus awards:</w:t>
      </w:r>
    </w:p>
    <w:p>
      <w:pPr>
        <w:spacing w:after="0" w:line="111" w:lineRule="exact"/>
        <w:rPr>
          <w:sz w:val="20"/>
          <w:szCs w:val="20"/>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Declaration of $2.15 per share in cash dividends;</w:t>
      </w:r>
    </w:p>
    <w:p>
      <w:pPr>
        <w:spacing w:after="0" w:line="157"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a public offering of $63.3 million in aggregate principal amount of its 5.75% Notes Due 2024;</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management of the Company’s at-the-market equity program;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Closing of the Company’s tenth and largest small business loan securitization;</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w:t>
      </w:r>
    </w:p>
    <w:p>
      <w:pPr>
        <w:spacing w:after="0" w:line="89" w:lineRule="exact"/>
        <w:rPr>
          <w:rFonts w:ascii="Arial" w:cs="Arial" w:eastAsia="Arial" w:hAnsi="Arial"/>
          <w:sz w:val="18"/>
          <w:szCs w:val="18"/>
          <w:color w:val="auto"/>
        </w:rPr>
      </w:pPr>
    </w:p>
    <w:p>
      <w:pPr>
        <w:ind w:left="1320" w:right="699" w:hanging="434"/>
        <w:spacing w:after="0" w:line="263"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 of the Company’s joint venture Newtek Conventional Lending, LLC to provide non-conforming conventional commercial and industrial term loans to U.S. middle-market companies and small businesses; and</w:t>
      </w:r>
    </w:p>
    <w:p>
      <w:pPr>
        <w:spacing w:after="0" w:line="116"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NEO’s specific performance achievements and contributions to the Company’s 2019 financial performance.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p>
      <w:pPr>
        <w:ind w:left="460" w:right="499" w:firstLine="432"/>
        <w:spacing w:after="0" w:line="259" w:lineRule="auto"/>
        <w:rPr>
          <w:sz w:val="20"/>
          <w:szCs w:val="20"/>
          <w:color w:val="auto"/>
        </w:rPr>
      </w:pPr>
      <w:r>
        <w:rPr>
          <w:rFonts w:ascii="Arial" w:cs="Arial" w:eastAsia="Arial" w:hAnsi="Arial"/>
          <w:sz w:val="18"/>
          <w:szCs w:val="18"/>
          <w:color w:val="auto"/>
        </w:rPr>
        <w:t>When allocating bonus awards, the Committee also evaluated the total compensation paid to the NEOs and other employees. Based on the foregoing considerations and analysis, and after due deliberation, the Committee awarded the 2019 NEOs the following annual cash bonuses and award of restricted Common Shares pursuant to the 2015 Stock Plan with respect to 2019.</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As Percentage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2019 Cash</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of 2019 Base</w:t>
            </w:r>
          </w:p>
        </w:tc>
      </w:tr>
      <w:tr>
        <w:trPr>
          <w:trHeight w:val="210"/>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Bonus Award</w:t>
            </w:r>
          </w:p>
        </w:tc>
        <w:tc>
          <w:tcPr>
            <w:tcW w:w="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Salary</w:t>
            </w:r>
          </w:p>
        </w:tc>
      </w:tr>
      <w:tr>
        <w:trPr>
          <w:trHeight w:val="46"/>
        </w:trPr>
        <w:tc>
          <w:tcPr>
            <w:tcW w:w="3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2019 NEOs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Christopher Towers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Schwartz</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83"/>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Former NEOs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Jennifer Eddelson</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Incentive Plan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Awards: Market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4"/>
              </w:rPr>
              <w:t>Equity Incentive</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or Payout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Plan Awards:</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Number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Unearned</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Unearned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Market Value of</w:t>
            </w: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Shares, Units</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Shares, Units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Shares or Units</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Shares or Units</w:t>
            </w:r>
          </w:p>
        </w:tc>
        <w:tc>
          <w:tcPr>
            <w:tcW w:w="124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3"/>
              </w:rPr>
              <w:t>or Other Rights</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or Other Rights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that have not</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of Stock that</w:t>
            </w: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that have not</w:t>
            </w:r>
          </w:p>
        </w:tc>
        <w:tc>
          <w:tcPr>
            <w:tcW w:w="2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that have not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Vested</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have not Vested</w:t>
            </w:r>
          </w:p>
        </w:tc>
        <w:tc>
          <w:tcPr>
            <w:tcW w:w="16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3"/>
              </w:rPr>
              <w:t>Vested</w:t>
            </w:r>
          </w:p>
        </w:tc>
        <w:tc>
          <w:tcPr>
            <w:tcW w:w="20" w:type="dxa"/>
            <w:vAlign w:val="bottom"/>
          </w:tcPr>
          <w:p>
            <w:pPr>
              <w:spacing w:after="0"/>
              <w:rPr>
                <w:sz w:val="17"/>
                <w:szCs w:val="17"/>
                <w:color w:val="auto"/>
              </w:rPr>
            </w:pPr>
          </w:p>
        </w:tc>
        <w:tc>
          <w:tcPr>
            <w:tcW w:w="1260" w:type="dxa"/>
            <w:vAlign w:val="bottom"/>
            <w:gridSpan w:val="2"/>
          </w:tcPr>
          <w:p>
            <w:pPr>
              <w:jc w:val="right"/>
              <w:ind w:right="331"/>
              <w:spacing w:after="0"/>
              <w:rPr>
                <w:sz w:val="20"/>
                <w:szCs w:val="20"/>
                <w:color w:val="auto"/>
              </w:rPr>
            </w:pPr>
            <w:r>
              <w:rPr>
                <w:rFonts w:ascii="Arial" w:cs="Arial" w:eastAsia="Arial" w:hAnsi="Arial"/>
                <w:sz w:val="16"/>
                <w:szCs w:val="16"/>
                <w:b w:val="1"/>
                <w:bCs w:val="1"/>
                <w:color w:val="auto"/>
              </w:rPr>
              <w:t>Vested</w:t>
            </w:r>
          </w:p>
        </w:tc>
      </w:tr>
      <w:tr>
        <w:trPr>
          <w:trHeight w:val="257"/>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36"/>
              <w:spacing w:after="0" w:line="256" w:lineRule="exact"/>
              <w:rPr>
                <w:sz w:val="20"/>
                <w:szCs w:val="20"/>
                <w:color w:val="auto"/>
              </w:rPr>
            </w:pPr>
            <w:r>
              <w:rPr>
                <w:rFonts w:ascii="Arial" w:cs="Arial" w:eastAsia="Arial" w:hAnsi="Arial"/>
                <w:sz w:val="29"/>
                <w:szCs w:val="29"/>
                <w:b w:val="1"/>
                <w:bCs w:val="1"/>
                <w:color w:val="auto"/>
                <w:w w:val="80"/>
                <w:vertAlign w:val="subscript"/>
              </w:rPr>
              <w:t>)</w:t>
            </w:r>
            <w:r>
              <w:rPr>
                <w:rFonts w:ascii="Arial" w:cs="Arial" w:eastAsia="Arial" w:hAnsi="Arial"/>
                <w:sz w:val="9"/>
                <w:szCs w:val="9"/>
                <w:b w:val="1"/>
                <w:bCs w:val="1"/>
                <w:color w:val="auto"/>
                <w:w w:val="80"/>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center"/>
              <w:ind w:right="5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center"/>
              <w:ind w:left="452"/>
              <w:spacing w:after="0"/>
              <w:rPr>
                <w:sz w:val="20"/>
                <w:szCs w:val="20"/>
                <w:color w:val="auto"/>
              </w:rPr>
            </w:pPr>
            <w:r>
              <w:rPr>
                <w:rFonts w:ascii="Arial" w:cs="Arial" w:eastAsia="Arial" w:hAnsi="Arial"/>
                <w:sz w:val="16"/>
                <w:szCs w:val="16"/>
                <w:b w:val="1"/>
                <w:bCs w:val="1"/>
                <w:color w:val="auto"/>
                <w:w w:val="98"/>
              </w:rPr>
              <w:t>($</w:t>
            </w:r>
          </w:p>
        </w:tc>
        <w:tc>
          <w:tcPr>
            <w:tcW w:w="600" w:type="dxa"/>
            <w:vAlign w:val="bottom"/>
          </w:tcPr>
          <w:p>
            <w:pPr>
              <w:jc w:val="right"/>
              <w:ind w:right="451"/>
              <w:spacing w:after="0"/>
              <w:rPr>
                <w:sz w:val="20"/>
                <w:szCs w:val="20"/>
                <w:color w:val="auto"/>
              </w:rPr>
            </w:pPr>
            <w:r>
              <w:rPr>
                <w:rFonts w:ascii="Arial" w:cs="Arial" w:eastAsia="Arial" w:hAnsi="Arial"/>
                <w:sz w:val="16"/>
                <w:szCs w:val="16"/>
                <w:b w:val="1"/>
                <w:bCs w:val="1"/>
                <w:color w:val="auto"/>
                <w:w w:val="74"/>
              </w:rPr>
              <w:t>)</w:t>
            </w:r>
          </w:p>
        </w:tc>
      </w:tr>
      <w:tr>
        <w:trPr>
          <w:trHeight w:val="243"/>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Barry Sloane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3120" w:type="dxa"/>
            <w:vAlign w:val="bottom"/>
            <w:gridSpan w:val="2"/>
          </w:tcPr>
          <w:p>
            <w:pPr>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56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22,962</w:t>
            </w:r>
          </w:p>
        </w:tc>
        <w:tc>
          <w:tcPr>
            <w:tcW w:w="160" w:type="dxa"/>
            <w:vAlign w:val="bottom"/>
          </w:tcPr>
          <w:p>
            <w:pPr>
              <w:spacing w:after="0"/>
              <w:rPr>
                <w:sz w:val="24"/>
                <w:szCs w:val="2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1,613</w:t>
            </w:r>
          </w:p>
        </w:tc>
        <w:tc>
          <w:tcPr>
            <w:tcW w:w="680" w:type="dxa"/>
            <w:vAlign w:val="bottom"/>
            <w:gridSpan w:val="2"/>
          </w:tcPr>
          <w:p>
            <w:pPr>
              <w:jc w:val="right"/>
              <w:ind w:right="45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25,614</w:t>
            </w:r>
          </w:p>
        </w:tc>
      </w:tr>
      <w:tr>
        <w:trPr>
          <w:trHeight w:val="28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r>
              <w:rPr>
                <w:rFonts w:ascii="Arial" w:cs="Arial" w:eastAsia="Arial" w:hAnsi="Arial"/>
                <w:sz w:val="20"/>
                <w:szCs w:val="20"/>
                <w:color w:val="auto"/>
                <w:vertAlign w:val="superscript"/>
              </w:rPr>
              <w:t>(2)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c>
          <w:tcPr>
            <w:tcW w:w="5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22,962</w:t>
            </w:r>
          </w:p>
        </w:tc>
        <w:tc>
          <w:tcPr>
            <w:tcW w:w="1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1,613</w:t>
            </w:r>
          </w:p>
        </w:tc>
        <w:tc>
          <w:tcPr>
            <w:tcW w:w="68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25,614</w:t>
            </w:r>
          </w:p>
        </w:tc>
      </w:tr>
      <w:tr>
        <w:trPr>
          <w:trHeight w:val="283"/>
        </w:trPr>
        <w:tc>
          <w:tcPr>
            <w:tcW w:w="3120" w:type="dxa"/>
            <w:vAlign w:val="bottom"/>
            <w:gridSpan w:val="2"/>
          </w:tcPr>
          <w:p>
            <w:pPr>
              <w:spacing w:after="0"/>
              <w:rPr>
                <w:sz w:val="20"/>
                <w:szCs w:val="20"/>
                <w:color w:val="auto"/>
              </w:rPr>
            </w:pPr>
            <w:r>
              <w:rPr>
                <w:rFonts w:ascii="Arial" w:cs="Arial" w:eastAsia="Arial" w:hAnsi="Arial"/>
                <w:sz w:val="18"/>
                <w:szCs w:val="18"/>
                <w:color w:val="auto"/>
              </w:rPr>
              <w:t>Michael A Schwartz</w:t>
            </w:r>
            <w:r>
              <w:rPr>
                <w:rFonts w:ascii="Arial" w:cs="Arial" w:eastAsia="Arial" w:hAnsi="Arial"/>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56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22,962</w:t>
            </w:r>
          </w:p>
        </w:tc>
        <w:tc>
          <w:tcPr>
            <w:tcW w:w="160" w:type="dxa"/>
            <w:vAlign w:val="bottom"/>
          </w:tcPr>
          <w:p>
            <w:pPr>
              <w:spacing w:after="0"/>
              <w:rPr>
                <w:sz w:val="24"/>
                <w:szCs w:val="2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1,613</w:t>
            </w:r>
          </w:p>
        </w:tc>
        <w:tc>
          <w:tcPr>
            <w:tcW w:w="680" w:type="dxa"/>
            <w:vAlign w:val="bottom"/>
            <w:gridSpan w:val="2"/>
          </w:tcPr>
          <w:p>
            <w:pPr>
              <w:jc w:val="right"/>
              <w:ind w:right="45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25,614</w:t>
            </w: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 Others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c>
          <w:tcPr>
            <w:tcW w:w="56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22,962</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1,613</w:t>
            </w:r>
          </w:p>
        </w:tc>
        <w:tc>
          <w:tcPr>
            <w:tcW w:w="680" w:type="dxa"/>
            <w:vAlign w:val="bottom"/>
            <w:tcBorders>
              <w:bottom w:val="single" w:sz="8" w:color="CCEEFF"/>
            </w:tcBorders>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25,614</w:t>
            </w:r>
          </w:p>
        </w:tc>
      </w:tr>
      <w:tr>
        <w:trPr>
          <w:trHeight w:val="283"/>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Former NEOs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91"/>
        </w:trPr>
        <w:tc>
          <w:tcPr>
            <w:tcW w:w="3120" w:type="dxa"/>
            <w:vAlign w:val="bottom"/>
            <w:gridSpan w:val="2"/>
          </w:tcPr>
          <w:p>
            <w:pPr>
              <w:spacing w:after="0"/>
              <w:rPr>
                <w:sz w:val="20"/>
                <w:szCs w:val="20"/>
                <w:color w:val="auto"/>
              </w:rPr>
            </w:pPr>
            <w:r>
              <w:rPr>
                <w:rFonts w:ascii="Arial" w:cs="Arial" w:eastAsia="Arial" w:hAnsi="Arial"/>
                <w:sz w:val="18"/>
                <w:szCs w:val="18"/>
                <w:color w:val="auto"/>
              </w:rPr>
              <w:t>Jennifer Eddelson</w:t>
            </w:r>
            <w:r>
              <w:rPr>
                <w:rFonts w:ascii="Arial" w:cs="Arial" w:eastAsia="Arial" w:hAnsi="Arial"/>
                <w:sz w:val="20"/>
                <w:szCs w:val="20"/>
                <w:color w:val="auto"/>
                <w:vertAlign w:val="superscript"/>
              </w:rPr>
              <w:t>(3)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5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hanging="426"/>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the closing price for our Common Shares of $15.88 on April 13, 2020.</w:t>
      </w:r>
    </w:p>
    <w:p>
      <w:pPr>
        <w:spacing w:after="0" w:line="22" w:lineRule="exact"/>
        <w:rPr>
          <w:rFonts w:ascii="Arial" w:cs="Arial" w:eastAsia="Arial" w:hAnsi="Arial"/>
          <w:sz w:val="16"/>
          <w:szCs w:val="16"/>
          <w:color w:val="auto"/>
        </w:rPr>
      </w:pPr>
    </w:p>
    <w:p>
      <w:pPr>
        <w:ind w:left="880" w:right="519" w:hanging="426"/>
        <w:spacing w:after="0" w:line="281" w:lineRule="auto"/>
        <w:tabs>
          <w:tab w:leader="none" w:pos="8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Received an award of 1,446 restricted Common Shares in April 2019 with a one year vesting period. Total number of shares that have not vested included in the table above include accrued dividends through December 31, 2019</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April 12, 2019, Ms. Eddelson resigned from the Company effective May 3, 2019.</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Conclusion</w:t>
      </w:r>
    </w:p>
    <w:p>
      <w:pPr>
        <w:spacing w:after="0" w:line="14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Committee believes that attracting and retaining talented and motivated management and employees is essential to creating long-term shareholder value. The Committee seeks to attract and retain management and employees by offering a competitive, performance-based compensation program which the Committee believes aligns the interests of the executive officers and other key employees with those of our Shareholders. We believe that the Company’s 2019 compensation program met those objectives.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Compensation Risk Assessment</w:t>
      </w:r>
    </w:p>
    <w:p>
      <w:pPr>
        <w:spacing w:after="0" w:line="162"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Our Compensation, Corporate Governance and Nominating Committee aims to establish Company-wide compensation policies and practices that reward contributions to long-term shareholder value and do not promote unnecessary or excessive risk-taking. In furtherance of this objective, the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880"/>
        <w:spacing w:after="0"/>
        <w:rPr>
          <w:sz w:val="20"/>
          <w:szCs w:val="20"/>
          <w:color w:val="auto"/>
        </w:rPr>
      </w:pPr>
      <w:r>
        <w:rPr>
          <w:rFonts w:ascii="Arial" w:cs="Arial" w:eastAsia="Arial" w:hAnsi="Arial"/>
          <w:sz w:val="18"/>
          <w:szCs w:val="18"/>
          <w:color w:val="auto"/>
        </w:rPr>
        <w:t>In its review, among other factors, the Committee considered the following:</w:t>
      </w:r>
    </w:p>
    <w:p>
      <w:pPr>
        <w:spacing w:after="0" w:line="144" w:lineRule="exact"/>
        <w:rPr>
          <w:sz w:val="20"/>
          <w:szCs w:val="20"/>
          <w:color w:val="auto"/>
        </w:rPr>
      </w:pPr>
    </w:p>
    <w:p>
      <w:pPr>
        <w:ind w:left="1320" w:right="519" w:hanging="434"/>
        <w:spacing w:after="0" w:line="263"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investment model and our cash incentive plan encourage our employees to focus on creating a stable, predictable stream of investment income over multiple years, rather than focusing on current year revenue at the expense of succeeding years.</w:t>
      </w:r>
    </w:p>
    <w:p>
      <w:pPr>
        <w:spacing w:after="0" w:line="116"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distribution of compensation among our core compensation elements has effectively balanced short-term performance and long-term performance.</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and equity-based incentive awards in conjunction with management efforts focus on both near-term and long-term goals.</w:t>
      </w:r>
    </w:p>
    <w:p>
      <w:pPr>
        <w:spacing w:after="0" w:line="89" w:lineRule="exact"/>
        <w:rPr>
          <w:rFonts w:ascii="Arial" w:cs="Arial" w:eastAsia="Arial" w:hAnsi="Arial"/>
          <w:sz w:val="18"/>
          <w:szCs w:val="18"/>
          <w:color w:val="auto"/>
        </w:rPr>
      </w:pPr>
    </w:p>
    <w:p>
      <w:pPr>
        <w:jc w:val="both"/>
        <w:ind w:left="1320" w:right="599" w:hanging="434"/>
        <w:spacing w:after="0" w:line="263"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116" w:lineRule="exact"/>
        <w:rPr>
          <w:sz w:val="20"/>
          <w:szCs w:val="20"/>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Our executives are encouraged to hold a meaningful number of Common Shares pursuant to our stock ownership policy. Based upon this assessment, our Compensation, Corporate Governance and Nominating Committee believes that our Company-wide compensation policies and practices do not create risks that are reasonably likely to have a material adverse effect on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2019 Advisory Vote on Executive Compensation; Continuing Shareholder Engagement</w:t>
      </w:r>
    </w:p>
    <w:p>
      <w:pPr>
        <w:spacing w:after="0" w:line="158"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At our 2019 annual meeting of shareholders, our advisory vote on say-on-pay received strong support from our shareholders (approximately 94% of votes cast).</w:t>
      </w:r>
    </w:p>
    <w:p>
      <w:pPr>
        <w:spacing w:after="0" w:line="89"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The Committee views as important the continuing dialogue with our shareholders on compensation and other governance matters. The results of the Company’s 2019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following the 2020 annual meeting and in advance of our future annual meetings.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Compensation, Corporate Governance and Nominating Committee Interlocks and Insider Participation</w:t>
      </w:r>
    </w:p>
    <w:p>
      <w:pPr>
        <w:spacing w:after="0" w:line="18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All members of the Compensation, Corporate Governance and Nominating Committee are independent directors, and none of them are paid officers of ours or any of our subsidiaries. No member of the Compensation, Corporate Governance and Nominating Committee: (i) has had any relationship with us requiring disclosure under Item 404 of Regulation S-K under the Securities Exchange Act of 1934, as amended; or (ii) is an executive officer of another entity, at which one of our executive officers serves on our Board of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2019 Compensation, Corporation Governance and Nominating Committee Report</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Compensation, Corporate Governance and Nominating Committee of the Company has reviewed and discussed the foregoing Compensation Discussion and Analysis for fiscal 2019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CORPORATE GOVERNANCE AND NOMINATING COMMITTEE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Salvatore Mulia, Chairman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Salute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Zink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162"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following tables set forth the aggregate compensation earned by the Company’s Chief Executive Officer, Chief Accounting Officer, and next three most highly compensated executive officers (which we refer to as NEOs) during 2019 and the two previous years.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Deferred</w:t>
            </w:r>
          </w:p>
        </w:tc>
        <w:tc>
          <w:tcPr>
            <w:tcW w:w="9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720" w:type="dxa"/>
            <w:vAlign w:val="bottom"/>
            <w:gridSpan w:val="2"/>
            <w:vMerge w:val="continue"/>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1920" w:type="dxa"/>
            <w:vAlign w:val="bottom"/>
            <w:gridSpan w:val="4"/>
          </w:tcPr>
          <w:p>
            <w:pPr>
              <w:jc w:val="right"/>
              <w:ind w:right="80"/>
              <w:spacing w:after="0" w:line="145" w:lineRule="exact"/>
              <w:rPr>
                <w:sz w:val="20"/>
                <w:szCs w:val="20"/>
                <w:color w:val="auto"/>
              </w:rPr>
            </w:pPr>
            <w:r>
              <w:rPr>
                <w:rFonts w:ascii="Arial" w:cs="Arial" w:eastAsia="Arial" w:hAnsi="Arial"/>
                <w:sz w:val="14"/>
                <w:szCs w:val="14"/>
                <w:b w:val="1"/>
                <w:bCs w:val="1"/>
                <w:color w:val="auto"/>
                <w:w w:val="93"/>
              </w:rPr>
              <w:t>Incentive Plan Compensation</w:t>
            </w:r>
          </w:p>
        </w:tc>
        <w:tc>
          <w:tcPr>
            <w:tcW w:w="9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Other</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6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7"/>
                <w:szCs w:val="17"/>
                <w:b w:val="1"/>
                <w:bCs w:val="1"/>
                <w:color w:val="auto"/>
                <w:vertAlign w:val="superscript"/>
              </w:rPr>
              <w:t>(3)</w:t>
            </w:r>
          </w:p>
        </w:tc>
        <w:tc>
          <w:tcPr>
            <w:tcW w:w="68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660" w:type="dxa"/>
            <w:vAlign w:val="bottom"/>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680" w:type="dxa"/>
            <w:vAlign w:val="bottom"/>
            <w:gridSpan w:val="2"/>
          </w:tcPr>
          <w:p>
            <w:pPr>
              <w:spacing w:after="0" w:line="216" w:lineRule="exact"/>
              <w:rPr>
                <w:sz w:val="20"/>
                <w:szCs w:val="20"/>
                <w:color w:val="auto"/>
              </w:rPr>
            </w:pPr>
            <w:r>
              <w:rPr>
                <w:rFonts w:ascii="Arial" w:cs="Arial" w:eastAsia="Arial" w:hAnsi="Arial"/>
                <w:sz w:val="14"/>
                <w:szCs w:val="14"/>
                <w:b w:val="1"/>
                <w:bCs w:val="1"/>
                <w:color w:val="auto"/>
                <w:w w:val="97"/>
              </w:rPr>
              <w:t>Awards</w:t>
            </w:r>
            <w:r>
              <w:rPr>
                <w:rFonts w:ascii="Arial" w:cs="Arial" w:eastAsia="Arial" w:hAnsi="Arial"/>
                <w:sz w:val="21"/>
                <w:szCs w:val="21"/>
                <w:b w:val="1"/>
                <w:bCs w:val="1"/>
                <w:color w:val="auto"/>
                <w:w w:val="97"/>
                <w:vertAlign w:val="superscript"/>
              </w:rPr>
              <w:t>(3)</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8"/>
                <w:szCs w:val="18"/>
                <w:color w:val="auto"/>
              </w:rPr>
            </w:pPr>
          </w:p>
        </w:tc>
        <w:tc>
          <w:tcPr>
            <w:tcW w:w="70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Barry Sloane,</w:t>
            </w:r>
          </w:p>
        </w:tc>
        <w:tc>
          <w:tcPr>
            <w:tcW w:w="4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4"/>
              </w:rPr>
              <w:t>2019</w:t>
            </w:r>
          </w:p>
        </w:tc>
        <w:tc>
          <w:tcPr>
            <w:tcW w:w="6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700,000</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700,000</w:t>
            </w:r>
            <w:r>
              <w:rPr>
                <w:rFonts w:ascii="Arial" w:cs="Arial" w:eastAsia="Arial" w:hAnsi="Arial"/>
                <w:sz w:val="21"/>
                <w:szCs w:val="21"/>
                <w:color w:val="auto"/>
                <w:w w:val="82"/>
                <w:vertAlign w:val="superscript"/>
              </w:rPr>
              <w:t>(1)</w:t>
            </w:r>
          </w:p>
        </w:tc>
        <w:tc>
          <w:tcPr>
            <w:tcW w:w="6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1,400,000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Chief Executive</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2018</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683,333</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600,000</w:t>
            </w:r>
            <w:r>
              <w:rPr>
                <w:rFonts w:ascii="Arial" w:cs="Arial" w:eastAsia="Arial" w:hAnsi="Arial"/>
                <w:sz w:val="21"/>
                <w:szCs w:val="21"/>
                <w:color w:val="auto"/>
                <w:w w:val="82"/>
                <w:vertAlign w:val="superscript"/>
              </w:rPr>
              <w:t>(2)</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1,000,000</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2,283,333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Officer</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2017</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600,000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600,000</w:t>
            </w:r>
            <w:r>
              <w:rPr>
                <w:rFonts w:ascii="Arial" w:cs="Arial" w:eastAsia="Arial" w:hAnsi="Arial"/>
                <w:sz w:val="21"/>
                <w:szCs w:val="21"/>
                <w:color w:val="auto"/>
                <w:w w:val="82"/>
                <w:vertAlign w:val="superscript"/>
              </w:rPr>
              <w:t>(4)</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340" w:type="dxa"/>
            <w:vAlign w:val="bottom"/>
            <w:shd w:val="clear" w:color="auto" w:fill="CCEEFF"/>
          </w:tcPr>
          <w:p>
            <w:pPr>
              <w:spacing w:after="0"/>
              <w:rPr>
                <w:sz w:val="20"/>
                <w:szCs w:val="20"/>
                <w:color w:val="auto"/>
              </w:rPr>
            </w:pPr>
            <w:r>
              <w:rPr>
                <w:rFonts w:ascii="Arial" w:cs="Arial" w:eastAsia="Arial" w:hAnsi="Arial"/>
                <w:sz w:val="16"/>
                <w:szCs w:val="16"/>
                <w:color w:val="auto"/>
                <w:w w:val="91"/>
              </w:rPr>
              <w:t>Christopher Towers,</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4"/>
              </w:rPr>
              <w:t>2019</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75,000</w:t>
            </w:r>
            <w:r>
              <w:rPr>
                <w:rFonts w:ascii="Arial" w:cs="Arial" w:eastAsia="Arial" w:hAnsi="Arial"/>
                <w:sz w:val="21"/>
                <w:szCs w:val="21"/>
                <w:color w:val="auto"/>
                <w:w w:val="93"/>
                <w:vertAlign w:val="superscript"/>
              </w:rPr>
              <w:t>(1)</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30,000</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265,000</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Chief Accounting</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2018</w:t>
            </w: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Officer</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2017</w:t>
            </w: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40" w:type="dxa"/>
            <w:vAlign w:val="bottom"/>
            <w:shd w:val="clear" w:color="auto" w:fill="CCEEFF"/>
          </w:tcPr>
          <w:p>
            <w:pPr>
              <w:spacing w:after="0"/>
              <w:rPr>
                <w:sz w:val="20"/>
                <w:szCs w:val="20"/>
                <w:color w:val="auto"/>
              </w:rPr>
            </w:pPr>
            <w:r>
              <w:rPr>
                <w:rFonts w:ascii="Arial" w:cs="Arial" w:eastAsia="Arial" w:hAnsi="Arial"/>
                <w:sz w:val="16"/>
                <w:szCs w:val="16"/>
                <w:color w:val="auto"/>
              </w:rPr>
              <w:t>Peter Downs</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4"/>
              </w:rPr>
              <w:t>2019</w:t>
            </w: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491,667</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125,000</w:t>
            </w:r>
            <w:r>
              <w:rPr>
                <w:rFonts w:ascii="Arial" w:cs="Arial" w:eastAsia="Arial" w:hAnsi="Arial"/>
                <w:sz w:val="21"/>
                <w:szCs w:val="21"/>
                <w:color w:val="auto"/>
                <w:w w:val="82"/>
                <w:vertAlign w:val="superscript"/>
              </w:rPr>
              <w:t>(1)</w:t>
            </w:r>
          </w:p>
        </w:tc>
        <w:tc>
          <w:tcPr>
            <w:tcW w:w="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30,000</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646,667</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Chief Lending</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2018</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443,333</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250,000</w:t>
            </w:r>
            <w:r>
              <w:rPr>
                <w:rFonts w:ascii="Arial" w:cs="Arial" w:eastAsia="Arial" w:hAnsi="Arial"/>
                <w:sz w:val="21"/>
                <w:szCs w:val="21"/>
                <w:color w:val="auto"/>
                <w:w w:val="82"/>
                <w:vertAlign w:val="superscript"/>
              </w:rPr>
              <w:t>(2)</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225,000</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Officer</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2017</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404,167</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200,000</w:t>
            </w:r>
            <w:r>
              <w:rPr>
                <w:rFonts w:ascii="Arial" w:cs="Arial" w:eastAsia="Arial" w:hAnsi="Arial"/>
                <w:sz w:val="21"/>
                <w:szCs w:val="21"/>
                <w:color w:val="auto"/>
                <w:w w:val="82"/>
                <w:vertAlign w:val="superscript"/>
              </w:rPr>
              <w:t>(4)</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604,167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340" w:type="dxa"/>
            <w:vAlign w:val="bottom"/>
            <w:shd w:val="clear" w:color="auto" w:fill="CCEEFF"/>
          </w:tcPr>
          <w:p>
            <w:pPr>
              <w:spacing w:after="0"/>
              <w:rPr>
                <w:sz w:val="20"/>
                <w:szCs w:val="20"/>
                <w:color w:val="auto"/>
              </w:rPr>
            </w:pPr>
            <w:r>
              <w:rPr>
                <w:rFonts w:ascii="Arial" w:cs="Arial" w:eastAsia="Arial" w:hAnsi="Arial"/>
                <w:sz w:val="16"/>
                <w:szCs w:val="16"/>
                <w:color w:val="auto"/>
              </w:rPr>
              <w:t>Michael Schwartz</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4"/>
              </w:rPr>
              <w:t>2019</w:t>
            </w: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335,000</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200,000</w:t>
            </w:r>
            <w:r>
              <w:rPr>
                <w:rFonts w:ascii="Arial" w:cs="Arial" w:eastAsia="Arial" w:hAnsi="Arial"/>
                <w:sz w:val="21"/>
                <w:szCs w:val="21"/>
                <w:color w:val="auto"/>
                <w:w w:val="82"/>
                <w:vertAlign w:val="superscript"/>
              </w:rPr>
              <w:t>(1)</w:t>
            </w:r>
          </w:p>
        </w:tc>
        <w:tc>
          <w:tcPr>
            <w:tcW w:w="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30,000</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565,000</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Chief Legal</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2018</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329,167</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175,000</w:t>
            </w:r>
            <w:r>
              <w:rPr>
                <w:rFonts w:ascii="Arial" w:cs="Arial" w:eastAsia="Arial" w:hAnsi="Arial"/>
                <w:sz w:val="21"/>
                <w:szCs w:val="21"/>
                <w:color w:val="auto"/>
                <w:w w:val="82"/>
                <w:vertAlign w:val="superscript"/>
              </w:rPr>
              <w:t>(2)</w:t>
            </w:r>
          </w:p>
        </w:tc>
        <w:tc>
          <w:tcPr>
            <w:tcW w:w="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150,000</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Officer</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84"/>
              </w:rPr>
              <w:t>2017</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295,833</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150,000</w:t>
            </w:r>
            <w:r>
              <w:rPr>
                <w:rFonts w:ascii="Arial" w:cs="Arial" w:eastAsia="Arial" w:hAnsi="Arial"/>
                <w:sz w:val="21"/>
                <w:szCs w:val="21"/>
                <w:color w:val="auto"/>
                <w:w w:val="82"/>
                <w:vertAlign w:val="superscript"/>
              </w:rPr>
              <w:t>(4)</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3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Former NEOs</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340" w:type="dxa"/>
            <w:vAlign w:val="bottom"/>
            <w:shd w:val="clear" w:color="auto" w:fill="CCEEFF"/>
          </w:tcPr>
          <w:p>
            <w:pPr>
              <w:spacing w:after="0"/>
              <w:rPr>
                <w:sz w:val="6"/>
                <w:szCs w:val="6"/>
                <w:color w:val="auto"/>
              </w:rPr>
            </w:pPr>
          </w:p>
        </w:tc>
        <w:tc>
          <w:tcPr>
            <w:tcW w:w="380" w:type="dxa"/>
            <w:vAlign w:val="bottom"/>
            <w:gridSpan w:val="2"/>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340" w:type="dxa"/>
            <w:vAlign w:val="bottom"/>
          </w:tcPr>
          <w:p>
            <w:pPr>
              <w:spacing w:after="0"/>
              <w:rPr>
                <w:sz w:val="20"/>
                <w:szCs w:val="20"/>
                <w:color w:val="auto"/>
              </w:rPr>
            </w:pPr>
            <w:r>
              <w:rPr>
                <w:rFonts w:ascii="Arial" w:cs="Arial" w:eastAsia="Arial" w:hAnsi="Arial"/>
                <w:sz w:val="16"/>
                <w:szCs w:val="16"/>
                <w:color w:val="auto"/>
                <w:w w:val="90"/>
              </w:rPr>
              <w:t>Jennifer Eddelson</w:t>
            </w:r>
            <w:r>
              <w:rPr>
                <w:rFonts w:ascii="Arial" w:cs="Arial" w:eastAsia="Arial" w:hAnsi="Arial"/>
                <w:sz w:val="21"/>
                <w:szCs w:val="21"/>
                <w:color w:val="auto"/>
                <w:w w:val="90"/>
                <w:vertAlign w:val="superscript"/>
              </w:rPr>
              <w:t>(5)</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w w:val="84"/>
              </w:rPr>
              <w:t>2019</w:t>
            </w:r>
          </w:p>
        </w:tc>
        <w:tc>
          <w:tcPr>
            <w:tcW w:w="60" w:type="dxa"/>
            <w:vAlign w:val="bottom"/>
          </w:tcPr>
          <w:p>
            <w:pPr>
              <w:spacing w:after="0"/>
              <w:rPr>
                <w:sz w:val="23"/>
                <w:szCs w:val="2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115,532</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88,894</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400" w:type="dxa"/>
            <w:vAlign w:val="bottom"/>
            <w:gridSpan w:val="6"/>
          </w:tcPr>
          <w:p>
            <w:pPr>
              <w:ind w:left="180"/>
              <w:spacing w:after="0"/>
              <w:rPr>
                <w:sz w:val="20"/>
                <w:szCs w:val="20"/>
                <w:color w:val="auto"/>
              </w:rPr>
            </w:pPr>
            <w:r>
              <w:rPr>
                <w:rFonts w:ascii="Arial" w:cs="Arial" w:eastAsia="Arial" w:hAnsi="Arial"/>
                <w:sz w:val="16"/>
                <w:szCs w:val="16"/>
                <w:color w:val="auto"/>
                <w:w w:val="98"/>
              </w:rPr>
              <w:t>Chief Accounting 2018 329,167</w:t>
            </w:r>
          </w:p>
        </w:tc>
        <w:tc>
          <w:tcPr>
            <w:tcW w:w="660" w:type="dxa"/>
            <w:vAlign w:val="bottom"/>
          </w:tcPr>
          <w:p>
            <w:pPr>
              <w:jc w:val="right"/>
              <w:spacing w:after="0"/>
              <w:rPr>
                <w:sz w:val="20"/>
                <w:szCs w:val="20"/>
                <w:color w:val="auto"/>
              </w:rPr>
            </w:pPr>
            <w:r>
              <w:rPr>
                <w:rFonts w:ascii="Arial" w:cs="Arial" w:eastAsia="Arial" w:hAnsi="Arial"/>
                <w:sz w:val="16"/>
                <w:szCs w:val="16"/>
                <w:color w:val="auto"/>
                <w:w w:val="82"/>
              </w:rPr>
              <w:t>150,000</w:t>
            </w:r>
            <w:r>
              <w:rPr>
                <w:rFonts w:ascii="Arial" w:cs="Arial" w:eastAsia="Arial" w:hAnsi="Arial"/>
                <w:sz w:val="21"/>
                <w:szCs w:val="21"/>
                <w:color w:val="auto"/>
                <w:w w:val="82"/>
                <w:vertAlign w:val="superscript"/>
              </w:rPr>
              <w:t>(2)</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150,000</w:t>
            </w: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629,167</w:t>
            </w:r>
          </w:p>
        </w:tc>
        <w:tc>
          <w:tcPr>
            <w:tcW w:w="0" w:type="dxa"/>
            <w:vAlign w:val="bottom"/>
          </w:tcPr>
          <w:p>
            <w:pPr>
              <w:spacing w:after="0"/>
              <w:rPr>
                <w:sz w:val="1"/>
                <w:szCs w:val="1"/>
                <w:color w:val="auto"/>
              </w:rPr>
            </w:pPr>
          </w:p>
        </w:tc>
      </w:tr>
      <w:tr>
        <w:trPr>
          <w:trHeight w:val="283"/>
        </w:trPr>
        <w:tc>
          <w:tcPr>
            <w:tcW w:w="1340" w:type="dxa"/>
            <w:vAlign w:val="bottom"/>
          </w:tcPr>
          <w:p>
            <w:pPr>
              <w:ind w:left="180"/>
              <w:spacing w:after="0"/>
              <w:rPr>
                <w:sz w:val="20"/>
                <w:szCs w:val="20"/>
                <w:color w:val="auto"/>
              </w:rPr>
            </w:pPr>
            <w:r>
              <w:rPr>
                <w:rFonts w:ascii="Arial" w:cs="Arial" w:eastAsia="Arial" w:hAnsi="Arial"/>
                <w:sz w:val="16"/>
                <w:szCs w:val="16"/>
                <w:color w:val="auto"/>
              </w:rPr>
              <w:t>Officer</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w w:val="84"/>
              </w:rPr>
              <w:t>2017</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295,833</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2"/>
              </w:rPr>
              <w:t>150,000</w:t>
            </w:r>
            <w:r>
              <w:rPr>
                <w:rFonts w:ascii="Arial" w:cs="Arial" w:eastAsia="Arial" w:hAnsi="Arial"/>
                <w:sz w:val="21"/>
                <w:szCs w:val="21"/>
                <w:color w:val="auto"/>
                <w:w w:val="82"/>
                <w:vertAlign w:val="superscript"/>
              </w:rPr>
              <w:t>(4)</w:t>
            </w:r>
          </w:p>
        </w:tc>
        <w:tc>
          <w:tcPr>
            <w:tcW w:w="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445,833</w:t>
            </w:r>
          </w:p>
        </w:tc>
        <w:tc>
          <w:tcPr>
            <w:tcW w:w="0" w:type="dxa"/>
            <w:vAlign w:val="bottom"/>
          </w:tcPr>
          <w:p>
            <w:pPr>
              <w:spacing w:after="0"/>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6"/>
                <w:szCs w:val="16"/>
                <w:color w:val="auto"/>
              </w:rPr>
              <w:t>____________</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880" w:hanging="426"/>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bonus awarded for 2019 performance and paid in 2020.</w:t>
      </w:r>
    </w:p>
    <w:p>
      <w:pPr>
        <w:spacing w:after="0" w:line="22" w:lineRule="exact"/>
        <w:rPr>
          <w:rFonts w:ascii="Arial" w:cs="Arial" w:eastAsia="Arial" w:hAnsi="Arial"/>
          <w:sz w:val="16"/>
          <w:szCs w:val="16"/>
          <w:color w:val="auto"/>
        </w:rPr>
      </w:pPr>
    </w:p>
    <w:p>
      <w:pPr>
        <w:ind w:left="880" w:hanging="426"/>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bonus awarded for 2018 performance and paid in 2019.</w:t>
      </w:r>
    </w:p>
    <w:p>
      <w:pPr>
        <w:spacing w:after="0" w:line="18" w:lineRule="exact"/>
        <w:rPr>
          <w:rFonts w:ascii="Arial" w:cs="Arial" w:eastAsia="Arial" w:hAnsi="Arial"/>
          <w:sz w:val="16"/>
          <w:szCs w:val="16"/>
          <w:color w:val="auto"/>
        </w:rPr>
      </w:pPr>
    </w:p>
    <w:p>
      <w:pPr>
        <w:ind w:left="880" w:right="579" w:hanging="426"/>
        <w:spacing w:after="0" w:line="281" w:lineRule="auto"/>
        <w:tabs>
          <w:tab w:leader="none" w:pos="871" w:val="left"/>
        </w:tabs>
        <w:numPr>
          <w:ilvl w:val="0"/>
          <w:numId w:val="26"/>
        </w:numPr>
        <w:rPr>
          <w:rFonts w:ascii="Arial" w:cs="Arial" w:eastAsia="Arial" w:hAnsi="Arial"/>
          <w:sz w:val="15"/>
          <w:szCs w:val="15"/>
          <w:color w:val="auto"/>
        </w:rPr>
      </w:pPr>
      <w:r>
        <w:rPr>
          <w:rFonts w:ascii="Arial" w:cs="Arial" w:eastAsia="Arial" w:hAnsi="Arial"/>
          <w:sz w:val="15"/>
          <w:szCs w:val="15"/>
          <w:color w:val="auto"/>
        </w:rPr>
        <w:t>Awards of restricted Common Shares were made in February 2018 with thirty-six (36) month vesting periods and in August 2016 with twelve (12) month vesting periods. The value reported for Stock and Option Awards is the aggregate grant date fair value of options or stock awards granted to the NEOs in the years shown,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10-K for the fiscal year ended December 31, 2018.</w:t>
      </w:r>
    </w:p>
    <w:p>
      <w:pPr>
        <w:spacing w:after="0" w:line="3" w:lineRule="exact"/>
        <w:rPr>
          <w:rFonts w:ascii="Arial" w:cs="Arial" w:eastAsia="Arial" w:hAnsi="Arial"/>
          <w:sz w:val="15"/>
          <w:szCs w:val="15"/>
          <w:color w:val="auto"/>
        </w:rPr>
      </w:pPr>
    </w:p>
    <w:p>
      <w:pPr>
        <w:ind w:left="880" w:hanging="426"/>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bonus awarded for 2017 performance and paid in 2018.</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April 12, 2019, Ms. Eddelson resigned from the Company effective May 3, 2019.</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Equity Compensation Plans &amp; Grants of Plan-Based Awards</w:t>
      </w:r>
    </w:p>
    <w:p>
      <w:pPr>
        <w:spacing w:after="0" w:line="162" w:lineRule="exact"/>
        <w:rPr>
          <w:sz w:val="20"/>
          <w:szCs w:val="20"/>
          <w:color w:val="auto"/>
        </w:rPr>
      </w:pPr>
    </w:p>
    <w:p>
      <w:pPr>
        <w:ind w:left="460" w:right="559" w:firstLine="432"/>
        <w:spacing w:after="0" w:line="293" w:lineRule="auto"/>
        <w:rPr>
          <w:sz w:val="20"/>
          <w:szCs w:val="20"/>
          <w:color w:val="auto"/>
        </w:rPr>
      </w:pPr>
      <w:r>
        <w:rPr>
          <w:rFonts w:ascii="Arial" w:cs="Arial" w:eastAsia="Arial" w:hAnsi="Arial"/>
          <w:sz w:val="16"/>
          <w:szCs w:val="16"/>
          <w:color w:val="auto"/>
        </w:rPr>
        <w:t>On April 27, 2015, the Compensation, Corporate Governance and Nominating Committee and the Board of Directors approved the 2015 Stock Plan, subject to exemptive relief from the SEC and shareholder approval, in order to have increased flexibility to use restricted stock, in addition to stock options, to assist the Company in achieving its objectives with respect to long-term equity incentive compensation. On May 10, 2016, we received an exemptive order from the SEC permitting us to award shares of restricted stock to our employees, officers, and non-employee directors, and on July 27, 2016, our shareholders approved the 2015 Stock Plan.</w:t>
      </w:r>
    </w:p>
    <w:p>
      <w:pPr>
        <w:spacing w:after="0" w:line="97"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Under the 2015 Stock Plan, a maximum of 20% of our total Common Shares issued and outstanding, calculated on a fully diluted basis, will be available for awards under the Amended Stock Plan as of the Annual Meeting date. Up to 10% of our total issued and outstanding Common Shares will be available for grants of restricted Common Shares. We expect to have approximately 20,906,745 Common Shares outstanding on the date of</w:t>
      </w:r>
    </w:p>
    <w:p>
      <w:pPr>
        <w:sectPr>
          <w:pgSz w:w="11900" w:h="16838" w:orient="portrait"/>
          <w:cols w:equalWidth="0" w:num="1">
            <w:col w:w="9019"/>
          </w:cols>
          <w:pgMar w:left="1440" w:top="337"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9" w:name="page30"/>
    <w:bookmarkEnd w:id="29"/>
    <w:p>
      <w:pPr>
        <w:ind w:left="460" w:right="479"/>
        <w:spacing w:after="0" w:line="289" w:lineRule="auto"/>
        <w:rPr>
          <w:sz w:val="20"/>
          <w:szCs w:val="20"/>
          <w:color w:val="auto"/>
        </w:rPr>
      </w:pPr>
      <w:r>
        <w:rPr>
          <w:rFonts w:ascii="Arial" w:cs="Arial" w:eastAsia="Arial" w:hAnsi="Arial"/>
          <w:sz w:val="16"/>
          <w:szCs w:val="16"/>
          <w:color w:val="auto"/>
        </w:rPr>
        <w:t>the Annual Meeting. Therefore, there would be 3.0 million Common Shares available for grant pursuant to the 2015 Stock Plan. None of those shares are currently subject to stock options. Under the 2015 Stock Plan, no more than 50% of the Common Shares reserved for the grant of the awards under the Amended Stock Plan (up to an aggregate of 3,000,000 shares) may be restricted stock awards at any time during the term of the 2015 Stock Plan. To date, the Compensation, Corporate Governance and Nominating Committee has awarded 222,147 restricted Common Shares (net of forfeitures) to 30 employees. Therefore, after including accrued stock dividends and adding back the Common Shares withheld from awards upon vesting to satisfy recipient’s tax withholding obligations, approximately 1.3 million Common Shares would be available for additional grants of restricted Common Shares as of the Annual Meeting date.</w:t>
      </w:r>
    </w:p>
    <w:p>
      <w:pPr>
        <w:spacing w:after="0" w:line="85"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No more than 25% of our Common Shares may be made subject to awards under the plan to any individual. In the event that the Compensation, Corporate Governance and Nominating Committee determines that any corporate event, such as a stock split, dividend or other distribution (including deemed dividends), reorganization, merger, consolidation, repurchase or share exchange, affects our Common Shares such that an adjustment is appropriate in order to prevent dilution or enlargement of the rights of plan participants, then the Corporate Governance and Nominating Committee will make those adjustments as it deems necessary or appropriate to any or all of (i) the number and kind of shares or other property that may thereafter be issued in connection with future awards, (ii) the number and kind of shares or other property that may be issued under outstanding awards, (iii) the exercise price or purchase price of any outstanding award and (iv) the performance goals applicable to outstanding awards.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has no outstanding options under the 2015 Stock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Outstanding Equity Awards at 2019 Year End</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There were 129,714 outstanding equity awards as of December 31, 2019, including dividends paid on the outstanding equity awards in the form of additional restricted Common Shares, of which 102,023 were held by our NEOs.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were no outstanding option awards as of December 31, 2019.</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information regarding outstanding awards of restricted Common Shares held by our Named Executive Officers as of December 31, 2019:</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Incentive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Awards: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Plan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Market or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Awards: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Payout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Market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Value of</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Unearned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 or</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Unearned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 or</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Units of</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Units or</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Shares, Units or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Units that</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Stock that</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Other Rights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Other Rights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have not</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have not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that have not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that have not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Vested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Vested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Vested</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r>
      <w:tr>
        <w:trPr>
          <w:trHeight w:val="253"/>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18"/>
                <w:szCs w:val="18"/>
                <w:b w:val="1"/>
                <w:bCs w:val="1"/>
                <w:color w:val="auto"/>
                <w:w w:val="81"/>
                <w:vertAlign w:val="superscript"/>
              </w:rPr>
              <w:t>(5)</w:t>
            </w:r>
          </w:p>
        </w:tc>
      </w:tr>
      <w:tr>
        <w:trPr>
          <w:trHeight w:val="268"/>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Barry Sloane</w:t>
            </w:r>
            <w:r>
              <w:rPr>
                <w:rFonts w:ascii="Arial" w:cs="Arial" w:eastAsia="Arial" w:hAnsi="Arial"/>
                <w:sz w:val="20"/>
                <w:szCs w:val="20"/>
                <w:color w:val="auto"/>
                <w:vertAlign w:val="superscript"/>
              </w:rPr>
              <w:t>(1)</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58,480</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928,662</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70,793</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1,124,193</w:t>
            </w:r>
          </w:p>
        </w:tc>
      </w:tr>
      <w:tr>
        <w:trPr>
          <w:trHeight w:val="283"/>
        </w:trPr>
        <w:tc>
          <w:tcPr>
            <w:tcW w:w="3120" w:type="dxa"/>
            <w:vAlign w:val="bottom"/>
            <w:gridSpan w:val="2"/>
          </w:tcPr>
          <w:p>
            <w:pPr>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22,962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1,561</w:t>
            </w:r>
          </w:p>
        </w:tc>
        <w:tc>
          <w:tcPr>
            <w:tcW w:w="1280" w:type="dxa"/>
            <w:vAlign w:val="bottom"/>
          </w:tcPr>
          <w:p>
            <w:pPr>
              <w:jc w:val="right"/>
              <w:spacing w:after="0"/>
              <w:rPr>
                <w:sz w:val="20"/>
                <w:szCs w:val="20"/>
                <w:color w:val="auto"/>
              </w:rPr>
            </w:pPr>
            <w:r>
              <w:rPr>
                <w:rFonts w:ascii="Arial" w:cs="Arial" w:eastAsia="Arial" w:hAnsi="Arial"/>
                <w:sz w:val="18"/>
                <w:szCs w:val="18"/>
                <w:color w:val="auto"/>
              </w:rPr>
              <w:t>24,789</w:t>
            </w:r>
          </w:p>
        </w:tc>
      </w:tr>
      <w:tr>
        <w:trPr>
          <w:trHeight w:val="283"/>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r>
              <w:rPr>
                <w:rFonts w:ascii="Arial" w:cs="Arial" w:eastAsia="Arial" w:hAnsi="Arial"/>
                <w:sz w:val="20"/>
                <w:szCs w:val="20"/>
                <w:color w:val="auto"/>
                <w:vertAlign w:val="superscript"/>
              </w:rPr>
              <w:t>(3)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231,912</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277,725</w:t>
            </w:r>
          </w:p>
        </w:tc>
      </w:tr>
      <w:tr>
        <w:trPr>
          <w:trHeight w:val="291"/>
        </w:trPr>
        <w:tc>
          <w:tcPr>
            <w:tcW w:w="3120" w:type="dxa"/>
            <w:vAlign w:val="bottom"/>
            <w:gridSpan w:val="2"/>
          </w:tcPr>
          <w:p>
            <w:pPr>
              <w:spacing w:after="0"/>
              <w:rPr>
                <w:sz w:val="20"/>
                <w:szCs w:val="20"/>
                <w:color w:val="auto"/>
              </w:rPr>
            </w:pPr>
            <w:r>
              <w:rPr>
                <w:rFonts w:ascii="Arial" w:cs="Arial" w:eastAsia="Arial" w:hAnsi="Arial"/>
                <w:sz w:val="18"/>
                <w:szCs w:val="18"/>
                <w:color w:val="auto"/>
              </w:rPr>
              <w:t>Michael A Schwartz</w:t>
            </w:r>
            <w:r>
              <w:rPr>
                <w:rFonts w:ascii="Arial" w:cs="Arial" w:eastAsia="Arial" w:hAnsi="Arial"/>
                <w:sz w:val="20"/>
                <w:szCs w:val="20"/>
                <w:color w:val="auto"/>
                <w:vertAlign w:val="superscript"/>
              </w:rPr>
              <w:t>(4)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162,262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12,180</w:t>
            </w:r>
          </w:p>
        </w:tc>
        <w:tc>
          <w:tcPr>
            <w:tcW w:w="1280" w:type="dxa"/>
            <w:vAlign w:val="bottom"/>
          </w:tcPr>
          <w:p>
            <w:pPr>
              <w:jc w:val="right"/>
              <w:spacing w:after="0"/>
              <w:rPr>
                <w:sz w:val="20"/>
                <w:szCs w:val="20"/>
                <w:color w:val="auto"/>
              </w:rPr>
            </w:pPr>
            <w:r>
              <w:rPr>
                <w:rFonts w:ascii="Arial" w:cs="Arial" w:eastAsia="Arial" w:hAnsi="Arial"/>
                <w:sz w:val="18"/>
                <w:szCs w:val="18"/>
                <w:color w:val="auto"/>
              </w:rPr>
              <w:t>193,418</w:t>
            </w:r>
          </w:p>
        </w:tc>
      </w:tr>
      <w:tr>
        <w:trPr>
          <w:trHeight w:val="243"/>
        </w:trPr>
        <w:tc>
          <w:tcPr>
            <w:tcW w:w="302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185" w:lineRule="exact"/>
        <w:rPr>
          <w:sz w:val="20"/>
          <w:szCs w:val="20"/>
          <w:color w:val="auto"/>
        </w:rPr>
      </w:pPr>
    </w:p>
    <w:p>
      <w:pPr>
        <w:ind w:left="880" w:hanging="426"/>
        <w:spacing w:after="0"/>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Sloane received an award of 58,480 restricted Common Shares in February 2018 with a three-year vesting period.</w:t>
      </w:r>
    </w:p>
    <w:p>
      <w:pPr>
        <w:spacing w:after="0" w:line="45" w:lineRule="exact"/>
        <w:rPr>
          <w:rFonts w:ascii="Arial" w:cs="Arial" w:eastAsia="Arial" w:hAnsi="Arial"/>
          <w:sz w:val="14"/>
          <w:szCs w:val="14"/>
          <w:color w:val="auto"/>
        </w:rPr>
      </w:pPr>
    </w:p>
    <w:p>
      <w:pPr>
        <w:ind w:left="880" w:hanging="426"/>
        <w:spacing w:after="0"/>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Mr. Towers received an award of 1,446 restricted Common Shares in April 2019 with a one year vesting period.</w:t>
      </w:r>
    </w:p>
    <w:p>
      <w:pPr>
        <w:spacing w:after="0" w:line="30" w:lineRule="exact"/>
        <w:rPr>
          <w:rFonts w:ascii="Arial" w:cs="Arial" w:eastAsia="Arial" w:hAnsi="Arial"/>
          <w:sz w:val="15"/>
          <w:szCs w:val="15"/>
          <w:color w:val="auto"/>
        </w:rPr>
      </w:pPr>
    </w:p>
    <w:p>
      <w:pPr>
        <w:ind w:left="880" w:right="499" w:hanging="426"/>
        <w:spacing w:after="0" w:line="281" w:lineRule="auto"/>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Mr. Downs received an award of 13,158 restricted Common Shares in February 2018 with a three-year vesting period and an award of 1,446 restricted Common Shares in April 2019 with a one year vesting period .</w:t>
      </w:r>
    </w:p>
    <w:p>
      <w:pPr>
        <w:spacing w:after="0" w:line="1" w:lineRule="exact"/>
        <w:rPr>
          <w:rFonts w:ascii="Arial" w:cs="Arial" w:eastAsia="Arial" w:hAnsi="Arial"/>
          <w:sz w:val="15"/>
          <w:szCs w:val="15"/>
          <w:color w:val="auto"/>
        </w:rPr>
      </w:pPr>
    </w:p>
    <w:p>
      <w:pPr>
        <w:ind w:left="880" w:right="899" w:hanging="426"/>
        <w:spacing w:after="0" w:line="301" w:lineRule="auto"/>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Schwartz received an award of 8,772 restricted Common Shares in February 2018 with a three-year vesting period and an award of 1,446 restricted Common Shares in April 2019 with a one year vesting period.</w:t>
      </w:r>
    </w:p>
    <w:p>
      <w:pPr>
        <w:spacing w:after="0" w:line="1" w:lineRule="exact"/>
        <w:rPr>
          <w:rFonts w:ascii="Arial" w:cs="Arial" w:eastAsia="Arial" w:hAnsi="Arial"/>
          <w:sz w:val="14"/>
          <w:szCs w:val="14"/>
          <w:color w:val="auto"/>
        </w:rPr>
      </w:pPr>
    </w:p>
    <w:p>
      <w:pPr>
        <w:ind w:left="880" w:hanging="426"/>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the closing price of our Common Shares of $15.88 on April 13, 2020.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u w:val="single" w:color="auto"/>
          <w:color w:val="auto"/>
        </w:rPr>
        <w:t>Options Exercised and Stock Vested</w:t>
      </w:r>
    </w:p>
    <w:p>
      <w:pPr>
        <w:spacing w:after="0" w:line="162"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No options were exercised in 2019. The number of restricted Common Shares held by the NEOs that vested in the fiscal year ended December 31, 2019 are set forth in the table below.</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4"/>
          </w:tcPr>
          <w:p>
            <w:pPr>
              <w:ind w:left="460"/>
              <w:spacing w:after="0"/>
              <w:rPr>
                <w:sz w:val="20"/>
                <w:szCs w:val="20"/>
                <w:color w:val="auto"/>
              </w:rPr>
            </w:pPr>
            <w:r>
              <w:rPr>
                <w:rFonts w:ascii="Arial" w:cs="Arial" w:eastAsia="Arial" w:hAnsi="Arial"/>
                <w:sz w:val="16"/>
                <w:szCs w:val="16"/>
                <w:b w:val="1"/>
                <w:bCs w:val="1"/>
                <w:color w:val="auto"/>
              </w:rPr>
              <w:t>Option Awards</w:t>
            </w:r>
          </w:p>
        </w:tc>
        <w:tc>
          <w:tcPr>
            <w:tcW w:w="2100" w:type="dxa"/>
            <w:vAlign w:val="bottom"/>
            <w:gridSpan w:val="4"/>
          </w:tcPr>
          <w:p>
            <w:pPr>
              <w:ind w:left="580"/>
              <w:spacing w:after="0"/>
              <w:rPr>
                <w:sz w:val="20"/>
                <w:szCs w:val="20"/>
                <w:color w:val="auto"/>
              </w:rPr>
            </w:pPr>
            <w:r>
              <w:rPr>
                <w:rFonts w:ascii="Arial" w:cs="Arial" w:eastAsia="Arial" w:hAnsi="Arial"/>
                <w:sz w:val="16"/>
                <w:szCs w:val="16"/>
                <w:b w:val="1"/>
                <w:bCs w:val="1"/>
                <w:color w:val="auto"/>
              </w:rPr>
              <w:t>Stock Awards</w:t>
            </w:r>
          </w:p>
        </w:tc>
      </w:tr>
      <w:tr>
        <w:trPr>
          <w:trHeight w:val="47"/>
        </w:trPr>
        <w:tc>
          <w:tcPr>
            <w:tcW w:w="3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2"/>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4"/>
              </w:rPr>
              <w:t>Number of</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shares</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Value</w:t>
            </w: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7"/>
                <w:szCs w:val="17"/>
                <w:color w:val="auto"/>
              </w:rPr>
            </w:pPr>
          </w:p>
        </w:tc>
        <w:tc>
          <w:tcPr>
            <w:tcW w:w="920" w:type="dxa"/>
            <w:vAlign w:val="bottom"/>
          </w:tcPr>
          <w:p>
            <w:pPr>
              <w:jc w:val="center"/>
              <w:ind w:right="94"/>
              <w:spacing w:after="0"/>
              <w:rPr>
                <w:sz w:val="20"/>
                <w:szCs w:val="20"/>
                <w:color w:val="auto"/>
              </w:rPr>
            </w:pPr>
            <w:r>
              <w:rPr>
                <w:rFonts w:ascii="Arial" w:cs="Arial" w:eastAsia="Arial" w:hAnsi="Arial"/>
                <w:sz w:val="16"/>
                <w:szCs w:val="16"/>
                <w:b w:val="1"/>
                <w:bCs w:val="1"/>
                <w:color w:val="auto"/>
                <w:w w:val="88"/>
              </w:rPr>
              <w:t>Value</w:t>
            </w: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acquired on</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realized</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Acquired</w:t>
            </w:r>
          </w:p>
        </w:tc>
        <w:tc>
          <w:tcPr>
            <w:tcW w:w="140" w:type="dxa"/>
            <w:vAlign w:val="bottom"/>
          </w:tcPr>
          <w:p>
            <w:pPr>
              <w:spacing w:after="0"/>
              <w:rPr>
                <w:sz w:val="17"/>
                <w:szCs w:val="17"/>
                <w:color w:val="auto"/>
              </w:rPr>
            </w:pPr>
          </w:p>
        </w:tc>
        <w:tc>
          <w:tcPr>
            <w:tcW w:w="92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Realized</w:t>
            </w: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exercise</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on exercise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on Vesting</w:t>
            </w:r>
          </w:p>
        </w:tc>
        <w:tc>
          <w:tcPr>
            <w:tcW w:w="140" w:type="dxa"/>
            <w:vAlign w:val="bottom"/>
          </w:tcPr>
          <w:p>
            <w:pPr>
              <w:spacing w:after="0"/>
              <w:rPr>
                <w:sz w:val="17"/>
                <w:szCs w:val="17"/>
                <w:color w:val="auto"/>
              </w:rPr>
            </w:pPr>
          </w:p>
        </w:tc>
        <w:tc>
          <w:tcPr>
            <w:tcW w:w="920" w:type="dxa"/>
            <w:vAlign w:val="bottom"/>
          </w:tcPr>
          <w:p>
            <w:pPr>
              <w:jc w:val="center"/>
              <w:ind w:right="114"/>
              <w:spacing w:after="0"/>
              <w:rPr>
                <w:sz w:val="20"/>
                <w:szCs w:val="20"/>
                <w:color w:val="auto"/>
              </w:rPr>
            </w:pPr>
            <w:r>
              <w:rPr>
                <w:rFonts w:ascii="Arial" w:cs="Arial" w:eastAsia="Arial" w:hAnsi="Arial"/>
                <w:sz w:val="16"/>
                <w:szCs w:val="16"/>
                <w:b w:val="1"/>
                <w:bCs w:val="1"/>
                <w:color w:val="auto"/>
                <w:w w:val="87"/>
              </w:rPr>
              <w:t>on Vesting</w:t>
            </w:r>
          </w:p>
        </w:tc>
      </w:tr>
      <w:tr>
        <w:trPr>
          <w:trHeight w:val="210"/>
        </w:trPr>
        <w:tc>
          <w:tcPr>
            <w:tcW w:w="39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w:t>
            </w:r>
          </w:p>
        </w:tc>
      </w:tr>
      <w:tr>
        <w:trPr>
          <w:trHeight w:val="46"/>
        </w:trPr>
        <w:tc>
          <w:tcPr>
            <w:tcW w:w="3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Barry Sloane</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Christopher Towers</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r>
      <w:tr>
        <w:trPr>
          <w:trHeight w:val="41"/>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Michael Schwartz</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r>
      <w:tr>
        <w:trPr>
          <w:trHeight w:val="40"/>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Eddelson</w:t>
            </w:r>
            <w:r>
              <w:rPr>
                <w:rFonts w:ascii="Arial" w:cs="Arial" w:eastAsia="Arial" w:hAnsi="Arial"/>
                <w:sz w:val="20"/>
                <w:szCs w:val="20"/>
                <w:color w:val="auto"/>
                <w:vertAlign w:val="superscript"/>
              </w:rPr>
              <w:t>(1)</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hanging="426"/>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April 12, 2019, Ms. Eddelson resigned from the Company effective May 3, 2019.</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Employment Agreements</w:t>
      </w:r>
    </w:p>
    <w:p>
      <w:pPr>
        <w:spacing w:after="0" w:line="162"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Company entered into separate employment agreements with the following NEOs during 2019 (each, an “Employment Agreement”):</w:t>
      </w:r>
    </w:p>
    <w:p>
      <w:pPr>
        <w:spacing w:after="0" w:line="103" w:lineRule="exact"/>
        <w:rPr>
          <w:sz w:val="20"/>
          <w:szCs w:val="20"/>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Barry Sloane, as Chairman, Chief Executive Officer and President;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Jennifer Eddelson, as Executive Vice President and Chief Accounting Officer;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Downs, as Chief Lending Officer and President of Newtek Small Business Finance, LLC;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Michael Schwartz, as Chief Legal Officer, Chief Compliance Officer and Secretary.</w:t>
      </w:r>
    </w:p>
    <w:p>
      <w:pPr>
        <w:spacing w:after="0" w:line="144"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Mr. Sloane’s, Mr. Down’s and Mr. Schwartz’s employment agreements were renewed as of March 15, 2020 for terms through March 31, 2021, at annual base salaries of $700,000, $550,000 and $360,000, respectively. Ms. Eddelson resigned from the Company effective May 3, 2019. Aside from base salaries, the other terms and provisions of the employment agreements remained substantially the same.</w:t>
      </w:r>
    </w:p>
    <w:p>
      <w:pPr>
        <w:spacing w:after="0" w:line="90"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Generally, under the Employment Agreements, Messrs. Sloane, Schwartz and Downs were entitled to a set base compensation, cash bonuses pursuant to the Company’s Annual Cash Bonus Plan or by the action of the board of directors, and incentive compensation at the discretion of the Compensation, Corporate Governance and Nominating Committee. In addition, Messrs. Sloane, Schwartz and Downs are entitled to other benefits, such as participation in retirement and medical and other plans, executive benefits, and vacation and sick leave. The Employment Agreements also provide for severance payments in the case of termination without just cause, as defined therein, or of resignation with good reason, as defined therein, and payment if their employment agreements are not renewed for other than just cause. Under the Employment Agreements, during the term of their employment, Messrs. Schwartz, Downs and Sloane agree to devote substantially all of their business time to the Company and to not engage in any business or activity contrary to the business or affairs of the Company. The Company agrees to indemnify Messrs. Downs, Schwartz and Sloane for any and all loss, expenses, or liability that he or she may incur as a result of his or her services for the Company to the extent permitted by the Company’s Bylaws.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Mr. Sloane’s Employment Agreement provided for:</w:t>
      </w:r>
    </w:p>
    <w:p>
      <w:pPr>
        <w:spacing w:after="0" w:line="144" w:lineRule="exact"/>
        <w:rPr>
          <w:sz w:val="20"/>
          <w:szCs w:val="20"/>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twelve-month term through March 31, 2020 at an annual base salary of $700,000;</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1" w:name="page32"/>
    <w:bookmarkEnd w:id="31"/>
    <w:p>
      <w:pPr>
        <w:ind w:left="880"/>
        <w:spacing w:after="0"/>
        <w:rPr>
          <w:sz w:val="20"/>
          <w:szCs w:val="20"/>
          <w:color w:val="auto"/>
        </w:rPr>
      </w:pPr>
      <w:r>
        <w:rPr>
          <w:rFonts w:ascii="Arial" w:cs="Arial" w:eastAsia="Arial" w:hAnsi="Arial"/>
          <w:sz w:val="18"/>
          <w:szCs w:val="18"/>
          <w:color w:val="auto"/>
        </w:rPr>
        <w:t>Mr. Downs’ Employment Agreement provided for:</w:t>
      </w:r>
    </w:p>
    <w:p>
      <w:pPr>
        <w:spacing w:after="0" w:line="144" w:lineRule="exact"/>
        <w:rPr>
          <w:sz w:val="20"/>
          <w:szCs w:val="20"/>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twelve-month term through March 31, 2020 at an annual base salary of $500,000;</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44" w:lineRule="exact"/>
        <w:rPr>
          <w:rFonts w:ascii="Arial" w:cs="Arial" w:eastAsia="Arial" w:hAnsi="Arial"/>
          <w:sz w:val="18"/>
          <w:szCs w:val="18"/>
          <w:color w:val="auto"/>
        </w:rPr>
      </w:pPr>
    </w:p>
    <w:p>
      <w:pPr>
        <w:ind w:left="880" w:right="1899" w:firstLine="6"/>
        <w:spacing w:after="0" w:line="422" w:lineRule="auto"/>
        <w:tabs>
          <w:tab w:leader="none" w:pos="13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Schwartz’s Employment Agreement provided for:</w:t>
      </w:r>
    </w:p>
    <w:p>
      <w:pPr>
        <w:spacing w:after="0" w:line="1"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twelve-month term through March 31, 2020 at an annual base salary of $335,000;</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upon Change of Control, Non-renewal or Termination</w:t>
      </w:r>
    </w:p>
    <w:p>
      <w:pPr>
        <w:spacing w:after="0" w:line="14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Mr. Sloane’s Employment Agreement provided for a payment in the event of non-renewal of his employment in an amount equal to one (1.0) times the sum of his annual base compensation plus any cash bonus or other incentive compensation paid in the immediately preceding fiscal year, or in the case of a change of control or termination other than for just cause, an amount equal to two (2) times the sum of the executive’s annual base salary in effect at the time of termination, plus the amount of any incentive compensation paid with respect to the immediately preceding fiscal year. In addition, in the case of termination other than for just cause, all outstanding and unvested equity awards are to be accelerated in full.</w:t>
      </w:r>
    </w:p>
    <w:p>
      <w:pPr>
        <w:spacing w:after="0" w:line="9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Messrs. Downs’ and Schwartz’ Employment Agreements provided for a payment in the case of termination other than for just cause or a change in control, equal to one (1.0) times the sum of the executive’s current annual base compensation plus any cash bonuses or other incentive compensation paid in the prior year. In addition, in the case of termination other than for cause, all outstanding and unvested equity awards are to be accelerated in full. In addition, in the event of non-renewal of their employment agreements, Messrs. Downs and Schwartz would be entitled to amounts equal to 50% of the sum of their respective current annual base compensation plus any cash bonus or other incentive compensation paid in the immediately preceding fiscal year.</w:t>
      </w:r>
    </w:p>
    <w:p>
      <w:pPr>
        <w:spacing w:after="0" w:line="124"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Each Employment Agreement contained a non-competition provision that requires the employee to devote substantially his full business time and efforts to the performance of the employee’s duties under the agreement.</w:t>
      </w:r>
    </w:p>
    <w:p>
      <w:pPr>
        <w:spacing w:after="0" w:line="43"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The employees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19"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Under each of the Employment Agreements, the Company may terminate the employee’s employment for “just cause” as defined in the agreement, and upon the termination, no severance benefits are available. If the employee voluntarily terminates his or her employment for “good reason” as defined in the agreement, the employee is entitled to the same payment as in the case of termination other than for cause. If the employee’s employment terminates during the term of the agreement due to death, disability, or retirement after age 62, the employee shall receive only his or her compensation, vested rights, and executive benefits up to the date of executive’s last day of employment. The employee is able to terminate voluntarily his or her agreement by providing 60 days written notice to the Board of Directors, in which case the employee is entitled to receive only his or her compensation, vested rights and benefits up to the date of termination.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b w:val="1"/>
          <w:bCs w:val="1"/>
          <w:color w:val="auto"/>
        </w:rPr>
        <w:t>Post Termination Payments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table below reflects the amount of compensation that would have been payable to the executive officers under these arrangements if the hypothetical termination of employment events described above had occurred on December 31, 2019, given their compensation and service levels as of such date. All payments are payable by the Company in a lump sum unless otherwise noted.</w:t>
      </w:r>
    </w:p>
    <w:p>
      <w:pPr>
        <w:spacing w:after="0" w:line="106"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Compensation, Corporate Governance and Nominating Committee deems appropriate.</w:t>
      </w:r>
    </w:p>
    <w:p>
      <w:pPr>
        <w:spacing w:after="0" w:line="9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actual amounts that would be paid upon Mr. Sloane’s termination of employment can be determined only at the time of his separation from the Company.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8"/>
          </w:tcPr>
          <w:p>
            <w:pPr>
              <w:ind w:left="740"/>
              <w:spacing w:after="0"/>
              <w:rPr>
                <w:sz w:val="20"/>
                <w:szCs w:val="20"/>
                <w:color w:val="auto"/>
              </w:rPr>
            </w:pPr>
            <w:r>
              <w:rPr>
                <w:rFonts w:ascii="Arial" w:cs="Arial" w:eastAsia="Arial" w:hAnsi="Arial"/>
                <w:sz w:val="16"/>
                <w:szCs w:val="16"/>
                <w:b w:val="1"/>
                <w:bCs w:val="1"/>
                <w:color w:val="auto"/>
              </w:rPr>
              <w:t>Post Termination Payments</w:t>
            </w:r>
          </w:p>
        </w:tc>
        <w:tc>
          <w:tcPr>
            <w:tcW w:w="0" w:type="dxa"/>
            <w:vAlign w:val="bottom"/>
          </w:tcPr>
          <w:p>
            <w:pPr>
              <w:spacing w:after="0"/>
              <w:rPr>
                <w:sz w:val="1"/>
                <w:szCs w:val="1"/>
                <w:color w:val="auto"/>
              </w:rPr>
            </w:pPr>
          </w:p>
        </w:tc>
      </w:tr>
      <w:tr>
        <w:trPr>
          <w:trHeight w:val="47"/>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340"/>
              <w:spacing w:after="0" w:line="182" w:lineRule="exact"/>
              <w:rPr>
                <w:sz w:val="20"/>
                <w:szCs w:val="20"/>
                <w:color w:val="auto"/>
              </w:rPr>
            </w:pPr>
            <w:r>
              <w:rPr>
                <w:rFonts w:ascii="Arial" w:cs="Arial" w:eastAsia="Arial" w:hAnsi="Arial"/>
                <w:sz w:val="16"/>
                <w:szCs w:val="16"/>
                <w:b w:val="1"/>
                <w:bCs w:val="1"/>
                <w:color w:val="auto"/>
                <w:w w:val="90"/>
              </w:rPr>
              <w:t>Change in</w:t>
            </w:r>
          </w:p>
        </w:tc>
        <w:tc>
          <w:tcPr>
            <w:tcW w:w="200" w:type="dxa"/>
            <w:vAlign w:val="bottom"/>
          </w:tcPr>
          <w:p>
            <w:pPr>
              <w:spacing w:after="0"/>
              <w:rPr>
                <w:sz w:val="15"/>
                <w:szCs w:val="15"/>
                <w:color w:val="auto"/>
              </w:rPr>
            </w:pPr>
          </w:p>
        </w:tc>
        <w:tc>
          <w:tcPr>
            <w:tcW w:w="102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5"/>
                <w:szCs w:val="15"/>
                <w:color w:val="auto"/>
              </w:rPr>
            </w:pPr>
          </w:p>
        </w:tc>
        <w:tc>
          <w:tcPr>
            <w:tcW w:w="1120" w:type="dxa"/>
            <w:vAlign w:val="bottom"/>
          </w:tcPr>
          <w:p>
            <w:pPr>
              <w:jc w:val="center"/>
              <w:ind w:right="114"/>
              <w:spacing w:after="0" w:line="182" w:lineRule="exact"/>
              <w:rPr>
                <w:sz w:val="20"/>
                <w:szCs w:val="20"/>
                <w:color w:val="auto"/>
              </w:rPr>
            </w:pPr>
            <w:r>
              <w:rPr>
                <w:rFonts w:ascii="Arial" w:cs="Arial" w:eastAsia="Arial" w:hAnsi="Arial"/>
                <w:sz w:val="16"/>
                <w:szCs w:val="16"/>
                <w:b w:val="1"/>
                <w:bCs w:val="1"/>
                <w:color w:val="auto"/>
                <w:w w:val="91"/>
              </w:rPr>
              <w:t>Termination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Control</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Renewal</w:t>
            </w:r>
          </w:p>
        </w:tc>
        <w:tc>
          <w:tcPr>
            <w:tcW w:w="16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without cause</w:t>
            </w:r>
          </w:p>
        </w:tc>
        <w:tc>
          <w:tcPr>
            <w:tcW w:w="0" w:type="dxa"/>
            <w:vAlign w:val="bottom"/>
          </w:tcPr>
          <w:p>
            <w:pPr>
              <w:spacing w:after="0"/>
              <w:rPr>
                <w:sz w:val="1"/>
                <w:szCs w:val="1"/>
                <w:color w:val="auto"/>
              </w:rPr>
            </w:pP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2019 NEOs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2,600,000</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Michael Schwartz</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255,000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510,000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did not have any nonqualified deferred compensation in the year ended December 31,</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Pension Benefits</w:t>
      </w:r>
    </w:p>
    <w:p>
      <w:pPr>
        <w:spacing w:after="0" w:line="162"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The Company had no obligation under pension benefit plans to the Named Executive Officers as of December 31, 2019.</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44"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with the exception of Mr. Sloane,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58"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Beginning on January 1, 2006, the Company began accounting for stock-based payments under its three incentive stock plans in accordance with the requirements of ASC Topic — 718.</w:t>
      </w:r>
    </w:p>
    <w:p>
      <w:pPr>
        <w:spacing w:after="0" w:line="99" w:lineRule="exact"/>
        <w:rPr>
          <w:sz w:val="20"/>
          <w:szCs w:val="20"/>
          <w:color w:val="auto"/>
        </w:rPr>
      </w:pPr>
    </w:p>
    <w:p>
      <w:pPr>
        <w:ind w:left="460" w:right="559" w:firstLine="432"/>
        <w:spacing w:after="0" w:line="266" w:lineRule="auto"/>
        <w:rPr>
          <w:sz w:val="20"/>
          <w:szCs w:val="20"/>
          <w:color w:val="auto"/>
        </w:rPr>
      </w:pPr>
      <w:r>
        <w:rPr>
          <w:rFonts w:ascii="Arial" w:cs="Arial" w:eastAsia="Arial" w:hAnsi="Arial"/>
          <w:sz w:val="18"/>
          <w:szCs w:val="18"/>
          <w:b w:val="1"/>
          <w:bCs w:val="1"/>
          <w:color w:val="auto"/>
        </w:rPr>
        <w:t>THE BOARD BELIEVES THAT A VOTE FOR THE PROPOSAL TO ELECT ONE DIRECTOR OF THE COMPANY AS DESCRIBED ABOVE IS IN THE BEST INTEREST OF OUR SHAREHOLDERS AND RECOMMENDS A VOTE “FOR” SUCH PROPOSAL.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PROPOSAL II — RATIFICATION OF INDEPENDENT AUDITORS</w:t>
      </w:r>
    </w:p>
    <w:p>
      <w:pPr>
        <w:spacing w:after="0" w:line="162"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The Audit Committee of the Board of Directors, and our non-interested directors, has reappointed RSM as our independent accountants to audit our consolidated financial statements for the fiscal year ending December 31, 2020, and the Audit Committee has asked that this selection be ratified by our shareholders.</w:t>
      </w:r>
    </w:p>
    <w:p>
      <w:pPr>
        <w:spacing w:after="0" w:line="6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304(a)(1)(iv) or 304(a)(1)(v), respectively, of Regulation S-K promulgated under the Exchange Act. RSM has advised us that neither the firm nor any present member or associate of it has any material financial interest, direct or indirect, in us or our affiliates.</w:t>
      </w:r>
    </w:p>
    <w:p>
      <w:pPr>
        <w:spacing w:after="0" w:line="127" w:lineRule="exact"/>
        <w:rPr>
          <w:sz w:val="20"/>
          <w:szCs w:val="20"/>
          <w:color w:val="auto"/>
        </w:rPr>
      </w:pPr>
    </w:p>
    <w:p>
      <w:pPr>
        <w:ind w:left="460" w:right="539" w:firstLine="432"/>
        <w:spacing w:after="0" w:line="308" w:lineRule="auto"/>
        <w:rPr>
          <w:sz w:val="20"/>
          <w:szCs w:val="20"/>
          <w:color w:val="auto"/>
        </w:rPr>
      </w:pPr>
      <w:r>
        <w:rPr>
          <w:rFonts w:ascii="Arial" w:cs="Arial" w:eastAsia="Arial" w:hAnsi="Arial"/>
          <w:sz w:val="17"/>
          <w:szCs w:val="17"/>
          <w:color w:val="auto"/>
        </w:rPr>
        <w:t>Representatives of RSM are expected to be present at the Annual Meeting. They will have an opportunity to make a statement if they so desire and will be available to respond to appropriate questions.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ratification of the selection of RSM as our independent accountants for the fiscal year ending December 31, 2020 will require the affirmative vote of the holders of a majority of the outstanding Common Shares voted at the Annual Meeting, electronically via the live webcast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2020, but the Audit Committee is not bound by the outcome of the vote.</w:t>
      </w:r>
    </w:p>
    <w:p>
      <w:pPr>
        <w:spacing w:after="0" w:line="92"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7"/>
          <w:szCs w:val="17"/>
          <w:b w:val="1"/>
          <w:bCs w:val="1"/>
          <w:color w:val="auto"/>
        </w:rPr>
        <w:t>THE BOARD BELIEVES THAT A VOTE FOR THE PROPOSAL TO RATIFY THE SELECTION OF THE INDEPENDENT AUDITORS AS DESCRIBED ABOVE IS IN THE BEST INTERESTS OF OUR SHAREHOLDERS AND RECOMMENDS A VOTE “FOR” SUCH PROPOSAL</w:t>
      </w:r>
      <w:r>
        <w:rPr>
          <w:rFonts w:ascii="Arial" w:cs="Arial" w:eastAsia="Arial" w:hAnsi="Arial"/>
          <w:sz w:val="17"/>
          <w:szCs w:val="17"/>
          <w:color w:val="auto"/>
        </w:rPr>
        <w: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Fees and Services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Fees for professional services rendered to the Company by RSM during the fiscal year ended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2019 were as follows (in thousands):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Audit related fees</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6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All other fees</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0"/>
        </w:trPr>
        <w:tc>
          <w:tcPr>
            <w:tcW w:w="6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Fees for professional services rendered to the Company by RSM during the fiscal year ended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2018 were as follows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Audit related fees</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6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All other fees</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0"/>
        </w:trPr>
        <w:tc>
          <w:tcPr>
            <w:tcW w:w="6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audit fees for the fiscal years ended December 31, 2019 and 2018 were for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rendered in connection with the audits of the Company’s annual financial statements, assistance with review of documents filed with the SEC, consents and other services required to be performed by our independent registered public accounting firm.</w:t>
      </w:r>
    </w:p>
    <w:p>
      <w:pPr>
        <w:spacing w:after="0" w:line="119" w:lineRule="exact"/>
        <w:rPr>
          <w:sz w:val="20"/>
          <w:szCs w:val="20"/>
          <w:color w:val="auto"/>
        </w:rPr>
      </w:pPr>
    </w:p>
    <w:p>
      <w:pPr>
        <w:ind w:left="460" w:right="939" w:firstLine="432"/>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All other fees billed to the Company by RSM during the fiscal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and 2018 for non-audit services and assurance and related services for attestations not required by law.</w:t>
      </w:r>
    </w:p>
    <w:p>
      <w:pPr>
        <w:spacing w:after="0" w:line="103"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were for professional services rendered in connection with tax compliance, tax</w:t>
      </w:r>
      <w:r>
        <w:rPr>
          <w:rFonts w:ascii="Arial" w:cs="Arial" w:eastAsia="Arial" w:hAnsi="Arial"/>
          <w:sz w:val="18"/>
          <w:szCs w:val="18"/>
          <w:i w:val="1"/>
          <w:iCs w:val="1"/>
          <w:color w:val="auto"/>
        </w:rPr>
        <w:t xml:space="preserve"> </w:t>
      </w:r>
      <w:r>
        <w:rPr>
          <w:rFonts w:ascii="Arial" w:cs="Arial" w:eastAsia="Arial" w:hAnsi="Arial"/>
          <w:sz w:val="18"/>
          <w:szCs w:val="18"/>
          <w:color w:val="auto"/>
        </w:rPr>
        <w:t>advice, and tax planning.</w:t>
      </w:r>
    </w:p>
    <w:p>
      <w:pPr>
        <w:spacing w:after="0" w:line="103"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Non-audit related services billed by RSM were primarily related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Form N-2 and other SEC filings.</w:t>
      </w:r>
    </w:p>
    <w:p>
      <w:pPr>
        <w:spacing w:after="0" w:line="10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 accordance with the Audit Committee Charter, all of the foregoing audit and non-audit fees paid to, and the related services provided by, RSM were pre-approved by the Audit Committee after consulting with the Company’s Chief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6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2019, the Audit Committee convened 4 times to discuss with management and the independent auditors their respective accounting, auditing and financial reporting responsibilities with respect to the fiscal years 2019 and 2019.</w:t>
      </w:r>
    </w:p>
    <w:p>
      <w:pPr>
        <w:spacing w:after="0" w:line="97"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connection with the December 31, 2019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Arial" w:cs="Arial" w:eastAsia="Arial" w:hAnsi="Arial"/>
          <w:sz w:val="16"/>
          <w:szCs w:val="16"/>
          <w:i w:val="1"/>
          <w:iCs w:val="1"/>
          <w:color w:val="auto"/>
        </w:rPr>
        <w:t>Communication with Audit Committees Concerning</w:t>
      </w:r>
      <w:r>
        <w:rPr>
          <w:rFonts w:ascii="Arial" w:cs="Arial" w:eastAsia="Arial" w:hAnsi="Arial"/>
          <w:sz w:val="16"/>
          <w:szCs w:val="16"/>
          <w:color w:val="auto"/>
        </w:rPr>
        <w:t xml:space="preserve"> </w:t>
      </w:r>
      <w:r>
        <w:rPr>
          <w:rFonts w:ascii="Arial" w:cs="Arial" w:eastAsia="Arial" w:hAnsi="Arial"/>
          <w:sz w:val="16"/>
          <w:szCs w:val="16"/>
          <w:i w:val="1"/>
          <w:iCs w:val="1"/>
          <w:color w:val="auto"/>
        </w:rPr>
        <w:t>Independence</w:t>
      </w:r>
      <w:r>
        <w:rPr>
          <w:rFonts w:ascii="Arial" w:cs="Arial" w:eastAsia="Arial" w:hAnsi="Arial"/>
          <w:sz w:val="16"/>
          <w:szCs w:val="16"/>
          <w:color w:val="auto"/>
        </w:rPr>
        <w:t>. In discharging these oversight responsibilities as to the audit process,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03"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2019,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2019, for filing with the Securities and Exchange Commission.</w:t>
      </w:r>
    </w:p>
    <w:p>
      <w:pPr>
        <w:spacing w:after="0" w:line="181"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Date: April 29 2020</w:t>
      </w:r>
      <w:r>
        <w:rPr>
          <w:sz w:val="20"/>
          <w:szCs w:val="20"/>
          <w:color w:val="auto"/>
        </w:rPr>
        <w:tab/>
      </w:r>
      <w:r>
        <w:rPr>
          <w:rFonts w:ascii="Arial" w:cs="Arial" w:eastAsia="Arial" w:hAnsi="Arial"/>
          <w:sz w:val="16"/>
          <w:szCs w:val="16"/>
          <w:color w:val="auto"/>
        </w:rPr>
        <w:t>Respectfully submitted,</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Richard Salute, Chairman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Salvatore Mulia</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Gregory Zink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PROPOSAL III — ADVISORY VOTE ON COMPENSATION OF NAMED EXECUTIVE OFFICERS</w:t>
      </w:r>
    </w:p>
    <w:p>
      <w:pPr>
        <w:spacing w:after="0" w:line="162"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Pursuant to the SEC rules adopted under the Dodd-Frank Act, we are conducting a shareholder advisory vote on the compensation paid to our named executive officers. Although the vote is advisory and is not binding on the Board of Directors, the Company or the Compensation, Corporate Governance and Nominating Committee, the Compensation, Corporate Governance and Nominating Committee will take into account the outcome of the vote when considering future executive compensation decisions.</w:t>
      </w:r>
    </w:p>
    <w:p>
      <w:pPr>
        <w:spacing w:after="0" w:line="9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25" w:lineRule="exact"/>
        <w:rPr>
          <w:sz w:val="20"/>
          <w:szCs w:val="20"/>
          <w:color w:val="auto"/>
        </w:rPr>
      </w:pPr>
    </w:p>
    <w:p>
      <w:pPr>
        <w:jc w:val="both"/>
        <w:ind w:left="460" w:right="559" w:firstLine="432"/>
        <w:spacing w:after="0" w:line="259" w:lineRule="auto"/>
        <w:rPr>
          <w:sz w:val="20"/>
          <w:szCs w:val="20"/>
          <w:color w:val="auto"/>
        </w:rPr>
      </w:pPr>
      <w:r>
        <w:rPr>
          <w:rFonts w:ascii="Arial" w:cs="Arial" w:eastAsia="Arial" w:hAnsi="Arial"/>
          <w:sz w:val="18"/>
          <w:szCs w:val="18"/>
          <w:color w:val="auto"/>
        </w:rPr>
        <w:t>At our 2019 Annual Meeting, we provided our shareholders with the opportunity to cast an advisory vote on say-on-pay with respect to the NEO compensation disclosed in our proxy statement. Approximately ninety-four percent of the votes cast by our shareholders were in favor of our advisory vote on say-on-pay at the 2019 Annual Meeting.</w:t>
      </w:r>
    </w:p>
    <w:p>
      <w:pPr>
        <w:spacing w:after="0" w:line="119"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80" w:lineRule="exact"/>
        <w:rPr>
          <w:sz w:val="20"/>
          <w:szCs w:val="20"/>
          <w:color w:val="auto"/>
        </w:rPr>
      </w:pPr>
    </w:p>
    <w:p>
      <w:pPr>
        <w:ind w:left="460" w:right="959" w:firstLine="432"/>
        <w:spacing w:after="0" w:line="277" w:lineRule="auto"/>
        <w:rPr>
          <w:sz w:val="20"/>
          <w:szCs w:val="20"/>
          <w:color w:val="auto"/>
        </w:rPr>
      </w:pPr>
      <w:r>
        <w:rPr>
          <w:rFonts w:ascii="Arial" w:cs="Arial" w:eastAsia="Arial" w:hAnsi="Arial"/>
          <w:sz w:val="18"/>
          <w:szCs w:val="18"/>
          <w:color w:val="auto"/>
        </w:rPr>
        <w:t>You are encouraged to read the detailed information under “Executive Compensation” of this Proxy Statement for additional details about our executive compensation programs.</w:t>
      </w:r>
    </w:p>
    <w:p>
      <w:pPr>
        <w:spacing w:after="0" w:line="103"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The Board of Directors strongly endorses the Company’s executive compensation program and recommends that shareholders vote in favor of the following resolution:</w:t>
      </w:r>
    </w:p>
    <w:p>
      <w:pPr>
        <w:spacing w:after="0" w:line="103"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RESOLVED, that the shareholders of Newtek Business Services Corp. hereby approve on an advisory basis, the compensation paid to the Company’s Named Executive Officers, as disclosed pursuant to Item 402 of Regulation S-K to the Company’s Proxy Statement for the 2020 Annual Meeting of Shareholders, including the Compensation Discussion and Analysis compensation tables and narrative discussion.</w:t>
      </w:r>
    </w:p>
    <w:p>
      <w:pPr>
        <w:spacing w:after="0" w:line="72" w:lineRule="exact"/>
        <w:rPr>
          <w:sz w:val="20"/>
          <w:szCs w:val="20"/>
          <w:color w:val="auto"/>
        </w:rPr>
      </w:pPr>
    </w:p>
    <w:p>
      <w:pPr>
        <w:ind w:left="460" w:right="599" w:firstLine="432"/>
        <w:spacing w:after="0" w:line="266" w:lineRule="auto"/>
        <w:rPr>
          <w:sz w:val="20"/>
          <w:szCs w:val="20"/>
          <w:color w:val="auto"/>
        </w:rPr>
      </w:pPr>
      <w:r>
        <w:rPr>
          <w:rFonts w:ascii="Arial" w:cs="Arial" w:eastAsia="Arial" w:hAnsi="Arial"/>
          <w:sz w:val="18"/>
          <w:szCs w:val="18"/>
          <w:b w:val="1"/>
          <w:bCs w:val="1"/>
          <w:color w:val="auto"/>
        </w:rPr>
        <w:t>THE BOARD OF DIRECTORS RECOMMENDS THAT SHAREHOLDERS VOTE “FOR” THE APPROVAL OF THE RESOLUTION RELATED TO COMPENSATION OF NAMED EXECUTIVE OFFICERS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TO BE HELD ON JUNE 12, 2020</w:t>
      </w:r>
    </w:p>
    <w:p>
      <w:pPr>
        <w:spacing w:after="0" w:line="130"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 xml:space="preserve">The Proxy Statement and Annual Report for the year ended December 31, 2019 are available at the special website: </w:t>
      </w:r>
      <w:r>
        <w:rPr>
          <w:rFonts w:ascii="Arial" w:cs="Arial" w:eastAsia="Arial" w:hAnsi="Arial"/>
          <w:sz w:val="18"/>
          <w:szCs w:val="18"/>
          <w:i w:val="1"/>
          <w:iCs w:val="1"/>
          <w:color w:val="auto"/>
        </w:rPr>
        <w:t>http://www.astproxyportal.com/ast/19720.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at 100 F Street, N.E., Washington, D.C. 20549. You may read and copy any reports, statements or other information we file at the SEC’s Public Reference Room in Washington, D.C. 20549. Please call the SEC at (800) SEC-0330 for further information on the Public Reference Room. Our SEC filings are also available to the public from commercial document retrieval services and on the web 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Such information will also be furnished upon written request to Newtek Business Services Corp., 1981 Marcus Avenue, Suite 130, Lake Success, New York 11042, Attention: Corporate Secretary, and can also be accessed through our website at </w:t>
      </w:r>
      <w:r>
        <w:rPr>
          <w:rFonts w:ascii="Arial" w:cs="Arial" w:eastAsia="Arial" w:hAnsi="Arial"/>
          <w:sz w:val="17"/>
          <w:szCs w:val="17"/>
          <w:i w:val="1"/>
          <w:iCs w:val="1"/>
          <w:color w:val="auto"/>
        </w:rPr>
        <w:t>www.newtekone.com</w:t>
      </w:r>
      <w:r>
        <w:rPr>
          <w:rFonts w:ascii="Arial" w:cs="Arial" w:eastAsia="Arial" w:hAnsi="Arial"/>
          <w:sz w:val="17"/>
          <w:szCs w:val="17"/>
          <w:color w:val="auto"/>
        </w:rPr>
        <w:t>.</w:t>
      </w:r>
    </w:p>
    <w:p>
      <w:pPr>
        <w:spacing w:after="0" w:line="111"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OF PROXIES</w:t>
      </w:r>
    </w:p>
    <w:p>
      <w:pPr>
        <w:spacing w:after="0" w:line="148"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107"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The Company expects that the 2020 Annual Meeting of Shareholders will be held on or about June 12, 2020, but the exact date, time, and location of such meeting may change. A shareholder who intends to present a proposal at the 2020 Annual Meeting of Shareholders pursuant to the SEC’s Rule 14a-8 must submit the proposal in writing to the Corporate Secretary of the Company at 1981 Marcus Avenue, Suite 130, Lake Success, New York 11042. The Company must receive the proposal no later than January 13, 2021, in order for the proposal to be considered for inclusion in the Company’s proxy statement for that meeting. The submission of a proposal does not guarantee its inclusion in the Company’s proxy statement or presentation at the meeting.</w:t>
      </w:r>
    </w:p>
    <w:p>
      <w:pPr>
        <w:spacing w:after="0" w:line="99"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6"/>
          <w:szCs w:val="16"/>
          <w:color w:val="auto"/>
        </w:rPr>
        <w:t>Shareholder proposals or director nominations to be presented at the 2020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date of this proxy statement nor later than 5:00 p.m., Eastern Time, on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first anniversary of the date of this proxy statement. As a result, for the Company’s 2021 Annual Meeting of Shareholders, a shareholder’s notice pursuant to these provisions of our bylaws must be received no earlier than December 14, 2020 and no later than 5:00 p.m., Eastern Time, on January 13, 2021; provided, however, that in the event that the date of the 2021 Annual Meeting of Shareholders is advanced or delayed by more than 30 days from the first anniversary of this Annual Meeting, notice by the shareholder to be timely must be so delivered not earlier than the 150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date of the 2021 Annual Meeting of Shareholders and not later than 5:00 p.m., Eastern Time, on the later of the 120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prior to the date of the 2021 Annual Meeting of Shareholders, as originally convened, or the tenth day following the day on which public announcement of the date of the 2021 Annual Meeting of Shareholders is first made. The public announcement of a postponement or adjournment of an annual meeting shall not commence a new time period for the giving of a shareholder’s notice.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order of the Board of Directors,</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48895</wp:posOffset>
            </wp:positionV>
            <wp:extent cx="25717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A. Schwartz, Corporate Secretary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2600960</wp:posOffset>
            </wp:positionV>
            <wp:extent cx="5143500" cy="5220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66782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6678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183515</wp:posOffset>
            </wp:positionV>
            <wp:extent cx="5143500" cy="637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637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S"/>
      <w:numFmt w:val="bullet"/>
      <w:start w:val="1"/>
    </w:lvl>
  </w:abstractNum>
  <w:abstractNum w:abstractNumId="2">
    <w:nsid w:val="25E45D32"/>
    <w:multiLevelType w:val="hybridMultilevel"/>
    <w:lvl w:ilvl="0">
      <w:lvlJc w:val="left"/>
      <w:lvlText w:val="£"/>
      <w:numFmt w:val="bullet"/>
      <w:start w:val="1"/>
    </w:lvl>
    <w:lvl w:ilvl="1">
      <w:lvlJc w:val="left"/>
      <w:lvlText w:val="(%2)"/>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2020-04-29T15:27:44Z</dcterms:created>
  <dcterms:modified xsi:type="dcterms:W3CDTF">2020-04-29T15:27:44Z</dcterms:modified>
</cp:coreProperties>
</file>