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
        <w:spacing w:after="0"/>
        <w:rPr>
          <w:sz w:val="20"/>
          <w:szCs w:val="20"/>
          <w:color w:val="auto"/>
        </w:rPr>
      </w:pPr>
      <w:r>
        <w:rPr>
          <w:rFonts w:ascii="Arial" w:cs="Arial" w:eastAsia="Arial" w:hAnsi="Arial"/>
          <w:sz w:val="22"/>
          <w:szCs w:val="22"/>
          <w:b w:val="1"/>
          <w:bCs w:val="1"/>
          <w:color w:val="auto"/>
        </w:rPr>
        <w:t>UNITED STATES</w:t>
      </w:r>
    </w:p>
    <w:p>
      <w:pPr>
        <w:jc w:val="center"/>
        <w:ind w:right="53"/>
        <w:spacing w:after="0" w:line="238" w:lineRule="auto"/>
        <w:rPr>
          <w:sz w:val="20"/>
          <w:szCs w:val="20"/>
          <w:color w:val="auto"/>
        </w:rPr>
      </w:pPr>
      <w:r>
        <w:rPr>
          <w:rFonts w:ascii="Arial" w:cs="Arial" w:eastAsia="Arial" w:hAnsi="Arial"/>
          <w:sz w:val="22"/>
          <w:szCs w:val="22"/>
          <w:b w:val="1"/>
          <w:bCs w:val="1"/>
          <w:color w:val="auto"/>
        </w:rPr>
        <w:t>SECURITIES AND EXCHANGE COMMISSION</w:t>
      </w:r>
    </w:p>
    <w:p>
      <w:pPr>
        <w:jc w:val="center"/>
        <w:ind w:right="-6"/>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120650</wp:posOffset>
            </wp:positionV>
            <wp:extent cx="1235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8" w:lineRule="exact"/>
        <w:rPr>
          <w:sz w:val="24"/>
          <w:szCs w:val="24"/>
          <w:color w:val="auto"/>
        </w:rPr>
      </w:pPr>
    </w:p>
    <w:p>
      <w:pPr>
        <w:jc w:val="center"/>
        <w:ind w:right="33"/>
        <w:spacing w:after="0"/>
        <w:rPr>
          <w:sz w:val="20"/>
          <w:szCs w:val="20"/>
          <w:color w:val="auto"/>
        </w:rPr>
      </w:pPr>
      <w:r>
        <w:rPr>
          <w:rFonts w:ascii="Arial" w:cs="Arial" w:eastAsia="Arial" w:hAnsi="Arial"/>
          <w:sz w:val="22"/>
          <w:szCs w:val="22"/>
          <w:b w:val="1"/>
          <w:bCs w:val="1"/>
          <w:color w:val="auto"/>
        </w:rPr>
        <w:t>SCHEDULE 14A</w:t>
      </w:r>
    </w:p>
    <w:p>
      <w:pPr>
        <w:spacing w:after="0" w:line="8" w:lineRule="exact"/>
        <w:rPr>
          <w:sz w:val="24"/>
          <w:szCs w:val="24"/>
          <w:color w:val="auto"/>
        </w:rPr>
      </w:pPr>
    </w:p>
    <w:p>
      <w:pPr>
        <w:jc w:val="center"/>
        <w:ind w:right="33"/>
        <w:spacing w:after="0"/>
        <w:rPr>
          <w:sz w:val="20"/>
          <w:szCs w:val="20"/>
          <w:color w:val="auto"/>
        </w:rPr>
      </w:pPr>
      <w:r>
        <w:rPr>
          <w:rFonts w:ascii="Arial" w:cs="Arial" w:eastAsia="Arial" w:hAnsi="Arial"/>
          <w:sz w:val="16"/>
          <w:szCs w:val="16"/>
          <w:b w:val="1"/>
          <w:bCs w:val="1"/>
          <w:color w:val="auto"/>
        </w:rPr>
        <w:t>(RULE 14a-101)</w:t>
      </w:r>
    </w:p>
    <w:p>
      <w:pPr>
        <w:spacing w:after="0" w:line="5"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120650</wp:posOffset>
            </wp:positionV>
            <wp:extent cx="1235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8" w:lineRule="exact"/>
        <w:rPr>
          <w:sz w:val="24"/>
          <w:szCs w:val="24"/>
          <w:color w:val="auto"/>
        </w:rPr>
      </w:pPr>
    </w:p>
    <w:p>
      <w:pPr>
        <w:jc w:val="center"/>
        <w:ind w:right="33"/>
        <w:spacing w:after="0"/>
        <w:rPr>
          <w:sz w:val="20"/>
          <w:szCs w:val="20"/>
          <w:color w:val="auto"/>
        </w:rPr>
      </w:pPr>
      <w:r>
        <w:rPr>
          <w:rFonts w:ascii="Arial" w:cs="Arial" w:eastAsia="Arial" w:hAnsi="Arial"/>
          <w:sz w:val="22"/>
          <w:szCs w:val="22"/>
          <w:b w:val="1"/>
          <w:bCs w:val="1"/>
          <w:color w:val="auto"/>
        </w:rPr>
        <w:t>SCHEDULE 14A INFORMATION</w:t>
      </w:r>
    </w:p>
    <w:p>
      <w:pPr>
        <w:spacing w:after="0" w:line="8" w:lineRule="exact"/>
        <w:rPr>
          <w:sz w:val="24"/>
          <w:szCs w:val="24"/>
          <w:color w:val="auto"/>
        </w:rPr>
      </w:pPr>
    </w:p>
    <w:p>
      <w:pPr>
        <w:jc w:val="center"/>
        <w:ind w:right="33"/>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5"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120650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60" w:lineRule="exact"/>
        <w:rPr>
          <w:sz w:val="24"/>
          <w:szCs w:val="24"/>
          <w:color w:val="auto"/>
        </w:rPr>
      </w:pPr>
    </w:p>
    <w:p>
      <w:pPr>
        <w:ind w:left="6"/>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70" w:lineRule="exact"/>
        <w:rPr>
          <w:sz w:val="24"/>
          <w:szCs w:val="24"/>
          <w:color w:val="auto"/>
        </w:rPr>
      </w:pPr>
    </w:p>
    <w:p>
      <w:pPr>
        <w:ind w:left="6"/>
        <w:spacing w:after="0" w:line="184" w:lineRule="exact"/>
        <w:rPr>
          <w:sz w:val="20"/>
          <w:szCs w:val="20"/>
          <w:color w:val="auto"/>
        </w:rPr>
      </w:pPr>
      <w:r>
        <w:rPr>
          <w:rFonts w:ascii="Arial" w:cs="Arial" w:eastAsia="Arial" w:hAnsi="Arial"/>
          <w:sz w:val="16"/>
          <w:szCs w:val="16"/>
          <w:color w:val="auto"/>
        </w:rPr>
        <w:t xml:space="preserve">Filed by the Party other than the Registrant </w:t>
      </w:r>
      <w:r>
        <w:rPr>
          <w:rFonts w:ascii="MS PGothic" w:cs="MS PGothic" w:eastAsia="MS PGothic" w:hAnsi="MS PGothic"/>
          <w:sz w:val="16"/>
          <w:szCs w:val="16"/>
          <w:color w:val="auto"/>
        </w:rPr>
        <w:t>☐</w:t>
      </w:r>
    </w:p>
    <w:p>
      <w:pPr>
        <w:spacing w:after="0" w:line="78" w:lineRule="exact"/>
        <w:rPr>
          <w:sz w:val="24"/>
          <w:szCs w:val="24"/>
          <w:color w:val="auto"/>
        </w:rPr>
      </w:pPr>
    </w:p>
    <w:p>
      <w:pPr>
        <w:ind w:left="6"/>
        <w:spacing w:after="0"/>
        <w:rPr>
          <w:sz w:val="20"/>
          <w:szCs w:val="20"/>
          <w:color w:val="auto"/>
        </w:rPr>
      </w:pPr>
      <w:r>
        <w:rPr>
          <w:rFonts w:ascii="Arial" w:cs="Arial" w:eastAsia="Arial" w:hAnsi="Arial"/>
          <w:sz w:val="16"/>
          <w:szCs w:val="16"/>
          <w:color w:val="auto"/>
        </w:rPr>
        <w:t>Check the appropriate box:</w:t>
      </w:r>
    </w:p>
    <w:p>
      <w:pPr>
        <w:spacing w:after="0" w:line="113" w:lineRule="exact"/>
        <w:rPr>
          <w:sz w:val="24"/>
          <w:szCs w:val="24"/>
          <w:color w:val="auto"/>
        </w:rPr>
      </w:pPr>
    </w:p>
    <w:p>
      <w:pPr>
        <w:ind w:left="366" w:hanging="366"/>
        <w:spacing w:after="0"/>
        <w:tabs>
          <w:tab w:leader="none" w:pos="3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41" w:lineRule="exact"/>
        <w:rPr>
          <w:rFonts w:ascii="MS PGothic" w:cs="MS PGothic" w:eastAsia="MS PGothic" w:hAnsi="MS PGothic"/>
          <w:sz w:val="16"/>
          <w:szCs w:val="16"/>
          <w:color w:val="auto"/>
        </w:rPr>
      </w:pPr>
    </w:p>
    <w:p>
      <w:pPr>
        <w:ind w:left="366" w:hanging="366"/>
        <w:spacing w:after="0"/>
        <w:tabs>
          <w:tab w:leader="none" w:pos="366"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4" w:lineRule="exact"/>
        <w:rPr>
          <w:rFonts w:ascii="MS PGothic" w:cs="MS PGothic" w:eastAsia="MS PGothic" w:hAnsi="MS PGothic"/>
          <w:sz w:val="16"/>
          <w:szCs w:val="16"/>
          <w:color w:val="auto"/>
        </w:rPr>
      </w:pPr>
    </w:p>
    <w:p>
      <w:pPr>
        <w:ind w:left="6"/>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Definitive Proxy Statement</w:t>
      </w:r>
    </w:p>
    <w:p>
      <w:pPr>
        <w:spacing w:after="0" w:line="45" w:lineRule="exact"/>
        <w:rPr>
          <w:rFonts w:ascii="MS PGothic" w:cs="MS PGothic" w:eastAsia="MS PGothic" w:hAnsi="MS PGothic"/>
          <w:sz w:val="16"/>
          <w:szCs w:val="16"/>
          <w:color w:val="auto"/>
        </w:rPr>
      </w:pPr>
    </w:p>
    <w:p>
      <w:pPr>
        <w:ind w:left="366" w:hanging="366"/>
        <w:spacing w:after="0"/>
        <w:tabs>
          <w:tab w:leader="none" w:pos="3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37" w:lineRule="exact"/>
        <w:rPr>
          <w:rFonts w:ascii="MS PGothic" w:cs="MS PGothic" w:eastAsia="MS PGothic" w:hAnsi="MS PGothic"/>
          <w:sz w:val="16"/>
          <w:szCs w:val="16"/>
          <w:color w:val="auto"/>
        </w:rPr>
      </w:pPr>
    </w:p>
    <w:p>
      <w:pPr>
        <w:ind w:left="366" w:hanging="366"/>
        <w:spacing w:after="0"/>
        <w:tabs>
          <w:tab w:leader="none" w:pos="36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14a-11(c) or Rule 14a-12</w:t>
      </w:r>
    </w:p>
    <w:p>
      <w:pPr>
        <w:spacing w:after="0" w:line="179" w:lineRule="exact"/>
        <w:rPr>
          <w:sz w:val="24"/>
          <w:szCs w:val="24"/>
          <w:color w:val="auto"/>
        </w:rPr>
      </w:pPr>
    </w:p>
    <w:p>
      <w:pPr>
        <w:jc w:val="center"/>
        <w:ind w:right="-6"/>
        <w:spacing w:after="0"/>
        <w:rPr>
          <w:sz w:val="20"/>
          <w:szCs w:val="20"/>
          <w:color w:val="auto"/>
        </w:rPr>
      </w:pPr>
      <w:r>
        <w:rPr>
          <w:rFonts w:ascii="Arial" w:cs="Arial" w:eastAsia="Arial" w:hAnsi="Arial"/>
          <w:sz w:val="36"/>
          <w:szCs w:val="36"/>
          <w:b w:val="1"/>
          <w:bCs w:val="1"/>
          <w:color w:val="auto"/>
        </w:rPr>
        <w:t>NEWTEK BUSINESS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182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95" w:lineRule="exact"/>
        <w:rPr>
          <w:sz w:val="24"/>
          <w:szCs w:val="24"/>
          <w:color w:val="auto"/>
        </w:rPr>
      </w:pPr>
    </w:p>
    <w:p>
      <w:pPr>
        <w:jc w:val="center"/>
        <w:ind w:right="-6"/>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220980</wp:posOffset>
            </wp:positionV>
            <wp:extent cx="6182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386" w:lineRule="exact"/>
        <w:rPr>
          <w:sz w:val="24"/>
          <w:szCs w:val="24"/>
          <w:color w:val="auto"/>
        </w:rPr>
      </w:pPr>
    </w:p>
    <w:p>
      <w:pPr>
        <w:ind w:left="2666"/>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22" w:lineRule="exact"/>
        <w:rPr>
          <w:sz w:val="24"/>
          <w:szCs w:val="24"/>
          <w:color w:val="auto"/>
        </w:rPr>
      </w:pPr>
    </w:p>
    <w:p>
      <w:pPr>
        <w:ind w:left="6"/>
        <w:spacing w:after="0"/>
        <w:rPr>
          <w:sz w:val="20"/>
          <w:szCs w:val="20"/>
          <w:color w:val="auto"/>
        </w:rPr>
      </w:pPr>
      <w:r>
        <w:rPr>
          <w:rFonts w:ascii="Arial" w:cs="Arial" w:eastAsia="Arial" w:hAnsi="Arial"/>
          <w:sz w:val="16"/>
          <w:szCs w:val="16"/>
          <w:color w:val="auto"/>
        </w:rPr>
        <w:t>Payment of Filing Fee (Check the appropriate box):</w:t>
      </w:r>
    </w:p>
    <w:p>
      <w:pPr>
        <w:spacing w:after="0" w:line="140" w:lineRule="exact"/>
        <w:rPr>
          <w:sz w:val="24"/>
          <w:szCs w:val="24"/>
          <w:color w:val="auto"/>
        </w:rPr>
      </w:pPr>
    </w:p>
    <w:p>
      <w:pPr>
        <w:ind w:left="366" w:hanging="366"/>
        <w:spacing w:after="0"/>
        <w:tabs>
          <w:tab w:leader="none" w:pos="36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40" w:lineRule="exact"/>
        <w:rPr>
          <w:sz w:val="24"/>
          <w:szCs w:val="24"/>
          <w:color w:val="auto"/>
        </w:rPr>
      </w:pPr>
    </w:p>
    <w:p>
      <w:pPr>
        <w:ind w:left="366" w:hanging="366"/>
        <w:spacing w:after="0"/>
        <w:tabs>
          <w:tab w:leader="none" w:pos="366"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 (i) (1) and 0-11.</w:t>
      </w:r>
    </w:p>
    <w:p>
      <w:pPr>
        <w:spacing w:after="0" w:line="140" w:lineRule="exact"/>
        <w:rPr>
          <w:rFonts w:ascii="MS PGothic" w:cs="MS PGothic" w:eastAsia="MS PGothic" w:hAnsi="MS PGothic"/>
          <w:sz w:val="16"/>
          <w:szCs w:val="16"/>
          <w:color w:val="auto"/>
        </w:rPr>
      </w:pPr>
    </w:p>
    <w:p>
      <w:pPr>
        <w:ind w:left="726" w:hanging="366"/>
        <w:spacing w:after="0"/>
        <w:tabs>
          <w:tab w:leader="none" w:pos="726"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69" w:lineRule="exact"/>
        <w:rPr>
          <w:rFonts w:ascii="Arial" w:cs="Arial" w:eastAsia="Arial" w:hAnsi="Arial"/>
          <w:sz w:val="16"/>
          <w:szCs w:val="16"/>
          <w:color w:val="auto"/>
        </w:rPr>
      </w:pPr>
    </w:p>
    <w:p>
      <w:pPr>
        <w:ind w:left="726" w:hanging="366"/>
        <w:spacing w:after="0"/>
        <w:tabs>
          <w:tab w:leader="none" w:pos="726"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96" w:lineRule="exact"/>
        <w:rPr>
          <w:rFonts w:ascii="Arial" w:cs="Arial" w:eastAsia="Arial" w:hAnsi="Arial"/>
          <w:sz w:val="16"/>
          <w:szCs w:val="16"/>
          <w:color w:val="auto"/>
        </w:rPr>
      </w:pPr>
    </w:p>
    <w:p>
      <w:pPr>
        <w:ind w:left="726" w:right="179" w:hanging="366"/>
        <w:spacing w:after="0" w:line="275" w:lineRule="auto"/>
        <w:tabs>
          <w:tab w:leader="none" w:pos="726"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34" w:lineRule="exact"/>
        <w:rPr>
          <w:rFonts w:ascii="Arial" w:cs="Arial" w:eastAsia="Arial" w:hAnsi="Arial"/>
          <w:sz w:val="16"/>
          <w:szCs w:val="16"/>
          <w:color w:val="auto"/>
        </w:rPr>
      </w:pPr>
    </w:p>
    <w:p>
      <w:pPr>
        <w:ind w:left="726" w:hanging="366"/>
        <w:spacing w:after="0"/>
        <w:tabs>
          <w:tab w:leader="none" w:pos="726"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96" w:lineRule="exact"/>
        <w:rPr>
          <w:rFonts w:ascii="Arial" w:cs="Arial" w:eastAsia="Arial" w:hAnsi="Arial"/>
          <w:sz w:val="16"/>
          <w:szCs w:val="16"/>
          <w:color w:val="auto"/>
        </w:rPr>
      </w:pPr>
    </w:p>
    <w:p>
      <w:pPr>
        <w:ind w:left="726" w:hanging="366"/>
        <w:spacing w:after="0"/>
        <w:tabs>
          <w:tab w:leader="none" w:pos="726"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396" w:lineRule="exact"/>
        <w:rPr>
          <w:rFonts w:ascii="Arial" w:cs="Arial" w:eastAsia="Arial" w:hAnsi="Arial"/>
          <w:sz w:val="16"/>
          <w:szCs w:val="16"/>
          <w:color w:val="auto"/>
        </w:rPr>
      </w:pPr>
    </w:p>
    <w:p>
      <w:pPr>
        <w:ind w:left="366" w:hanging="366"/>
        <w:spacing w:after="0"/>
        <w:tabs>
          <w:tab w:leader="none" w:pos="366"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3" w:lineRule="exact"/>
        <w:rPr>
          <w:rFonts w:ascii="MS PGothic" w:cs="MS PGothic" w:eastAsia="MS PGothic" w:hAnsi="MS PGothic"/>
          <w:sz w:val="16"/>
          <w:szCs w:val="16"/>
          <w:color w:val="auto"/>
        </w:rPr>
      </w:pPr>
    </w:p>
    <w:p>
      <w:pPr>
        <w:ind w:left="366" w:right="219" w:hanging="366"/>
        <w:spacing w:after="0" w:line="310" w:lineRule="auto"/>
        <w:tabs>
          <w:tab w:leader="none" w:pos="366"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5"/>
          <w:szCs w:val="15"/>
          <w:color w:val="auto"/>
        </w:rPr>
      </w:pPr>
    </w:p>
    <w:p>
      <w:pPr>
        <w:ind w:left="726" w:hanging="366"/>
        <w:spacing w:after="0"/>
        <w:tabs>
          <w:tab w:leader="none" w:pos="726"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83" w:lineRule="exact"/>
        <w:rPr>
          <w:rFonts w:ascii="Arial" w:cs="Arial" w:eastAsia="Arial" w:hAnsi="Arial"/>
          <w:sz w:val="16"/>
          <w:szCs w:val="16"/>
          <w:color w:val="auto"/>
        </w:rPr>
      </w:pPr>
    </w:p>
    <w:p>
      <w:pPr>
        <w:ind w:left="726" w:hanging="366"/>
        <w:spacing w:after="0"/>
        <w:tabs>
          <w:tab w:leader="none" w:pos="726"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96" w:lineRule="exact"/>
        <w:rPr>
          <w:rFonts w:ascii="Arial" w:cs="Arial" w:eastAsia="Arial" w:hAnsi="Arial"/>
          <w:sz w:val="16"/>
          <w:szCs w:val="16"/>
          <w:color w:val="auto"/>
        </w:rPr>
      </w:pPr>
    </w:p>
    <w:p>
      <w:pPr>
        <w:ind w:left="726" w:hanging="366"/>
        <w:spacing w:after="0"/>
        <w:tabs>
          <w:tab w:leader="none" w:pos="726"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454660</wp:posOffset>
            </wp:positionH>
            <wp:positionV relativeFrom="paragraph">
              <wp:posOffset>-3068320</wp:posOffset>
            </wp:positionV>
            <wp:extent cx="5728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-2708275</wp:posOffset>
            </wp:positionV>
            <wp:extent cx="5728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-2228215</wp:posOffset>
            </wp:positionV>
            <wp:extent cx="5728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-1859280</wp:posOffset>
            </wp:positionV>
            <wp:extent cx="5728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-1490345</wp:posOffset>
            </wp:positionV>
            <wp:extent cx="5728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-589915</wp:posOffset>
            </wp:positionV>
            <wp:extent cx="5728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-221615</wp:posOffset>
            </wp:positionV>
            <wp:extent cx="5728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146685</wp:posOffset>
            </wp:positionV>
            <wp:extent cx="5728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ectPr>
          <w:pgSz w:w="11900" w:h="16838" w:orient="portrait"/>
          <w:cols w:equalWidth="0" w:num="1">
            <w:col w:w="9725"/>
          </w:cols>
          <w:pgMar w:left="734" w:top="693" w:right="1440" w:bottom="1440" w:gutter="0" w:footer="0" w:header="0"/>
        </w:sectPr>
      </w:pPr>
    </w:p>
    <w:p>
      <w:pPr>
        <w:spacing w:after="0" w:line="397" w:lineRule="exact"/>
        <w:rPr>
          <w:sz w:val="24"/>
          <w:szCs w:val="24"/>
          <w:color w:val="auto"/>
        </w:rPr>
      </w:pPr>
    </w:p>
    <w:p>
      <w:pPr>
        <w:ind w:left="726" w:hanging="366"/>
        <w:spacing w:after="0"/>
        <w:tabs>
          <w:tab w:leader="none" w:pos="726" w:val="left"/>
        </w:tabs>
        <w:numPr>
          <w:ilvl w:val="0"/>
          <w:numId w:val="4"/>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454660</wp:posOffset>
            </wp:positionH>
            <wp:positionV relativeFrom="paragraph">
              <wp:posOffset>161290</wp:posOffset>
            </wp:positionV>
            <wp:extent cx="5728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405765</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725"/>
          </w:cols>
          <w:pgMar w:left="734" w:top="693" w:right="1440" w:bottom="1440" w:gutter="0" w:footer="0" w:header="0"/>
          <w:type w:val="continuous"/>
        </w:sectPr>
      </w:pPr>
    </w:p>
    <w:bookmarkStart w:id="1" w:name="page2"/>
    <w:bookmarkEnd w:id="1"/>
    <w:p>
      <w:pPr>
        <w:jc w:val="center"/>
        <w:ind w:right="719"/>
        <w:spacing w:after="0"/>
        <w:rPr>
          <w:sz w:val="20"/>
          <w:szCs w:val="20"/>
          <w:color w:val="auto"/>
        </w:rPr>
      </w:pPr>
      <w:r>
        <w:rPr>
          <w:rFonts w:ascii="Arial" w:cs="Arial" w:eastAsia="Arial" w:hAnsi="Arial"/>
          <w:sz w:val="18"/>
          <w:szCs w:val="18"/>
          <w:b w:val="1"/>
          <w:bCs w:val="1"/>
          <w:color w:val="auto"/>
        </w:rPr>
        <w:t>NEWTEK BUSINESS SERVICES CORP.</w:t>
      </w:r>
    </w:p>
    <w:p>
      <w:pPr>
        <w:jc w:val="center"/>
        <w:ind w:right="719"/>
        <w:spacing w:after="0" w:line="221" w:lineRule="auto"/>
        <w:rPr>
          <w:sz w:val="20"/>
          <w:szCs w:val="20"/>
          <w:color w:val="auto"/>
        </w:rPr>
      </w:pPr>
      <w:r>
        <w:rPr>
          <w:rFonts w:ascii="Arial" w:cs="Arial" w:eastAsia="Arial" w:hAnsi="Arial"/>
          <w:sz w:val="18"/>
          <w:szCs w:val="18"/>
          <w:b w:val="1"/>
          <w:bCs w:val="1"/>
          <w:color w:val="auto"/>
        </w:rPr>
        <w:t>1981 Marcus Avenue, Suite 130</w:t>
      </w:r>
    </w:p>
    <w:p>
      <w:pPr>
        <w:jc w:val="center"/>
        <w:ind w:right="719"/>
        <w:spacing w:after="0" w:line="219" w:lineRule="auto"/>
        <w:rPr>
          <w:sz w:val="20"/>
          <w:szCs w:val="20"/>
          <w:color w:val="auto"/>
        </w:rPr>
      </w:pPr>
      <w:r>
        <w:rPr>
          <w:rFonts w:ascii="Arial" w:cs="Arial" w:eastAsia="Arial" w:hAnsi="Arial"/>
          <w:sz w:val="18"/>
          <w:szCs w:val="18"/>
          <w:b w:val="1"/>
          <w:bCs w:val="1"/>
          <w:color w:val="auto"/>
        </w:rPr>
        <w:t>Lake Success, New York 11042</w:t>
      </w:r>
    </w:p>
    <w:p>
      <w:pPr>
        <w:spacing w:after="0" w:line="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(212) 356-9500</w:t>
      </w:r>
    </w:p>
    <w:p>
      <w:pPr>
        <w:spacing w:after="0" w:line="304"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June 27, 2018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Dear Shareholder:</w:t>
      </w:r>
    </w:p>
    <w:p>
      <w:pPr>
        <w:spacing w:after="0" w:line="117" w:lineRule="exact"/>
        <w:rPr>
          <w:sz w:val="20"/>
          <w:szCs w:val="20"/>
          <w:color w:val="auto"/>
        </w:rPr>
      </w:pPr>
    </w:p>
    <w:p>
      <w:pPr>
        <w:ind w:left="60" w:right="919" w:firstLine="360"/>
        <w:spacing w:after="0" w:line="264" w:lineRule="auto"/>
        <w:rPr>
          <w:sz w:val="20"/>
          <w:szCs w:val="20"/>
          <w:color w:val="auto"/>
        </w:rPr>
      </w:pPr>
      <w:r>
        <w:rPr>
          <w:rFonts w:ascii="Arial" w:cs="Arial" w:eastAsia="Arial" w:hAnsi="Arial"/>
          <w:sz w:val="18"/>
          <w:szCs w:val="18"/>
          <w:color w:val="auto"/>
        </w:rPr>
        <w:t>We invite you to attend the Special Meeting of Shareholders (the “Meeting”) of Newtek Business Services Corp. (the “Company”) to be held at 2711 South Ocean Drive, Hollywood, FL 33019 on July 26, 2018 at 9:00 a.m., local time.</w:t>
      </w:r>
    </w:p>
    <w:p>
      <w:pPr>
        <w:spacing w:after="0" w:line="73" w:lineRule="exact"/>
        <w:rPr>
          <w:sz w:val="20"/>
          <w:szCs w:val="20"/>
          <w:color w:val="auto"/>
        </w:rPr>
      </w:pPr>
    </w:p>
    <w:p>
      <w:pPr>
        <w:ind w:left="60" w:right="819" w:firstLine="360"/>
        <w:spacing w:after="0" w:line="264" w:lineRule="auto"/>
        <w:rPr>
          <w:sz w:val="20"/>
          <w:szCs w:val="20"/>
          <w:color w:val="auto"/>
        </w:rPr>
      </w:pPr>
      <w:r>
        <w:rPr>
          <w:rFonts w:ascii="Arial" w:cs="Arial" w:eastAsia="Arial" w:hAnsi="Arial"/>
          <w:sz w:val="18"/>
          <w:szCs w:val="18"/>
          <w:color w:val="auto"/>
        </w:rPr>
        <w:t>The attached Notice of Special Meeting and Proxy Statement accompanying this letter provide an outline of the business to be conducted at the meeting. At the meeting, you will be asked to consider and vote upon the following proposals:</w:t>
      </w:r>
    </w:p>
    <w:p>
      <w:pPr>
        <w:spacing w:after="0" w:line="127" w:lineRule="exact"/>
        <w:rPr>
          <w:sz w:val="20"/>
          <w:szCs w:val="20"/>
          <w:color w:val="auto"/>
        </w:rPr>
      </w:pPr>
    </w:p>
    <w:p>
      <w:pPr>
        <w:ind w:left="780" w:right="759" w:hanging="352"/>
        <w:spacing w:after="0" w:line="25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proposal to authorize flexibility for the Company, with approval of its Board of Directors, to sell shares of its common stock (during the next 12 months) at a price below its then current net asset value per share subject to certain conditions as set forth herein (including that the cumulative number of shares sold does not exceed 20% of its then outstanding common stock immediately prior to each such sale);</w:t>
      </w:r>
    </w:p>
    <w:p>
      <w:pPr>
        <w:spacing w:after="0" w:line="134" w:lineRule="exact"/>
        <w:rPr>
          <w:rFonts w:ascii="Arial" w:cs="Arial" w:eastAsia="Arial" w:hAnsi="Arial"/>
          <w:sz w:val="18"/>
          <w:szCs w:val="18"/>
          <w:color w:val="auto"/>
        </w:rPr>
      </w:pPr>
    </w:p>
    <w:p>
      <w:pPr>
        <w:ind w:left="780" w:right="899" w:hanging="352"/>
        <w:spacing w:after="0" w:line="264"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proposal to reduce the Company’s required minimum asset coverage ratio from 200% to 150%, which, if approved, will have the effect of expediting the Board’s prior action permitting the Company to be subject to 150% Asset Coverage;</w:t>
      </w:r>
    </w:p>
    <w:p>
      <w:pPr>
        <w:spacing w:after="0" w:line="127" w:lineRule="exact"/>
        <w:rPr>
          <w:rFonts w:ascii="Arial" w:cs="Arial" w:eastAsia="Arial" w:hAnsi="Arial"/>
          <w:sz w:val="18"/>
          <w:szCs w:val="18"/>
          <w:color w:val="auto"/>
        </w:rPr>
      </w:pPr>
    </w:p>
    <w:p>
      <w:pPr>
        <w:ind w:left="780" w:right="1119" w:hanging="352"/>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an amendment to the Company’s Articles of Amendment and Restatement to allow the Company’s shareholders to amend the Company’s bylaws;</w:t>
      </w:r>
    </w:p>
    <w:p>
      <w:pPr>
        <w:spacing w:after="0" w:line="116" w:lineRule="exact"/>
        <w:rPr>
          <w:rFonts w:ascii="Arial" w:cs="Arial" w:eastAsia="Arial" w:hAnsi="Arial"/>
          <w:sz w:val="18"/>
          <w:szCs w:val="18"/>
          <w:color w:val="auto"/>
        </w:rPr>
      </w:pPr>
    </w:p>
    <w:p>
      <w:pPr>
        <w:ind w:left="780" w:right="839" w:hanging="352"/>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and</w:t>
      </w:r>
    </w:p>
    <w:p>
      <w:pPr>
        <w:spacing w:after="0" w:line="116" w:lineRule="exact"/>
        <w:rPr>
          <w:rFonts w:ascii="Arial" w:cs="Arial" w:eastAsia="Arial" w:hAnsi="Arial"/>
          <w:sz w:val="18"/>
          <w:szCs w:val="18"/>
          <w:color w:val="auto"/>
        </w:rPr>
      </w:pPr>
    </w:p>
    <w:p>
      <w:pPr>
        <w:ind w:left="780" w:right="1159" w:hanging="352"/>
        <w:spacing w:after="0" w:line="27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58" w:lineRule="exact"/>
        <w:rPr>
          <w:sz w:val="20"/>
          <w:szCs w:val="20"/>
          <w:color w:val="auto"/>
        </w:rPr>
      </w:pPr>
    </w:p>
    <w:p>
      <w:pPr>
        <w:ind w:left="60" w:right="799" w:firstLine="360"/>
        <w:spacing w:after="0" w:line="255" w:lineRule="auto"/>
        <w:rPr>
          <w:sz w:val="20"/>
          <w:szCs w:val="20"/>
          <w:color w:val="auto"/>
        </w:rPr>
      </w:pPr>
      <w:r>
        <w:rPr>
          <w:rFonts w:ascii="Arial" w:cs="Arial" w:eastAsia="Arial" w:hAnsi="Arial"/>
          <w:sz w:val="18"/>
          <w:szCs w:val="18"/>
          <w:b w:val="1"/>
          <w:bCs w:val="1"/>
          <w:color w:val="auto"/>
        </w:rPr>
        <w:t xml:space="preserve">YOUR VOTE IS IMPORTANT, REGARDLESS OF THE NUMBER OF SHARES YOU OWN. </w:t>
      </w:r>
      <w:r>
        <w:rPr>
          <w:rFonts w:ascii="Arial" w:cs="Arial" w:eastAsia="Arial" w:hAnsi="Arial"/>
          <w:sz w:val="18"/>
          <w:szCs w:val="18"/>
          <w:color w:val="auto"/>
        </w:rPr>
        <w:t>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Company’s Board of Directors, we urge you even if you plan to attend the meeting in person, to complete, date and sign the enclosed Proxy Card and promptly return it in the envelope provided. If you prefer, you can save time by authorizing your proxy through the Internet or by telephone as described in the Proxy Statement and on the enclosed Proxy Card. This will not prevent you from voting in person, but will assure that your vote is counted if you are unable to attend the Meeting. Your vote and participation in the governance of the Company is very important to us.</w:t>
      </w:r>
    </w:p>
    <w:p>
      <w:pPr>
        <w:spacing w:after="0" w:line="24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Sincerely yours,</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48895</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566420</wp:posOffset>
            </wp:positionV>
            <wp:extent cx="68345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2" w:name="page3"/>
    <w:bookmarkEnd w:id="2"/>
    <w:p>
      <w:pPr>
        <w:jc w:val="center"/>
        <w:ind w:right="719"/>
        <w:spacing w:after="0"/>
        <w:rPr>
          <w:sz w:val="20"/>
          <w:szCs w:val="20"/>
          <w:color w:val="auto"/>
        </w:rPr>
      </w:pPr>
      <w:r>
        <w:rPr>
          <w:rFonts w:ascii="Arial" w:cs="Arial" w:eastAsia="Arial" w:hAnsi="Arial"/>
          <w:sz w:val="18"/>
          <w:szCs w:val="18"/>
          <w:b w:val="1"/>
          <w:bCs w:val="1"/>
          <w:color w:val="auto"/>
        </w:rPr>
        <w:t>NEWTEK BUSINESS SERVICES CORP.</w:t>
      </w:r>
    </w:p>
    <w:p>
      <w:pPr>
        <w:jc w:val="center"/>
        <w:ind w:right="719"/>
        <w:spacing w:after="0" w:line="221" w:lineRule="auto"/>
        <w:rPr>
          <w:sz w:val="20"/>
          <w:szCs w:val="20"/>
          <w:color w:val="auto"/>
        </w:rPr>
      </w:pPr>
      <w:r>
        <w:rPr>
          <w:rFonts w:ascii="Arial" w:cs="Arial" w:eastAsia="Arial" w:hAnsi="Arial"/>
          <w:sz w:val="18"/>
          <w:szCs w:val="18"/>
          <w:b w:val="1"/>
          <w:bCs w:val="1"/>
          <w:color w:val="auto"/>
        </w:rPr>
        <w:t>1981 Marcus Avenue, Suite 130</w:t>
      </w:r>
    </w:p>
    <w:p>
      <w:pPr>
        <w:jc w:val="center"/>
        <w:ind w:right="719"/>
        <w:spacing w:after="0" w:line="219" w:lineRule="auto"/>
        <w:rPr>
          <w:sz w:val="20"/>
          <w:szCs w:val="20"/>
          <w:color w:val="auto"/>
        </w:rPr>
      </w:pPr>
      <w:r>
        <w:rPr>
          <w:rFonts w:ascii="Arial" w:cs="Arial" w:eastAsia="Arial" w:hAnsi="Arial"/>
          <w:sz w:val="18"/>
          <w:szCs w:val="18"/>
          <w:b w:val="1"/>
          <w:bCs w:val="1"/>
          <w:color w:val="auto"/>
        </w:rPr>
        <w:t>Lake Success, New York 11042</w:t>
      </w:r>
    </w:p>
    <w:p>
      <w:pPr>
        <w:spacing w:after="0" w:line="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(212) 356-9500</w:t>
      </w:r>
    </w:p>
    <w:p>
      <w:pPr>
        <w:spacing w:after="0" w:line="12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To Be Held on July 26, 2018</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To the Shareholders of Newtek Business Services Corp.:</w:t>
      </w:r>
    </w:p>
    <w:p>
      <w:pPr>
        <w:spacing w:after="0" w:line="104" w:lineRule="exact"/>
        <w:rPr>
          <w:sz w:val="20"/>
          <w:szCs w:val="20"/>
          <w:color w:val="auto"/>
        </w:rPr>
      </w:pPr>
    </w:p>
    <w:p>
      <w:pPr>
        <w:ind w:left="60" w:right="1099" w:firstLine="360"/>
        <w:spacing w:after="0" w:line="26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Special Meeting of Shareholders (the “Meeting”) of Newtek</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Services Corp. (the “Company”) will be held at 2711 South Ocean Drive, Hollywood, FL 33019 on July 26, 2018 at 9:00 a.m., local time.</w:t>
      </w:r>
    </w:p>
    <w:p>
      <w:pPr>
        <w:spacing w:after="0" w:line="72" w:lineRule="exact"/>
        <w:rPr>
          <w:sz w:val="20"/>
          <w:szCs w:val="20"/>
          <w:color w:val="auto"/>
        </w:rPr>
      </w:pPr>
    </w:p>
    <w:p>
      <w:pPr>
        <w:ind w:left="60" w:right="739" w:firstLine="360"/>
        <w:spacing w:after="0" w:line="277" w:lineRule="auto"/>
        <w:rPr>
          <w:sz w:val="20"/>
          <w:szCs w:val="20"/>
          <w:color w:val="auto"/>
        </w:rPr>
      </w:pPr>
      <w:r>
        <w:rPr>
          <w:rFonts w:ascii="Arial" w:cs="Arial" w:eastAsia="Arial" w:hAnsi="Arial"/>
          <w:sz w:val="18"/>
          <w:szCs w:val="18"/>
          <w:color w:val="auto"/>
        </w:rPr>
        <w:t>The Meeting is for the following purposes, which are more completely described in the accompanying Proxy Statement:</w:t>
      </w:r>
    </w:p>
    <w:p>
      <w:pPr>
        <w:spacing w:after="0" w:line="103" w:lineRule="exact"/>
        <w:rPr>
          <w:sz w:val="20"/>
          <w:szCs w:val="20"/>
          <w:color w:val="auto"/>
        </w:rPr>
      </w:pPr>
    </w:p>
    <w:p>
      <w:pPr>
        <w:ind w:left="780" w:right="759" w:hanging="352"/>
        <w:spacing w:after="0" w:line="276" w:lineRule="auto"/>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 proposal to authorize the Company to sell shares of its common stock, par value $0.02 per share, at a price below the then current net asset value per share of such common stock in one or multiple offerings, subject to certain limitations described in the accompanying Proxy Statement (including that the number of shares sold on any given date does not exceed 20% of its outstanding common stock immediately prior to such sale) (“Proposal 1”);</w:t>
      </w:r>
    </w:p>
    <w:p>
      <w:pPr>
        <w:spacing w:after="0" w:line="105" w:lineRule="exact"/>
        <w:rPr>
          <w:rFonts w:ascii="Arial" w:cs="Arial" w:eastAsia="Arial" w:hAnsi="Arial"/>
          <w:sz w:val="17"/>
          <w:szCs w:val="17"/>
          <w:color w:val="auto"/>
        </w:rPr>
      </w:pPr>
    </w:p>
    <w:p>
      <w:pPr>
        <w:ind w:left="780" w:right="899" w:hanging="352"/>
        <w:spacing w:after="0" w:line="264"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proposal to reduce the Company’s required minimum asset coverage ratio from 200% to 150%, which, if approved, will have the effect of expediting the Board’s prior action permitting the Company to be subject to 150% Asset Coverage (“Proposal 2”);</w:t>
      </w:r>
    </w:p>
    <w:p>
      <w:pPr>
        <w:spacing w:after="0" w:line="113" w:lineRule="exact"/>
        <w:rPr>
          <w:rFonts w:ascii="Arial" w:cs="Arial" w:eastAsia="Arial" w:hAnsi="Arial"/>
          <w:sz w:val="18"/>
          <w:szCs w:val="18"/>
          <w:color w:val="auto"/>
        </w:rPr>
      </w:pPr>
    </w:p>
    <w:p>
      <w:pPr>
        <w:jc w:val="both"/>
        <w:ind w:left="780" w:right="899" w:hanging="352"/>
        <w:spacing w:after="0" w:line="34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the Company’s Articles of Amendment and Restatement (the “Charter”) to allow the Company’s shareholders to amend the Company’s bylaws (the “Bylaws”) (“Proposal 3”);</w:t>
      </w:r>
    </w:p>
    <w:p>
      <w:pPr>
        <w:spacing w:after="0" w:line="56" w:lineRule="exact"/>
        <w:rPr>
          <w:rFonts w:ascii="Arial" w:cs="Arial" w:eastAsia="Arial" w:hAnsi="Arial"/>
          <w:sz w:val="16"/>
          <w:szCs w:val="16"/>
          <w:color w:val="auto"/>
        </w:rPr>
      </w:pPr>
    </w:p>
    <w:p>
      <w:pPr>
        <w:ind w:left="780" w:right="879" w:hanging="352"/>
        <w:spacing w:after="0" w:line="34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 proposal to adjourn the Meeting, if necessary or appropriate, to solicit additional proxies (“Proposal 4,” and together with Proposal 1, Proposal 2, and Proposal 3, the “Proposals”); and</w:t>
      </w:r>
    </w:p>
    <w:p>
      <w:pPr>
        <w:spacing w:after="0" w:line="56" w:lineRule="exact"/>
        <w:rPr>
          <w:rFonts w:ascii="Arial" w:cs="Arial" w:eastAsia="Arial" w:hAnsi="Arial"/>
          <w:sz w:val="16"/>
          <w:szCs w:val="16"/>
          <w:color w:val="auto"/>
        </w:rPr>
      </w:pPr>
    </w:p>
    <w:p>
      <w:pPr>
        <w:ind w:left="780" w:right="1159" w:hanging="352"/>
        <w:spacing w:after="0" w:line="277"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62" w:lineRule="exact"/>
        <w:rPr>
          <w:sz w:val="20"/>
          <w:szCs w:val="20"/>
          <w:color w:val="auto"/>
        </w:rPr>
      </w:pPr>
    </w:p>
    <w:p>
      <w:pPr>
        <w:ind w:left="60" w:right="879" w:firstLine="360"/>
        <w:spacing w:after="0" w:line="277" w:lineRule="auto"/>
        <w:rPr>
          <w:sz w:val="20"/>
          <w:szCs w:val="20"/>
          <w:color w:val="auto"/>
        </w:rPr>
      </w:pPr>
      <w:r>
        <w:rPr>
          <w:rFonts w:ascii="Arial" w:cs="Arial" w:eastAsia="Arial" w:hAnsi="Arial"/>
          <w:sz w:val="18"/>
          <w:szCs w:val="18"/>
          <w:color w:val="auto"/>
        </w:rPr>
        <w:t>Shareholders of record at the close of business on June 13, 2018 are entitled to vote at the Meeting and any adjournment thereof.</w:t>
      </w:r>
    </w:p>
    <w:p>
      <w:pPr>
        <w:spacing w:after="0" w:line="62" w:lineRule="exact"/>
        <w:rPr>
          <w:sz w:val="20"/>
          <w:szCs w:val="20"/>
          <w:color w:val="auto"/>
        </w:rPr>
      </w:pPr>
    </w:p>
    <w:p>
      <w:pPr>
        <w:jc w:val="both"/>
        <w:ind w:left="60" w:right="859" w:firstLine="360"/>
        <w:spacing w:after="0" w:line="286" w:lineRule="auto"/>
        <w:rPr>
          <w:sz w:val="20"/>
          <w:szCs w:val="20"/>
          <w:color w:val="auto"/>
        </w:rPr>
      </w:pPr>
      <w:r>
        <w:rPr>
          <w:rFonts w:ascii="Arial" w:cs="Arial" w:eastAsia="Arial" w:hAnsi="Arial"/>
          <w:sz w:val="17"/>
          <w:szCs w:val="17"/>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at the Meeting in person.</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48895</wp:posOffset>
            </wp:positionV>
            <wp:extent cx="2470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BARRY SLOANE</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CHIEF EXECUTIVE OFFICER</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Lake Success, New York</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168910</wp:posOffset>
            </wp:positionV>
            <wp:extent cx="5213985" cy="986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3985" cy="986155"/>
                    </a:xfrm>
                    <a:prstGeom prst="rect">
                      <a:avLst/>
                    </a:prstGeom>
                    <a:noFill/>
                  </pic:spPr>
                </pic:pic>
              </a:graphicData>
            </a:graphic>
          </wp:anchor>
        </w:drawing>
      </w:r>
    </w:p>
    <w:p>
      <w:pPr>
        <w:spacing w:after="0" w:line="362" w:lineRule="exact"/>
        <w:rPr>
          <w:sz w:val="20"/>
          <w:szCs w:val="20"/>
          <w:color w:val="auto"/>
        </w:rPr>
      </w:pPr>
    </w:p>
    <w:p>
      <w:pPr>
        <w:ind w:left="240" w:right="939"/>
        <w:spacing w:after="0" w:line="256" w:lineRule="auto"/>
        <w:rPr>
          <w:sz w:val="20"/>
          <w:szCs w:val="20"/>
          <w:color w:val="auto"/>
        </w:rPr>
      </w:pPr>
      <w:r>
        <w:rPr>
          <w:rFonts w:ascii="Arial" w:cs="Arial" w:eastAsia="Arial" w:hAnsi="Arial"/>
          <w:sz w:val="18"/>
          <w:szCs w:val="18"/>
          <w:b w:val="1"/>
          <w:bCs w:val="1"/>
          <w:color w:val="auto"/>
        </w:rPr>
        <w:t>IMPORTANT</w:t>
      </w:r>
      <w:r>
        <w:rPr>
          <w:rFonts w:ascii="Arial" w:cs="Arial" w:eastAsia="Arial" w:hAnsi="Arial"/>
          <w:sz w:val="18"/>
          <w:szCs w:val="18"/>
          <w:color w:val="auto"/>
        </w:rPr>
        <w:t>: THE PROMPT RETURN OF PROXIES WILL SAVE YOUR COMPANY THE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OF A FURTHER REQUEST FOR PROXIES IN ORDER TO INSURE A QUORUM. A SELF-ADDRESSED ENVELOPE IS ENCLOSED FOR YOUR CONVENIENCE. NO POSTAGE IS REQUIRED IF MAILED WITHIN THE UNITED STATES. EVEN IF YOU VOTE YOUR SHARES PRIOR TO THE MEETING. YOU MAY STILL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306705</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3" w:name="page4"/>
    <w:bookmarkEnd w:id="3"/>
    <w:p>
      <w:pPr>
        <w:ind w:left="3280"/>
        <w:spacing w:after="0"/>
        <w:rPr>
          <w:sz w:val="20"/>
          <w:szCs w:val="20"/>
          <w:color w:val="auto"/>
        </w:rPr>
      </w:pPr>
      <w:r>
        <w:rPr>
          <w:rFonts w:ascii="Arial" w:cs="Arial" w:eastAsia="Arial" w:hAnsi="Arial"/>
          <w:sz w:val="18"/>
          <w:szCs w:val="18"/>
          <w:b w:val="1"/>
          <w:bCs w:val="1"/>
          <w:color w:val="auto"/>
        </w:rPr>
        <w:t>PROXY STATEMENT</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NEWTEK BUSINESS SERVICES CORP.</w:t>
      </w:r>
    </w:p>
    <w:p>
      <w:pPr>
        <w:spacing w:after="0" w:line="14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1981 Marcus Avenue, Suite 130</w:t>
      </w:r>
    </w:p>
    <w:p>
      <w:pPr>
        <w:jc w:val="center"/>
        <w:ind w:right="719"/>
        <w:spacing w:after="0" w:line="221" w:lineRule="auto"/>
        <w:rPr>
          <w:sz w:val="20"/>
          <w:szCs w:val="20"/>
          <w:color w:val="auto"/>
        </w:rPr>
      </w:pPr>
      <w:r>
        <w:rPr>
          <w:rFonts w:ascii="Arial" w:cs="Arial" w:eastAsia="Arial" w:hAnsi="Arial"/>
          <w:sz w:val="18"/>
          <w:szCs w:val="18"/>
          <w:b w:val="1"/>
          <w:bCs w:val="1"/>
          <w:color w:val="auto"/>
        </w:rPr>
        <w:t>Lake Success, New York 11042</w:t>
      </w:r>
    </w:p>
    <w:p>
      <w:pPr>
        <w:spacing w:after="0" w:line="1"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(212) 356-9500</w:t>
      </w:r>
    </w:p>
    <w:p>
      <w:pPr>
        <w:spacing w:after="0" w:line="12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SPECIAL MEETING OF SHAREHOLDERS</w:t>
      </w:r>
    </w:p>
    <w:p>
      <w:pPr>
        <w:spacing w:after="0" w:line="2"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TO BE HELD JULY 26, 2018</w:t>
      </w:r>
    </w:p>
    <w:p>
      <w:pPr>
        <w:spacing w:after="0" w:line="178"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INTRODUCTION</w:t>
      </w:r>
    </w:p>
    <w:p>
      <w:pPr>
        <w:spacing w:after="0" w:line="216" w:lineRule="exact"/>
        <w:rPr>
          <w:sz w:val="20"/>
          <w:szCs w:val="20"/>
          <w:color w:val="auto"/>
        </w:rPr>
      </w:pPr>
    </w:p>
    <w:p>
      <w:pPr>
        <w:ind w:left="60" w:right="799" w:firstLine="360"/>
        <w:spacing w:after="0" w:line="276" w:lineRule="auto"/>
        <w:rPr>
          <w:sz w:val="20"/>
          <w:szCs w:val="20"/>
          <w:color w:val="auto"/>
        </w:rPr>
      </w:pPr>
      <w:r>
        <w:rPr>
          <w:rFonts w:ascii="Arial" w:cs="Arial" w:eastAsia="Arial" w:hAnsi="Arial"/>
          <w:sz w:val="17"/>
          <w:szCs w:val="17"/>
          <w:color w:val="auto"/>
        </w:rPr>
        <w:t>This Proxy Statement is furnished in connection with the solicitation of proxies by the Board of Directors of Newtek Business Services Corp. (the “Company”) for the Special Meeting of Shareholders (the “Meeting”) to be held at 2711 South Ocean Drive, Hollywood, FL 33019 on July 26, 2018 at 9:00 a.m., local time. The accompanying Notice of Special Meeting and this Proxy Statement, together with the enclosed Proxy Card (collectively, the “Proxy Statement”), are first being mailed to shareholders on or about June 27, 2018.</w:t>
      </w:r>
    </w:p>
    <w:p>
      <w:pPr>
        <w:spacing w:after="0" w:line="60" w:lineRule="exact"/>
        <w:rPr>
          <w:sz w:val="20"/>
          <w:szCs w:val="20"/>
          <w:color w:val="auto"/>
        </w:rPr>
      </w:pPr>
    </w:p>
    <w:p>
      <w:pPr>
        <w:ind w:left="60" w:right="999" w:firstLine="360"/>
        <w:spacing w:after="0" w:line="282" w:lineRule="auto"/>
        <w:rPr>
          <w:sz w:val="20"/>
          <w:szCs w:val="20"/>
          <w:color w:val="auto"/>
        </w:rPr>
      </w:pPr>
      <w:r>
        <w:rPr>
          <w:rFonts w:ascii="Arial" w:cs="Arial" w:eastAsia="Arial" w:hAnsi="Arial"/>
          <w:sz w:val="18"/>
          <w:szCs w:val="18"/>
          <w:b w:val="1"/>
          <w:bCs w:val="1"/>
          <w:color w:val="auto"/>
        </w:rPr>
        <w:t>We encourage you to vote your shares</w:t>
      </w:r>
      <w:r>
        <w:rPr>
          <w:rFonts w:ascii="Arial" w:cs="Arial" w:eastAsia="Arial" w:hAnsi="Arial"/>
          <w:sz w:val="18"/>
          <w:szCs w:val="18"/>
          <w:color w:val="auto"/>
        </w:rPr>
        <w:t>, either by voting in person at the Meeting or by granting a proxy</w:t>
      </w:r>
      <w:r>
        <w:rPr>
          <w:rFonts w:ascii="Arial" w:cs="Arial" w:eastAsia="Arial" w:hAnsi="Arial"/>
          <w:sz w:val="18"/>
          <w:szCs w:val="18"/>
          <w:b w:val="1"/>
          <w:bCs w:val="1"/>
          <w:color w:val="auto"/>
        </w:rPr>
        <w:t xml:space="preserve"> </w:t>
      </w:r>
      <w:r>
        <w:rPr>
          <w:rFonts w:ascii="Arial" w:cs="Arial" w:eastAsia="Arial" w:hAnsi="Arial"/>
          <w:sz w:val="18"/>
          <w:szCs w:val="18"/>
          <w:color w:val="auto"/>
        </w:rPr>
        <w:t>(i.e., authorizing someone to vote your shares).</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How Do You Exercise Your Rights to Vote on the Proposals?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You may vote using any of the following methods:</w:t>
      </w:r>
    </w:p>
    <w:p>
      <w:pPr>
        <w:spacing w:after="0" w:line="113" w:lineRule="exact"/>
        <w:rPr>
          <w:sz w:val="20"/>
          <w:szCs w:val="20"/>
          <w:color w:val="auto"/>
        </w:rPr>
      </w:pPr>
    </w:p>
    <w:p>
      <w:pPr>
        <w:ind w:left="60" w:right="779" w:firstLine="360"/>
        <w:spacing w:after="0" w:line="256"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Shareholders of record may submit proxies by completing, signing and dating each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and returning it in the prepaid envelope. Sign your name exactly as it appears on the proxy. If you return your signed proxy but do not indicate your voting preferences, your shares will be voted on your behalf “FOR” each of the Proposals listed in this Proxy Statement. Shareholders who hold shares beneficially in street name may provide voting instructions by mail by completing, signing and dating the voting instruction forms provided by their brokers, banks or other nominees.</w:t>
      </w:r>
    </w:p>
    <w:p>
      <w:pPr>
        <w:spacing w:after="0" w:line="80" w:lineRule="exact"/>
        <w:rPr>
          <w:sz w:val="20"/>
          <w:szCs w:val="20"/>
          <w:color w:val="auto"/>
        </w:rPr>
      </w:pPr>
    </w:p>
    <w:p>
      <w:pPr>
        <w:ind w:left="60" w:right="759" w:firstLine="360"/>
        <w:spacing w:after="0" w:line="255" w:lineRule="auto"/>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 Shareholders of record may submit proxies by following the telephone voting instructions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each Proxy Card. Most shareholders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81" w:lineRule="exact"/>
        <w:rPr>
          <w:sz w:val="20"/>
          <w:szCs w:val="20"/>
          <w:color w:val="auto"/>
        </w:rPr>
      </w:pPr>
    </w:p>
    <w:p>
      <w:pPr>
        <w:ind w:left="60" w:right="999" w:firstLine="360"/>
        <w:spacing w:after="0" w:line="261"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Shareholders of record with internet access may submit proxies by following the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voting instructions on their Proxy Cards. Most shareholders who hold shares beneficially in street name may provide voting instructions by accessing the website specified on the voting instruction form provided by their brokers, banks or nominees.</w:t>
      </w:r>
    </w:p>
    <w:p>
      <w:pPr>
        <w:spacing w:after="0" w:line="76" w:lineRule="exact"/>
        <w:rPr>
          <w:sz w:val="20"/>
          <w:szCs w:val="20"/>
          <w:color w:val="auto"/>
        </w:rPr>
      </w:pPr>
    </w:p>
    <w:p>
      <w:pPr>
        <w:ind w:left="60" w:right="739" w:firstLine="360"/>
        <w:spacing w:after="0" w:line="286" w:lineRule="auto"/>
        <w:rPr>
          <w:sz w:val="20"/>
          <w:szCs w:val="20"/>
          <w:color w:val="auto"/>
        </w:rPr>
      </w:pPr>
      <w:r>
        <w:rPr>
          <w:rFonts w:ascii="Arial" w:cs="Arial" w:eastAsia="Arial" w:hAnsi="Arial"/>
          <w:sz w:val="17"/>
          <w:szCs w:val="17"/>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53" w:lineRule="exact"/>
        <w:rPr>
          <w:sz w:val="20"/>
          <w:szCs w:val="20"/>
          <w:color w:val="auto"/>
        </w:rPr>
      </w:pPr>
    </w:p>
    <w:p>
      <w:pPr>
        <w:ind w:left="60" w:right="779" w:firstLine="360"/>
        <w:spacing w:after="0" w:line="298" w:lineRule="auto"/>
        <w:rPr>
          <w:sz w:val="20"/>
          <w:szCs w:val="20"/>
          <w:color w:val="auto"/>
        </w:rPr>
      </w:pPr>
      <w:r>
        <w:rPr>
          <w:rFonts w:ascii="Arial" w:cs="Arial" w:eastAsia="Arial" w:hAnsi="Arial"/>
          <w:sz w:val="16"/>
          <w:szCs w:val="16"/>
          <w:b w:val="1"/>
          <w:bCs w:val="1"/>
          <w:color w:val="auto"/>
        </w:rPr>
        <w:t xml:space="preserve">In Person at the Meeting </w:t>
      </w:r>
      <w:r>
        <w:rPr>
          <w:rFonts w:ascii="Arial" w:cs="Arial" w:eastAsia="Arial" w:hAnsi="Arial"/>
          <w:sz w:val="16"/>
          <w:szCs w:val="16"/>
          <w:color w:val="auto"/>
        </w:rPr>
        <w:t>— Shares held in your name as the shareholder of record may be voted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Meeting. Shares held beneficially in street name may be voted in person only if you obtain a legal proxy from the broker, bank or nominee that holds your shares giving you the right to vote the shares. </w:t>
      </w:r>
      <w:r>
        <w:rPr>
          <w:rFonts w:ascii="Arial" w:cs="Arial" w:eastAsia="Arial" w:hAnsi="Arial"/>
          <w:sz w:val="16"/>
          <w:szCs w:val="16"/>
          <w:b w:val="1"/>
          <w:bCs w:val="1"/>
          <w:i w:val="1"/>
          <w:iCs w:val="1"/>
          <w:color w:val="auto"/>
        </w:rPr>
        <w:t>Even if you plan to attend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 Meeting, we recommend that you also submit your proxy or voting instructions or vote by telephone or the internet so that your vote will be counted if you later decide not to attend the meeting</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4" w:name="page5"/>
    <w:bookmarkEnd w:id="4"/>
    <w:p>
      <w:pPr>
        <w:ind w:left="60" w:right="759" w:firstLine="360"/>
        <w:spacing w:after="0" w:line="255" w:lineRule="auto"/>
        <w:rPr>
          <w:sz w:val="20"/>
          <w:szCs w:val="20"/>
          <w:color w:val="auto"/>
        </w:rPr>
      </w:pPr>
      <w:r>
        <w:rPr>
          <w:rFonts w:ascii="Arial" w:cs="Arial" w:eastAsia="Arial" w:hAnsi="Arial"/>
          <w:sz w:val="18"/>
          <w:szCs w:val="18"/>
          <w:color w:val="auto"/>
        </w:rPr>
        <w:t>Shareholders who execute the enclosed Proxy Card retain the right to revoke such proxies at any time prior to voting. Unless so revoked, the shares represented by properly executed proxies will be voted at the Meeting and all adjournments thereof. Proxies may be revoked at any time prior to exercise by written notice to the Secretary of the Company or by the filing of a properly executed, later-dated proxy. A proxy will not be voted if a shareholder attends the Meeting and votes in person. The presence of a shareholder at the Meeting alone will not revoke such shareholder’s proxy. Shareholders have no dissenters’ or appraisal rights in connection with the Proposals described herein.</w:t>
      </w:r>
    </w:p>
    <w:p>
      <w:pPr>
        <w:spacing w:after="0" w:line="17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PURPOSE OF MEETING</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the Meeting, you will be asked to vote on the following proposals:</w:t>
      </w:r>
    </w:p>
    <w:p>
      <w:pPr>
        <w:spacing w:after="0" w:line="131" w:lineRule="exact"/>
        <w:rPr>
          <w:sz w:val="20"/>
          <w:szCs w:val="20"/>
          <w:color w:val="auto"/>
        </w:rPr>
      </w:pPr>
    </w:p>
    <w:p>
      <w:pPr>
        <w:ind w:left="780" w:right="759" w:hanging="352"/>
        <w:spacing w:after="0" w:line="25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authorize the Company to sell shares of its common stock, par value $0.02 per share (“Common Shares”), at a price below the then current net asset value per share of such Common Shares in one or multiple offerings, subject to certain limitations described in this Proxy Statement (including that the number of shares sold on any given date does not exceed 20% of its outstanding Common Shares immediately prior to such sale);</w:t>
      </w:r>
    </w:p>
    <w:p>
      <w:pPr>
        <w:spacing w:after="0" w:line="93" w:lineRule="exact"/>
        <w:rPr>
          <w:rFonts w:ascii="Arial" w:cs="Arial" w:eastAsia="Arial" w:hAnsi="Arial"/>
          <w:sz w:val="18"/>
          <w:szCs w:val="18"/>
          <w:color w:val="auto"/>
        </w:rPr>
      </w:pPr>
    </w:p>
    <w:p>
      <w:pPr>
        <w:ind w:left="780" w:right="899" w:hanging="352"/>
        <w:spacing w:after="0" w:line="264"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reduce the Company’s required minimum asset coverage ratio from 200% to 150%, which, if approved, will have the effect of expediting the Board’s prior action permitting the Company to be subject to 150% Asset Coverage;</w:t>
      </w:r>
    </w:p>
    <w:p>
      <w:pPr>
        <w:spacing w:after="0" w:line="86" w:lineRule="exact"/>
        <w:rPr>
          <w:rFonts w:ascii="Arial" w:cs="Arial" w:eastAsia="Arial" w:hAnsi="Arial"/>
          <w:sz w:val="18"/>
          <w:szCs w:val="18"/>
          <w:color w:val="auto"/>
        </w:rPr>
      </w:pPr>
    </w:p>
    <w:p>
      <w:pPr>
        <w:ind w:left="780" w:right="999" w:hanging="352"/>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the Company’s Charter to allow the Company’s shareholders to amend the Bylaws;</w:t>
      </w:r>
    </w:p>
    <w:p>
      <w:pPr>
        <w:spacing w:after="0" w:line="89" w:lineRule="exact"/>
        <w:rPr>
          <w:rFonts w:ascii="Arial" w:cs="Arial" w:eastAsia="Arial" w:hAnsi="Arial"/>
          <w:sz w:val="18"/>
          <w:szCs w:val="18"/>
          <w:color w:val="auto"/>
        </w:rPr>
      </w:pPr>
    </w:p>
    <w:p>
      <w:pPr>
        <w:ind w:left="780" w:right="839" w:hanging="352"/>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proposal to adjourn the Meeting, if necessary or appropriate, to solicit additional proxies; and</w:t>
      </w:r>
    </w:p>
    <w:p>
      <w:pPr>
        <w:spacing w:after="0" w:line="75" w:lineRule="exact"/>
        <w:rPr>
          <w:rFonts w:ascii="Arial" w:cs="Arial" w:eastAsia="Arial" w:hAnsi="Arial"/>
          <w:sz w:val="18"/>
          <w:szCs w:val="18"/>
          <w:color w:val="auto"/>
        </w:rPr>
      </w:pPr>
    </w:p>
    <w:p>
      <w:pPr>
        <w:ind w:left="780" w:right="1159" w:hanging="352"/>
        <w:spacing w:after="0" w:line="27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of adjournment thereof.</w:t>
      </w:r>
    </w:p>
    <w:p>
      <w:pPr>
        <w:spacing w:after="0" w:line="153"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QUORUM REQUIRED</w:t>
      </w:r>
    </w:p>
    <w:p>
      <w:pPr>
        <w:spacing w:after="0" w:line="108" w:lineRule="exact"/>
        <w:rPr>
          <w:sz w:val="20"/>
          <w:szCs w:val="20"/>
          <w:color w:val="auto"/>
        </w:rPr>
      </w:pPr>
    </w:p>
    <w:p>
      <w:pPr>
        <w:ind w:left="60" w:right="779" w:firstLine="360"/>
        <w:spacing w:after="0" w:line="276" w:lineRule="auto"/>
        <w:rPr>
          <w:sz w:val="20"/>
          <w:szCs w:val="20"/>
          <w:color w:val="auto"/>
        </w:rPr>
      </w:pPr>
      <w:r>
        <w:rPr>
          <w:rFonts w:ascii="Arial" w:cs="Arial" w:eastAsia="Arial" w:hAnsi="Arial"/>
          <w:sz w:val="17"/>
          <w:szCs w:val="17"/>
          <w:color w:val="auto"/>
        </w:rPr>
        <w:t>A quorum must be present at the Meeting for any business to be conducted. The presence at the Meeting, in person or by proxy, of holders entitled to cast a majority of the votes entitled to be cast as of the Record Date will constitute a quorum. Abstentions and broker non-votes, if any, will be deemed present for the purpose of determining a quorum for the Meeting. If there are not enough votes for a quorum, the Chairman of the Meeting may adjourn the Meeting to permit the further solicitation of proxies.</w:t>
      </w:r>
    </w:p>
    <w:p>
      <w:pPr>
        <w:spacing w:after="0" w:line="15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VOTE REQUIRED</w:t>
      </w:r>
    </w:p>
    <w:p>
      <w:pPr>
        <w:sectPr>
          <w:pgSz w:w="11900" w:h="16838" w:orient="portrait"/>
          <w:cols w:equalWidth="0" w:num="1">
            <w:col w:w="9019"/>
          </w:cols>
          <w:pgMar w:left="1440" w:top="1084"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32385</wp:posOffset>
            </wp:positionV>
            <wp:extent cx="14236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75" w:lineRule="exact"/>
        <w:rPr>
          <w:sz w:val="20"/>
          <w:szCs w:val="20"/>
          <w:color w:val="auto"/>
        </w:rPr>
      </w:pPr>
    </w:p>
    <w:p>
      <w:pPr>
        <w:ind w:left="60"/>
        <w:spacing w:after="0" w:line="290" w:lineRule="auto"/>
        <w:rPr>
          <w:sz w:val="20"/>
          <w:szCs w:val="20"/>
          <w:color w:val="auto"/>
        </w:rPr>
      </w:pPr>
      <w:r>
        <w:rPr>
          <w:rFonts w:ascii="Arial" w:cs="Arial" w:eastAsia="Arial" w:hAnsi="Arial"/>
          <w:sz w:val="14"/>
          <w:szCs w:val="14"/>
          <w:b w:val="1"/>
          <w:bCs w:val="1"/>
          <w:i w:val="1"/>
          <w:iCs w:val="1"/>
          <w:color w:val="auto"/>
        </w:rPr>
        <w:t xml:space="preserve">Proposal 1 </w:t>
      </w:r>
      <w:r>
        <w:rPr>
          <w:rFonts w:ascii="Arial" w:cs="Arial" w:eastAsia="Arial" w:hAnsi="Arial"/>
          <w:sz w:val="14"/>
          <w:szCs w:val="14"/>
          <w:color w:val="auto"/>
        </w:rPr>
        <w:t>— To approve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proposal to authorize the Company to sell shares of its Common Shares, at a price below the then current net asset value per share of such Common Shares in one or multiple offerings, subject to certain limitations described in this Proxy Statement.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Broker</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0"/>
              </w:rPr>
              <w:t>Effect of Abstentions</w:t>
            </w:r>
          </w:p>
        </w:tc>
      </w:t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Discretionary</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7"/>
              </w:rPr>
              <w:t>and Broker</w:t>
            </w:r>
          </w:p>
        </w:tc>
      </w:tr>
      <w:tr>
        <w:trPr>
          <w:trHeight w:val="186"/>
        </w:trPr>
        <w:tc>
          <w:tcPr>
            <w:tcW w:w="2360" w:type="dxa"/>
            <w:vAlign w:val="bottom"/>
            <w:gridSpan w:val="2"/>
          </w:tcPr>
          <w:p>
            <w:pPr>
              <w:ind w:left="640"/>
              <w:spacing w:after="0"/>
              <w:rPr>
                <w:sz w:val="20"/>
                <w:szCs w:val="20"/>
                <w:color w:val="auto"/>
              </w:rPr>
            </w:pPr>
            <w:r>
              <w:rPr>
                <w:rFonts w:ascii="Arial" w:cs="Arial" w:eastAsia="Arial" w:hAnsi="Arial"/>
                <w:sz w:val="14"/>
                <w:szCs w:val="14"/>
                <w:b w:val="1"/>
                <w:bCs w:val="1"/>
                <w:color w:val="auto"/>
              </w:rPr>
              <w:t>Vote Required</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Voting Allowed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Non-Votes</w:t>
            </w:r>
          </w:p>
        </w:tc>
      </w:tr>
      <w:tr>
        <w:trPr>
          <w:trHeight w:val="26"/>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3"/>
        </w:trPr>
        <w:tc>
          <w:tcPr>
            <w:tcW w:w="2360" w:type="dxa"/>
            <w:vAlign w:val="bottom"/>
            <w:gridSpan w:val="2"/>
          </w:tcPr>
          <w:p>
            <w:pPr>
              <w:spacing w:after="0"/>
              <w:rPr>
                <w:sz w:val="20"/>
                <w:szCs w:val="20"/>
                <w:color w:val="auto"/>
              </w:rPr>
            </w:pPr>
            <w:r>
              <w:rPr>
                <w:rFonts w:ascii="Arial" w:cs="Arial" w:eastAsia="Arial" w:hAnsi="Arial"/>
                <w:sz w:val="16"/>
                <w:szCs w:val="16"/>
                <w:color w:val="auto"/>
              </w:rPr>
              <w:t>Pursuant to Investment</w:t>
            </w: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No</w:t>
            </w:r>
          </w:p>
        </w:tc>
        <w:tc>
          <w:tcPr>
            <w:tcW w:w="2240" w:type="dxa"/>
            <w:vAlign w:val="bottom"/>
          </w:tcPr>
          <w:p>
            <w:pPr>
              <w:jc w:val="center"/>
              <w:spacing w:after="0"/>
              <w:rPr>
                <w:sz w:val="20"/>
                <w:szCs w:val="20"/>
                <w:color w:val="auto"/>
              </w:rPr>
            </w:pPr>
            <w:r>
              <w:rPr>
                <w:rFonts w:ascii="Arial" w:cs="Arial" w:eastAsia="Arial" w:hAnsi="Arial"/>
                <w:sz w:val="16"/>
                <w:szCs w:val="16"/>
                <w:color w:val="auto"/>
                <w:w w:val="91"/>
              </w:rPr>
              <w:t>Abstentions and broker non-votes,</w:t>
            </w: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Company Act of 1940,</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if any, will have the effect of a</w:t>
            </w: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as amended (the “1940 Act”),</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vote against this proposal.</w:t>
            </w: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approval of this proposal</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3"/>
        </w:trPr>
        <w:tc>
          <w:tcPr>
            <w:tcW w:w="2360" w:type="dxa"/>
            <w:vAlign w:val="bottom"/>
            <w:gridSpan w:val="2"/>
          </w:tcPr>
          <w:p>
            <w:pPr>
              <w:spacing w:after="0"/>
              <w:rPr>
                <w:sz w:val="20"/>
                <w:szCs w:val="20"/>
                <w:color w:val="auto"/>
              </w:rPr>
            </w:pPr>
            <w:r>
              <w:rPr>
                <w:rFonts w:ascii="Arial" w:cs="Arial" w:eastAsia="Arial" w:hAnsi="Arial"/>
                <w:sz w:val="16"/>
                <w:szCs w:val="16"/>
                <w:color w:val="auto"/>
              </w:rPr>
              <w:t>requires the affirmative vote of:</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bl>
    <w:p>
      <w:pPr>
        <w:ind w:right="4399" w:firstLine="6"/>
        <w:spacing w:after="0" w:line="246" w:lineRule="auto"/>
        <w:tabs>
          <w:tab w:leader="none" w:pos="194" w:val="left"/>
        </w:tabs>
        <w:numPr>
          <w:ilvl w:val="0"/>
          <w:numId w:val="8"/>
        </w:numPr>
        <w:rPr>
          <w:rFonts w:ascii="Arial" w:cs="Arial" w:eastAsia="Arial" w:hAnsi="Arial"/>
          <w:sz w:val="16"/>
          <w:szCs w:val="16"/>
          <w:color w:val="auto"/>
        </w:rPr>
      </w:pPr>
      <w:r>
        <w:rPr>
          <w:rFonts w:ascii="Arial" w:cs="Arial" w:eastAsia="Arial" w:hAnsi="Arial"/>
          <w:sz w:val="16"/>
          <w:szCs w:val="16"/>
          <w:color w:val="auto"/>
        </w:rPr>
        <w:t>a majority of outstanding Common Shares entitled to vote at the Meeting; and (ii) a majority of the outstanding Common Shares entitled to vote at the Meeting which are</w:t>
      </w:r>
    </w:p>
    <w:p>
      <w:pPr>
        <w:spacing w:after="0" w:line="2" w:lineRule="exact"/>
        <w:rPr>
          <w:rFonts w:ascii="Arial" w:cs="Arial" w:eastAsia="Arial" w:hAnsi="Arial"/>
          <w:sz w:val="16"/>
          <w:szCs w:val="16"/>
          <w:color w:val="auto"/>
        </w:rPr>
      </w:pPr>
    </w:p>
    <w:p>
      <w:pPr>
        <w:ind w:right="4439"/>
        <w:spacing w:after="0" w:line="248" w:lineRule="auto"/>
        <w:rPr>
          <w:rFonts w:ascii="Arial" w:cs="Arial" w:eastAsia="Arial" w:hAnsi="Arial"/>
          <w:sz w:val="16"/>
          <w:szCs w:val="16"/>
          <w:color w:val="auto"/>
        </w:rPr>
      </w:pPr>
      <w:r>
        <w:rPr>
          <w:rFonts w:ascii="Arial" w:cs="Arial" w:eastAsia="Arial" w:hAnsi="Arial"/>
          <w:sz w:val="16"/>
          <w:szCs w:val="16"/>
          <w:color w:val="auto"/>
        </w:rPr>
        <w:t>not held by affiliated persons of the Company. The 1940 Act defines “a majority of the outstanding shares” as: (1) 67% or more of the voting securities present at the</w:t>
      </w:r>
    </w:p>
    <w:p>
      <w:pPr>
        <w:spacing w:after="0" w:line="200" w:lineRule="exact"/>
        <w:rPr>
          <w:sz w:val="20"/>
          <w:szCs w:val="20"/>
          <w:color w:val="auto"/>
        </w:rPr>
      </w:pPr>
    </w:p>
    <w:p>
      <w:pPr>
        <w:sectPr>
          <w:pgSz w:w="11900" w:h="16838" w:orient="portrait"/>
          <w:cols w:equalWidth="0" w:num="2">
            <w:col w:w="2280" w:space="240"/>
            <w:col w:w="6499"/>
          </w:cols>
          <w:pgMar w:left="1440" w:top="1084" w:right="1440" w:bottom="1440" w:gutter="0" w:footer="0" w:header="0"/>
          <w:type w:val="continuous"/>
        </w:sectPr>
      </w:pPr>
    </w:p>
    <w:p>
      <w:pPr>
        <w:spacing w:after="0" w:line="72" w:lineRule="exact"/>
        <w:rPr>
          <w:sz w:val="20"/>
          <w:szCs w:val="20"/>
          <w:color w:val="auto"/>
        </w:rPr>
      </w:pPr>
    </w:p>
    <w:p>
      <w:pPr>
        <w:ind w:left="41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249555</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type w:val="continuous"/>
        </w:sectPr>
      </w:pPr>
    </w:p>
    <w:bookmarkStart w:id="5" w:name="page6"/>
    <w:bookmarkEnd w:id="5"/>
    <w:p>
      <w:pPr>
        <w:spacing w:after="0" w:line="32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32385</wp:posOffset>
            </wp:positionV>
            <wp:extent cx="14236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line="268" w:lineRule="auto"/>
        <w:rPr>
          <w:sz w:val="20"/>
          <w:szCs w:val="20"/>
          <w:color w:val="auto"/>
        </w:rPr>
      </w:pPr>
      <w:r>
        <w:rPr>
          <w:rFonts w:ascii="Arial" w:cs="Arial" w:eastAsia="Arial" w:hAnsi="Arial"/>
          <w:sz w:val="15"/>
          <w:szCs w:val="15"/>
          <w:b w:val="1"/>
          <w:bCs w:val="1"/>
          <w:i w:val="1"/>
          <w:iCs w:val="1"/>
          <w:color w:val="auto"/>
        </w:rPr>
        <w:t xml:space="preserve">Proposal 2 </w:t>
      </w:r>
      <w:r>
        <w:rPr>
          <w:rFonts w:ascii="Arial" w:cs="Arial" w:eastAsia="Arial" w:hAnsi="Arial"/>
          <w:sz w:val="15"/>
          <w:szCs w:val="15"/>
          <w:color w:val="auto"/>
        </w:rPr>
        <w:t>— To approve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proposal to reduce the Company’s required minimum asset coverage ratio from 200% to 150%, which, if approved, will have the effect of expediting the Board’s prior action permitting the Company to be subject to 150% Asset Coverage.</w:t>
      </w:r>
    </w:p>
    <w:p>
      <w:pPr>
        <w:spacing w:after="0" w:line="130" w:lineRule="exact"/>
        <w:rPr>
          <w:sz w:val="20"/>
          <w:szCs w:val="20"/>
          <w:color w:val="auto"/>
        </w:rPr>
      </w:pPr>
    </w:p>
    <w:p>
      <w:pPr>
        <w:jc w:val="both"/>
        <w:ind w:left="60" w:right="140"/>
        <w:spacing w:after="0" w:line="304" w:lineRule="auto"/>
        <w:rPr>
          <w:sz w:val="20"/>
          <w:szCs w:val="20"/>
          <w:color w:val="auto"/>
        </w:rPr>
      </w:pPr>
      <w:r>
        <w:rPr>
          <w:rFonts w:ascii="Arial" w:cs="Arial" w:eastAsia="Arial" w:hAnsi="Arial"/>
          <w:sz w:val="14"/>
          <w:szCs w:val="14"/>
          <w:b w:val="1"/>
          <w:bCs w:val="1"/>
          <w:i w:val="1"/>
          <w:iCs w:val="1"/>
          <w:color w:val="auto"/>
        </w:rPr>
        <w:t xml:space="preserve">Proposal 3 </w:t>
      </w:r>
      <w:r>
        <w:rPr>
          <w:rFonts w:ascii="Arial" w:cs="Arial" w:eastAsia="Arial" w:hAnsi="Arial"/>
          <w:sz w:val="14"/>
          <w:szCs w:val="14"/>
          <w:color w:val="auto"/>
        </w:rPr>
        <w:t>— an amendment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Company’s Charter to allow the Company’s shareholders to amend the Bylaws.</w:t>
      </w:r>
    </w:p>
    <w:p>
      <w:pPr>
        <w:spacing w:after="0" w:line="103" w:lineRule="exact"/>
        <w:rPr>
          <w:sz w:val="20"/>
          <w:szCs w:val="20"/>
          <w:color w:val="auto"/>
        </w:rPr>
      </w:pPr>
    </w:p>
    <w:p>
      <w:pPr>
        <w:ind w:left="60" w:right="100"/>
        <w:spacing w:after="0" w:line="304" w:lineRule="auto"/>
        <w:rPr>
          <w:sz w:val="20"/>
          <w:szCs w:val="20"/>
          <w:color w:val="auto"/>
        </w:rPr>
      </w:pPr>
      <w:r>
        <w:rPr>
          <w:rFonts w:ascii="Arial" w:cs="Arial" w:eastAsia="Arial" w:hAnsi="Arial"/>
          <w:sz w:val="14"/>
          <w:szCs w:val="14"/>
          <w:b w:val="1"/>
          <w:bCs w:val="1"/>
          <w:i w:val="1"/>
          <w:iCs w:val="1"/>
          <w:color w:val="auto"/>
        </w:rPr>
        <w:t xml:space="preserve">Proposal 4 </w:t>
      </w:r>
      <w:r>
        <w:rPr>
          <w:rFonts w:ascii="Arial" w:cs="Arial" w:eastAsia="Arial" w:hAnsi="Arial"/>
          <w:sz w:val="14"/>
          <w:szCs w:val="14"/>
          <w:color w:val="auto"/>
        </w:rPr>
        <w:t>— To approve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proposal to adjourn the Meeting, if necessary or appropriate, to solicit additional proxies.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Broker</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0"/>
              </w:rPr>
              <w:t>Effect of Abstentions</w:t>
            </w:r>
          </w:p>
        </w:tc>
      </w:tr>
      <w:tr>
        <w:trPr>
          <w:trHeight w:val="162"/>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Discretionary</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7"/>
              </w:rPr>
              <w:t>and Broker</w:t>
            </w:r>
          </w:p>
        </w:tc>
      </w:tr>
      <w:tr>
        <w:trPr>
          <w:trHeight w:val="186"/>
        </w:trPr>
        <w:tc>
          <w:tcPr>
            <w:tcW w:w="2360" w:type="dxa"/>
            <w:vAlign w:val="bottom"/>
            <w:gridSpan w:val="2"/>
          </w:tcPr>
          <w:p>
            <w:pPr>
              <w:ind w:left="640"/>
              <w:spacing w:after="0"/>
              <w:rPr>
                <w:sz w:val="20"/>
                <w:szCs w:val="20"/>
                <w:color w:val="auto"/>
              </w:rPr>
            </w:pPr>
            <w:r>
              <w:rPr>
                <w:rFonts w:ascii="Arial" w:cs="Arial" w:eastAsia="Arial" w:hAnsi="Arial"/>
                <w:sz w:val="14"/>
                <w:szCs w:val="14"/>
                <w:b w:val="1"/>
                <w:bCs w:val="1"/>
                <w:color w:val="auto"/>
              </w:rPr>
              <w:t>Vote Required</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Voting Allowed</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1"/>
              </w:rPr>
              <w:t>Non-Votes</w:t>
            </w:r>
          </w:p>
        </w:tc>
      </w:tr>
      <w:tr>
        <w:trPr>
          <w:trHeight w:val="26"/>
        </w:trPr>
        <w:tc>
          <w:tcPr>
            <w:tcW w:w="2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3"/>
        </w:trPr>
        <w:tc>
          <w:tcPr>
            <w:tcW w:w="2360" w:type="dxa"/>
            <w:vAlign w:val="bottom"/>
            <w:gridSpan w:val="2"/>
          </w:tcPr>
          <w:p>
            <w:pPr>
              <w:spacing w:after="0"/>
              <w:rPr>
                <w:sz w:val="20"/>
                <w:szCs w:val="20"/>
                <w:color w:val="auto"/>
              </w:rPr>
            </w:pPr>
            <w:r>
              <w:rPr>
                <w:rFonts w:ascii="Arial" w:cs="Arial" w:eastAsia="Arial" w:hAnsi="Arial"/>
                <w:sz w:val="16"/>
                <w:szCs w:val="16"/>
                <w:color w:val="auto"/>
              </w:rPr>
              <w:t>Meeting if the holders of more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than 50% of the outstanding</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voting securities of the</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Company are present or</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represented by proxy; or</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(2) more than 50% of the</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outstanding voting securities of</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6"/>
        </w:trPr>
        <w:tc>
          <w:tcPr>
            <w:tcW w:w="2360" w:type="dxa"/>
            <w:vAlign w:val="bottom"/>
            <w:gridSpan w:val="2"/>
          </w:tcPr>
          <w:p>
            <w:pPr>
              <w:spacing w:after="0"/>
              <w:rPr>
                <w:sz w:val="20"/>
                <w:szCs w:val="20"/>
                <w:color w:val="auto"/>
              </w:rPr>
            </w:pPr>
            <w:r>
              <w:rPr>
                <w:rFonts w:ascii="Arial" w:cs="Arial" w:eastAsia="Arial" w:hAnsi="Arial"/>
                <w:sz w:val="16"/>
                <w:szCs w:val="16"/>
                <w:color w:val="auto"/>
              </w:rPr>
              <w:t>the Company, whichever is less.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334"/>
        </w:trPr>
        <w:tc>
          <w:tcPr>
            <w:tcW w:w="2360" w:type="dxa"/>
            <w:vAlign w:val="bottom"/>
            <w:gridSpan w:val="2"/>
          </w:tcPr>
          <w:p>
            <w:pPr>
              <w:spacing w:after="0"/>
              <w:rPr>
                <w:sz w:val="20"/>
                <w:szCs w:val="20"/>
                <w:color w:val="auto"/>
              </w:rPr>
            </w:pPr>
            <w:r>
              <w:rPr>
                <w:rFonts w:ascii="Arial" w:cs="Arial" w:eastAsia="Arial" w:hAnsi="Arial"/>
                <w:sz w:val="16"/>
                <w:szCs w:val="16"/>
                <w:color w:val="auto"/>
              </w:rPr>
              <w:t>Affirmative vote of the holders</w:t>
            </w: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No</w:t>
            </w:r>
          </w:p>
        </w:tc>
        <w:tc>
          <w:tcPr>
            <w:tcW w:w="2240" w:type="dxa"/>
            <w:vAlign w:val="bottom"/>
          </w:tcPr>
          <w:p>
            <w:pPr>
              <w:jc w:val="center"/>
              <w:spacing w:after="0"/>
              <w:rPr>
                <w:sz w:val="20"/>
                <w:szCs w:val="20"/>
                <w:color w:val="auto"/>
              </w:rPr>
            </w:pPr>
            <w:r>
              <w:rPr>
                <w:rFonts w:ascii="Arial" w:cs="Arial" w:eastAsia="Arial" w:hAnsi="Arial"/>
                <w:sz w:val="16"/>
                <w:szCs w:val="16"/>
                <w:color w:val="auto"/>
                <w:w w:val="91"/>
              </w:rPr>
              <w:t>Abstentions and broker non-votes,</w:t>
            </w:r>
          </w:p>
        </w:tc>
      </w:tr>
      <w:tr>
        <w:trPr>
          <w:trHeight w:val="189"/>
        </w:trPr>
        <w:tc>
          <w:tcPr>
            <w:tcW w:w="2360" w:type="dxa"/>
            <w:vAlign w:val="bottom"/>
            <w:gridSpan w:val="2"/>
          </w:tcPr>
          <w:p>
            <w:pPr>
              <w:spacing w:after="0"/>
              <w:rPr>
                <w:sz w:val="20"/>
                <w:szCs w:val="20"/>
                <w:color w:val="auto"/>
              </w:rPr>
            </w:pPr>
            <w:r>
              <w:rPr>
                <w:rFonts w:ascii="Arial" w:cs="Arial" w:eastAsia="Arial" w:hAnsi="Arial"/>
                <w:sz w:val="16"/>
                <w:szCs w:val="16"/>
                <w:color w:val="auto"/>
              </w:rPr>
              <w:t>of a majority of the votes cast at</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6"/>
                <w:szCs w:val="16"/>
                <w:color w:val="auto"/>
                <w:w w:val="99"/>
              </w:rPr>
              <w:t>if any, will have no effect on the</w:t>
            </w:r>
          </w:p>
        </w:tc>
      </w:tr>
      <w:tr>
        <w:trPr>
          <w:trHeight w:val="206"/>
        </w:trPr>
        <w:tc>
          <w:tcPr>
            <w:tcW w:w="2360" w:type="dxa"/>
            <w:vAlign w:val="bottom"/>
            <w:gridSpan w:val="2"/>
          </w:tcPr>
          <w:p>
            <w:pPr>
              <w:spacing w:after="0"/>
              <w:rPr>
                <w:sz w:val="20"/>
                <w:szCs w:val="20"/>
                <w:color w:val="auto"/>
              </w:rPr>
            </w:pPr>
            <w:r>
              <w:rPr>
                <w:rFonts w:ascii="Arial" w:cs="Arial" w:eastAsia="Arial" w:hAnsi="Arial"/>
                <w:sz w:val="16"/>
                <w:szCs w:val="16"/>
                <w:color w:val="auto"/>
              </w:rPr>
              <w:t>the Meeting.</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spacing w:after="0"/>
              <w:rPr>
                <w:sz w:val="20"/>
                <w:szCs w:val="20"/>
                <w:color w:val="auto"/>
              </w:rPr>
            </w:pPr>
            <w:r>
              <w:rPr>
                <w:rFonts w:ascii="Arial" w:cs="Arial" w:eastAsia="Arial" w:hAnsi="Arial"/>
                <w:sz w:val="16"/>
                <w:szCs w:val="16"/>
                <w:color w:val="auto"/>
              </w:rPr>
              <w:t>outcome of the vote.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20"/>
                <w:szCs w:val="20"/>
                <w:color w:val="auto"/>
              </w:rPr>
            </w:pPr>
            <w:r>
              <w:rPr>
                <w:rFonts w:ascii="Arial" w:cs="Arial" w:eastAsia="Arial" w:hAnsi="Arial"/>
                <w:sz w:val="16"/>
                <w:szCs w:val="16"/>
                <w:color w:val="auto"/>
              </w:rPr>
              <w:t>Affirmative vote of the holders</w:t>
            </w:r>
          </w:p>
        </w:tc>
        <w:tc>
          <w:tcPr>
            <w:tcW w:w="800" w:type="dxa"/>
            <w:vAlign w:val="bottom"/>
          </w:tcPr>
          <w:p>
            <w:pPr>
              <w:ind w:left="320"/>
              <w:spacing w:after="0"/>
              <w:rPr>
                <w:sz w:val="20"/>
                <w:szCs w:val="20"/>
                <w:color w:val="auto"/>
              </w:rPr>
            </w:pPr>
            <w:r>
              <w:rPr>
                <w:rFonts w:ascii="Arial" w:cs="Arial" w:eastAsia="Arial" w:hAnsi="Arial"/>
                <w:sz w:val="16"/>
                <w:szCs w:val="16"/>
                <w:color w:val="auto"/>
              </w:rPr>
              <w:t>No</w:t>
            </w:r>
          </w:p>
        </w:tc>
        <w:tc>
          <w:tcPr>
            <w:tcW w:w="2540" w:type="dxa"/>
            <w:vAlign w:val="bottom"/>
          </w:tcPr>
          <w:p>
            <w:pPr>
              <w:ind w:left="300"/>
              <w:spacing w:after="0"/>
              <w:rPr>
                <w:sz w:val="20"/>
                <w:szCs w:val="20"/>
                <w:color w:val="auto"/>
              </w:rPr>
            </w:pPr>
            <w:r>
              <w:rPr>
                <w:rFonts w:ascii="Arial" w:cs="Arial" w:eastAsia="Arial" w:hAnsi="Arial"/>
                <w:sz w:val="16"/>
                <w:szCs w:val="16"/>
                <w:color w:val="auto"/>
                <w:w w:val="91"/>
              </w:rPr>
              <w:t>Abstentions and broker non-votes,</w:t>
            </w:r>
          </w:p>
        </w:tc>
      </w:tr>
      <w:tr>
        <w:trPr>
          <w:trHeight w:val="189"/>
        </w:trPr>
        <w:tc>
          <w:tcPr>
            <w:tcW w:w="2420" w:type="dxa"/>
            <w:vAlign w:val="bottom"/>
          </w:tcPr>
          <w:p>
            <w:pPr>
              <w:spacing w:after="0"/>
              <w:rPr>
                <w:sz w:val="20"/>
                <w:szCs w:val="20"/>
                <w:color w:val="auto"/>
              </w:rPr>
            </w:pPr>
            <w:r>
              <w:rPr>
                <w:rFonts w:ascii="Arial" w:cs="Arial" w:eastAsia="Arial" w:hAnsi="Arial"/>
                <w:sz w:val="16"/>
                <w:szCs w:val="16"/>
                <w:color w:val="auto"/>
              </w:rPr>
              <w:t>of a majority of the votes</w:t>
            </w:r>
          </w:p>
        </w:tc>
        <w:tc>
          <w:tcPr>
            <w:tcW w:w="800" w:type="dxa"/>
            <w:vAlign w:val="bottom"/>
          </w:tcPr>
          <w:p>
            <w:pPr>
              <w:spacing w:after="0"/>
              <w:rPr>
                <w:sz w:val="16"/>
                <w:szCs w:val="16"/>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if any, will have the effect of a</w:t>
            </w:r>
          </w:p>
        </w:tc>
      </w:tr>
      <w:tr>
        <w:trPr>
          <w:trHeight w:val="189"/>
        </w:trPr>
        <w:tc>
          <w:tcPr>
            <w:tcW w:w="2420" w:type="dxa"/>
            <w:vAlign w:val="bottom"/>
          </w:tcPr>
          <w:p>
            <w:pPr>
              <w:spacing w:after="0"/>
              <w:rPr>
                <w:sz w:val="20"/>
                <w:szCs w:val="20"/>
                <w:color w:val="auto"/>
              </w:rPr>
            </w:pPr>
            <w:r>
              <w:rPr>
                <w:rFonts w:ascii="Arial" w:cs="Arial" w:eastAsia="Arial" w:hAnsi="Arial"/>
                <w:sz w:val="16"/>
                <w:szCs w:val="16"/>
                <w:color w:val="auto"/>
              </w:rPr>
              <w:t>entitled to be cast at the</w:t>
            </w:r>
          </w:p>
        </w:tc>
        <w:tc>
          <w:tcPr>
            <w:tcW w:w="800" w:type="dxa"/>
            <w:vAlign w:val="bottom"/>
          </w:tcPr>
          <w:p>
            <w:pPr>
              <w:spacing w:after="0"/>
              <w:rPr>
                <w:sz w:val="16"/>
                <w:szCs w:val="16"/>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vote against this proposal.</w:t>
            </w: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Meeting.</w:t>
            </w:r>
          </w:p>
        </w:tc>
        <w:tc>
          <w:tcPr>
            <w:tcW w:w="8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334"/>
        </w:trPr>
        <w:tc>
          <w:tcPr>
            <w:tcW w:w="2420" w:type="dxa"/>
            <w:vAlign w:val="bottom"/>
          </w:tcPr>
          <w:p>
            <w:pPr>
              <w:spacing w:after="0"/>
              <w:rPr>
                <w:sz w:val="20"/>
                <w:szCs w:val="20"/>
                <w:color w:val="auto"/>
              </w:rPr>
            </w:pPr>
            <w:r>
              <w:rPr>
                <w:rFonts w:ascii="Arial" w:cs="Arial" w:eastAsia="Arial" w:hAnsi="Arial"/>
                <w:sz w:val="16"/>
                <w:szCs w:val="16"/>
                <w:color w:val="auto"/>
              </w:rPr>
              <w:t>Affirmative vote of the holders</w:t>
            </w:r>
          </w:p>
        </w:tc>
        <w:tc>
          <w:tcPr>
            <w:tcW w:w="800" w:type="dxa"/>
            <w:vAlign w:val="bottom"/>
          </w:tcPr>
          <w:p>
            <w:pPr>
              <w:ind w:left="320"/>
              <w:spacing w:after="0"/>
              <w:rPr>
                <w:sz w:val="20"/>
                <w:szCs w:val="20"/>
                <w:color w:val="auto"/>
              </w:rPr>
            </w:pPr>
            <w:r>
              <w:rPr>
                <w:rFonts w:ascii="Arial" w:cs="Arial" w:eastAsia="Arial" w:hAnsi="Arial"/>
                <w:sz w:val="16"/>
                <w:szCs w:val="16"/>
                <w:color w:val="auto"/>
              </w:rPr>
              <w:t>No</w:t>
            </w:r>
          </w:p>
        </w:tc>
        <w:tc>
          <w:tcPr>
            <w:tcW w:w="2540" w:type="dxa"/>
            <w:vAlign w:val="bottom"/>
          </w:tcPr>
          <w:p>
            <w:pPr>
              <w:ind w:left="300"/>
              <w:spacing w:after="0"/>
              <w:rPr>
                <w:sz w:val="20"/>
                <w:szCs w:val="20"/>
                <w:color w:val="auto"/>
              </w:rPr>
            </w:pPr>
            <w:r>
              <w:rPr>
                <w:rFonts w:ascii="Arial" w:cs="Arial" w:eastAsia="Arial" w:hAnsi="Arial"/>
                <w:sz w:val="16"/>
                <w:szCs w:val="16"/>
                <w:color w:val="auto"/>
                <w:w w:val="91"/>
              </w:rPr>
              <w:t>Abstentions and broker non-votes,</w:t>
            </w:r>
          </w:p>
        </w:tc>
      </w:tr>
      <w:tr>
        <w:trPr>
          <w:trHeight w:val="189"/>
        </w:trPr>
        <w:tc>
          <w:tcPr>
            <w:tcW w:w="2420" w:type="dxa"/>
            <w:vAlign w:val="bottom"/>
          </w:tcPr>
          <w:p>
            <w:pPr>
              <w:spacing w:after="0"/>
              <w:rPr>
                <w:sz w:val="20"/>
                <w:szCs w:val="20"/>
                <w:color w:val="auto"/>
              </w:rPr>
            </w:pPr>
            <w:r>
              <w:rPr>
                <w:rFonts w:ascii="Arial" w:cs="Arial" w:eastAsia="Arial" w:hAnsi="Arial"/>
                <w:sz w:val="16"/>
                <w:szCs w:val="16"/>
                <w:color w:val="auto"/>
              </w:rPr>
              <w:t>of a majority of the votes cast at</w:t>
            </w:r>
          </w:p>
        </w:tc>
        <w:tc>
          <w:tcPr>
            <w:tcW w:w="800" w:type="dxa"/>
            <w:vAlign w:val="bottom"/>
          </w:tcPr>
          <w:p>
            <w:pPr>
              <w:spacing w:after="0"/>
              <w:rPr>
                <w:sz w:val="16"/>
                <w:szCs w:val="16"/>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w w:val="99"/>
              </w:rPr>
              <w:t>if any, will have no effect on the</w:t>
            </w:r>
          </w:p>
        </w:tc>
      </w:tr>
      <w:tr>
        <w:trPr>
          <w:trHeight w:val="206"/>
        </w:trPr>
        <w:tc>
          <w:tcPr>
            <w:tcW w:w="2420" w:type="dxa"/>
            <w:vAlign w:val="bottom"/>
          </w:tcPr>
          <w:p>
            <w:pPr>
              <w:spacing w:after="0"/>
              <w:rPr>
                <w:sz w:val="20"/>
                <w:szCs w:val="20"/>
                <w:color w:val="auto"/>
              </w:rPr>
            </w:pPr>
            <w:r>
              <w:rPr>
                <w:rFonts w:ascii="Arial" w:cs="Arial" w:eastAsia="Arial" w:hAnsi="Arial"/>
                <w:sz w:val="16"/>
                <w:szCs w:val="16"/>
                <w:color w:val="auto"/>
              </w:rPr>
              <w:t>the Meeting.</w:t>
            </w:r>
          </w:p>
        </w:tc>
        <w:tc>
          <w:tcPr>
            <w:tcW w:w="800" w:type="dxa"/>
            <w:vAlign w:val="bottom"/>
          </w:tcPr>
          <w:p>
            <w:pPr>
              <w:spacing w:after="0"/>
              <w:rPr>
                <w:sz w:val="17"/>
                <w:szCs w:val="17"/>
                <w:color w:val="auto"/>
              </w:rPr>
            </w:pPr>
          </w:p>
        </w:tc>
        <w:tc>
          <w:tcPr>
            <w:tcW w:w="2540" w:type="dxa"/>
            <w:vAlign w:val="bottom"/>
          </w:tcPr>
          <w:p>
            <w:pPr>
              <w:ind w:left="300"/>
              <w:spacing w:after="0"/>
              <w:rPr>
                <w:sz w:val="20"/>
                <w:szCs w:val="20"/>
                <w:color w:val="auto"/>
              </w:rPr>
            </w:pPr>
            <w:r>
              <w:rPr>
                <w:rFonts w:ascii="Arial" w:cs="Arial" w:eastAsia="Arial" w:hAnsi="Arial"/>
                <w:sz w:val="16"/>
                <w:szCs w:val="16"/>
                <w:color w:val="auto"/>
              </w:rPr>
              <w:t>outcome of the vote.</w:t>
            </w:r>
          </w:p>
        </w:tc>
      </w:tr>
    </w:tbl>
    <w:p>
      <w:pPr>
        <w:spacing w:after="0" w:line="431" w:lineRule="exact"/>
        <w:rPr>
          <w:sz w:val="20"/>
          <w:szCs w:val="20"/>
          <w:color w:val="auto"/>
        </w:rPr>
      </w:pPr>
    </w:p>
    <w:p>
      <w:pPr>
        <w:sectPr>
          <w:pgSz w:w="11900" w:h="16838" w:orient="portrait"/>
          <w:cols w:equalWidth="0" w:num="2">
            <w:col w:w="2280" w:space="240"/>
            <w:col w:w="6499"/>
          </w:cols>
          <w:pgMar w:left="1440" w:top="1076" w:right="1440" w:bottom="1440" w:gutter="0" w:footer="0" w:header="0"/>
        </w:sectPr>
      </w:pPr>
    </w:p>
    <w:p>
      <w:pPr>
        <w:spacing w:after="0" w:line="60" w:lineRule="exact"/>
        <w:rPr>
          <w:sz w:val="20"/>
          <w:szCs w:val="20"/>
          <w:color w:val="auto"/>
        </w:rPr>
      </w:pPr>
    </w:p>
    <w:p>
      <w:pPr>
        <w:ind w:left="60" w:right="759" w:firstLine="360"/>
        <w:spacing w:after="0" w:line="264" w:lineRule="auto"/>
        <w:rPr>
          <w:sz w:val="20"/>
          <w:szCs w:val="20"/>
          <w:color w:val="auto"/>
        </w:rPr>
      </w:pPr>
      <w:r>
        <w:rPr>
          <w:rFonts w:ascii="Arial" w:cs="Arial" w:eastAsia="Arial" w:hAnsi="Arial"/>
          <w:sz w:val="18"/>
          <w:szCs w:val="18"/>
          <w:color w:val="auto"/>
        </w:rPr>
        <w:t>If there are not enough Common Shares represented at the Meeting for votes to approve any of the Proposals at the Meeting, the Chairman of the Meeting may adjourn the Meeting to permit the further solicitation of proxies.</w:t>
      </w:r>
    </w:p>
    <w:p>
      <w:pPr>
        <w:spacing w:after="0" w:line="164"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BROKER NON-VOTES</w:t>
      </w:r>
    </w:p>
    <w:p>
      <w:pPr>
        <w:spacing w:after="0" w:line="108" w:lineRule="exact"/>
        <w:rPr>
          <w:sz w:val="20"/>
          <w:szCs w:val="20"/>
          <w:color w:val="auto"/>
        </w:rPr>
      </w:pPr>
    </w:p>
    <w:p>
      <w:pPr>
        <w:ind w:left="60" w:right="759" w:firstLine="360"/>
        <w:spacing w:after="0" w:line="253" w:lineRule="auto"/>
        <w:rPr>
          <w:sz w:val="20"/>
          <w:szCs w:val="20"/>
          <w:color w:val="auto"/>
        </w:rPr>
      </w:pPr>
      <w:r>
        <w:rPr>
          <w:rFonts w:ascii="Arial" w:cs="Arial" w:eastAsia="Arial" w:hAnsi="Arial"/>
          <w:sz w:val="18"/>
          <w:szCs w:val="18"/>
          <w:color w:val="auto"/>
        </w:rPr>
        <w:t>If a shareholder of the Company does not vote in person at the Meeting or does not submit voting instructions to its broker, bank or other nominee, the broker, bank or other nominee will not be permitted to vote the shareholder’s shares on non-routine proposals. Each of the Proposals is a non-routine proposal. As a result, if you hold Common Shares in street name through a broker, your broker will not be permitted to exercise voting discretion with respect to the Proposals. Thus, your broker cannot vote with respect to any of the Proposals unless you give your broker specific instructions on how to vote for you. While broker non-votes would have the effect of a vote “against” Proposal 1 and Proposal 3, and would have no effect on Proposal 2, and Proposal 4, we do not expect many, if any, broker non-votes at the Meeting because there are no routine proposals to be voted on at the Meeting.</w:t>
      </w:r>
    </w:p>
    <w:p>
      <w:pPr>
        <w:spacing w:after="0" w:line="180"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VOTING AND REVOCATION OF PROXIES</w:t>
      </w:r>
    </w:p>
    <w:p>
      <w:pPr>
        <w:spacing w:after="0" w:line="108" w:lineRule="exact"/>
        <w:rPr>
          <w:sz w:val="20"/>
          <w:szCs w:val="20"/>
          <w:color w:val="auto"/>
        </w:rPr>
      </w:pPr>
    </w:p>
    <w:p>
      <w:pPr>
        <w:ind w:left="60" w:right="799" w:firstLine="360"/>
        <w:spacing w:after="0" w:line="291" w:lineRule="auto"/>
        <w:rPr>
          <w:sz w:val="20"/>
          <w:szCs w:val="20"/>
          <w:color w:val="auto"/>
        </w:rPr>
      </w:pPr>
      <w:r>
        <w:rPr>
          <w:rFonts w:ascii="Arial" w:cs="Arial" w:eastAsia="Arial" w:hAnsi="Arial"/>
          <w:sz w:val="16"/>
          <w:szCs w:val="16"/>
          <w:color w:val="auto"/>
        </w:rPr>
        <w:t>Proxies solicited by the Board of Directors of the Company will be voted in accordance with the direction given therein. If any other matters are properly brought before the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matters incident to the conduct of the Meeting and with respect to any other matter presented at the Meeting if notice of such matter has not been delivered to the Company within a reasonable time before the date of this Proxy Statement.</w:t>
      </w:r>
    </w:p>
    <w:p>
      <w:pPr>
        <w:spacing w:after="0" w:line="22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type w:val="continuous"/>
        </w:sectPr>
      </w:pPr>
    </w:p>
    <w:bookmarkStart w:id="6" w:name="page7"/>
    <w:bookmarkEnd w:id="6"/>
    <w:p>
      <w:pPr>
        <w:jc w:val="center"/>
        <w:ind w:right="679"/>
        <w:spacing w:after="0"/>
        <w:rPr>
          <w:sz w:val="20"/>
          <w:szCs w:val="20"/>
          <w:color w:val="auto"/>
        </w:rPr>
      </w:pPr>
      <w:r>
        <w:rPr>
          <w:rFonts w:ascii="Arial" w:cs="Arial" w:eastAsia="Arial" w:hAnsi="Arial"/>
          <w:sz w:val="18"/>
          <w:szCs w:val="18"/>
          <w:b w:val="1"/>
          <w:bCs w:val="1"/>
          <w:color w:val="auto"/>
        </w:rPr>
        <w:t>PROXIES FOR THE MEETING</w:t>
      </w:r>
    </w:p>
    <w:p>
      <w:pPr>
        <w:spacing w:after="0" w:line="108" w:lineRule="exact"/>
        <w:rPr>
          <w:sz w:val="20"/>
          <w:szCs w:val="20"/>
          <w:color w:val="auto"/>
        </w:rPr>
      </w:pPr>
    </w:p>
    <w:p>
      <w:pPr>
        <w:ind w:left="60" w:right="899" w:firstLine="360"/>
        <w:spacing w:after="0" w:line="259" w:lineRule="auto"/>
        <w:rPr>
          <w:sz w:val="20"/>
          <w:szCs w:val="20"/>
          <w:color w:val="auto"/>
        </w:rPr>
      </w:pPr>
      <w:r>
        <w:rPr>
          <w:rFonts w:ascii="Arial" w:cs="Arial" w:eastAsia="Arial" w:hAnsi="Arial"/>
          <w:sz w:val="18"/>
          <w:szCs w:val="18"/>
          <w:color w:val="auto"/>
        </w:rPr>
        <w:t>The named proxies for the Meeting are Michael A. Schwartz and Barry Sloane (or their duly authorized designees), who will follow submitted proxy voting instructions. They will vote as the Board of Directors recommends herein as to any submitted proxies that do not direct how to vote on any item, and will vote on any other matters properly presented at the Meeting in their judgment.</w:t>
      </w:r>
    </w:p>
    <w:p>
      <w:pPr>
        <w:spacing w:after="0" w:line="16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VOTING SECURITIES</w:t>
      </w:r>
    </w:p>
    <w:p>
      <w:pPr>
        <w:spacing w:after="0" w:line="108" w:lineRule="exact"/>
        <w:rPr>
          <w:sz w:val="20"/>
          <w:szCs w:val="20"/>
          <w:color w:val="auto"/>
        </w:rPr>
      </w:pPr>
    </w:p>
    <w:p>
      <w:pPr>
        <w:ind w:left="60" w:right="919" w:firstLine="360"/>
        <w:spacing w:after="0" w:line="259" w:lineRule="auto"/>
        <w:rPr>
          <w:sz w:val="20"/>
          <w:szCs w:val="20"/>
          <w:color w:val="auto"/>
        </w:rPr>
      </w:pPr>
      <w:r>
        <w:rPr>
          <w:rFonts w:ascii="Arial" w:cs="Arial" w:eastAsia="Arial" w:hAnsi="Arial"/>
          <w:sz w:val="18"/>
          <w:szCs w:val="18"/>
          <w:color w:val="auto"/>
        </w:rPr>
        <w:t>The securities which can be voted at the Meeting consist of the Company’s Common Shares. Shareholders of record as of the close of business on June 13, 2018 (the “Record Date”) are entitled to one vote for each Common Share then held on all matters. As of the Record Date, 18,742,425 Common Shares were issued and outstanding</w:t>
      </w:r>
    </w:p>
    <w:p>
      <w:pPr>
        <w:spacing w:after="0" w:line="79" w:lineRule="exact"/>
        <w:rPr>
          <w:sz w:val="20"/>
          <w:szCs w:val="20"/>
          <w:color w:val="auto"/>
        </w:rPr>
      </w:pPr>
    </w:p>
    <w:p>
      <w:pPr>
        <w:ind w:left="60" w:right="1219" w:firstLine="360"/>
        <w:spacing w:after="0" w:line="264" w:lineRule="auto"/>
        <w:rPr>
          <w:sz w:val="20"/>
          <w:szCs w:val="20"/>
          <w:color w:val="auto"/>
        </w:rPr>
      </w:pPr>
      <w:r>
        <w:rPr>
          <w:rFonts w:ascii="Arial" w:cs="Arial" w:eastAsia="Arial" w:hAnsi="Arial"/>
          <w:sz w:val="18"/>
          <w:szCs w:val="18"/>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164"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08" w:lineRule="exact"/>
        <w:rPr>
          <w:sz w:val="20"/>
          <w:szCs w:val="20"/>
          <w:color w:val="auto"/>
        </w:rPr>
      </w:pPr>
    </w:p>
    <w:p>
      <w:pPr>
        <w:ind w:left="60" w:right="939" w:firstLine="360"/>
        <w:spacing w:after="0" w:line="279" w:lineRule="auto"/>
        <w:rPr>
          <w:sz w:val="20"/>
          <w:szCs w:val="20"/>
          <w:color w:val="auto"/>
        </w:rPr>
      </w:pPr>
      <w:r>
        <w:rPr>
          <w:rFonts w:ascii="Arial" w:cs="Arial" w:eastAsia="Arial" w:hAnsi="Arial"/>
          <w:sz w:val="17"/>
          <w:szCs w:val="17"/>
          <w:color w:val="auto"/>
        </w:rPr>
        <w:t>The following table sets forth, as of June 13, 2018, the beneficial ownership of each current director, the Company’s executive officers, each person known to us to beneficially own 5% or more of the outstanding Common Shares, and the executive officers and directors as a group. The percentage of beneficial ownership is based on 18,742,425 Common Shares outstanding as of June 13, 2018.</w:t>
      </w:r>
    </w:p>
    <w:p>
      <w:pPr>
        <w:spacing w:after="0" w:line="63" w:lineRule="exact"/>
        <w:rPr>
          <w:sz w:val="20"/>
          <w:szCs w:val="20"/>
          <w:color w:val="auto"/>
        </w:rPr>
      </w:pPr>
    </w:p>
    <w:p>
      <w:pPr>
        <w:ind w:left="60" w:right="919" w:firstLine="360"/>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Ownership information for those persons who beneficially own 5% or more of our Common Shares is based upon filings by such persons with the SEC and other information obtained from such persons, if available.</w:t>
      </w:r>
    </w:p>
    <w:p>
      <w:pPr>
        <w:spacing w:after="0" w:line="79" w:lineRule="exact"/>
        <w:rPr>
          <w:sz w:val="20"/>
          <w:szCs w:val="20"/>
          <w:color w:val="auto"/>
        </w:rPr>
      </w:pPr>
    </w:p>
    <w:p>
      <w:pPr>
        <w:ind w:left="60" w:right="859" w:firstLine="360"/>
        <w:spacing w:after="0" w:line="293" w:lineRule="auto"/>
        <w:rPr>
          <w:sz w:val="20"/>
          <w:szCs w:val="20"/>
          <w:color w:val="auto"/>
        </w:rPr>
      </w:pPr>
      <w:r>
        <w:rPr>
          <w:rFonts w:ascii="Arial" w:cs="Arial" w:eastAsia="Arial" w:hAnsi="Arial"/>
          <w:sz w:val="16"/>
          <w:szCs w:val="16"/>
          <w:color w:val="auto"/>
        </w:rPr>
        <w:t>Unless otherwise indicated, the Company believes that each beneficial owner set forth in the table has sole voting and investment power and has the same address as the Company. The Company’s directors are divided into two groups — 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 1981 Marcus Avenue, Suite 130, Lake Success, New York 11042.</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Shares</w:t>
            </w:r>
          </w:p>
        </w:tc>
        <w:tc>
          <w:tcPr>
            <w:tcW w:w="1380" w:type="dxa"/>
            <w:vAlign w:val="bottom"/>
          </w:tcPr>
          <w:p>
            <w:pPr>
              <w:jc w:val="right"/>
              <w:ind w:right="314"/>
              <w:spacing w:after="0"/>
              <w:rPr>
                <w:sz w:val="20"/>
                <w:szCs w:val="20"/>
                <w:color w:val="auto"/>
              </w:rPr>
            </w:pPr>
            <w:r>
              <w:rPr>
                <w:rFonts w:ascii="Arial" w:cs="Arial" w:eastAsia="Arial" w:hAnsi="Arial"/>
                <w:sz w:val="14"/>
                <w:szCs w:val="14"/>
                <w:b w:val="1"/>
                <w:bCs w:val="1"/>
                <w:color w:val="auto"/>
              </w:rPr>
              <w:t>Percent of</w:t>
            </w:r>
          </w:p>
        </w:tc>
      </w:tr>
      <w:tr>
        <w:trPr>
          <w:trHeight w:val="186"/>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 Owner</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Beneficially Owned</w:t>
            </w:r>
          </w:p>
        </w:tc>
        <w:tc>
          <w:tcPr>
            <w:tcW w:w="1380" w:type="dxa"/>
            <w:vAlign w:val="bottom"/>
          </w:tcPr>
          <w:p>
            <w:pPr>
              <w:jc w:val="right"/>
              <w:ind w:right="434"/>
              <w:spacing w:after="0"/>
              <w:rPr>
                <w:sz w:val="20"/>
                <w:szCs w:val="20"/>
                <w:color w:val="auto"/>
              </w:rPr>
            </w:pPr>
            <w:r>
              <w:rPr>
                <w:rFonts w:ascii="Arial" w:cs="Arial" w:eastAsia="Arial" w:hAnsi="Arial"/>
                <w:sz w:val="14"/>
                <w:szCs w:val="14"/>
                <w:b w:val="1"/>
                <w:bCs w:val="1"/>
                <w:color w:val="auto"/>
              </w:rPr>
              <w:t>Class</w:t>
            </w:r>
          </w:p>
        </w:tc>
      </w:tr>
      <w:tr>
        <w:trPr>
          <w:trHeight w:val="26"/>
        </w:trPr>
        <w:tc>
          <w:tcPr>
            <w:tcW w:w="5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57"/>
        </w:trPr>
        <w:tc>
          <w:tcPr>
            <w:tcW w:w="5360" w:type="dxa"/>
            <w:vAlign w:val="bottom"/>
            <w:gridSpan w:val="2"/>
          </w:tcPr>
          <w:p>
            <w:pPr>
              <w:spacing w:after="0" w:line="257" w:lineRule="exact"/>
              <w:rPr>
                <w:sz w:val="20"/>
                <w:szCs w:val="20"/>
                <w:color w:val="auto"/>
              </w:rPr>
            </w:pPr>
            <w:r>
              <w:rPr>
                <w:rFonts w:ascii="Arial" w:cs="Arial" w:eastAsia="Arial" w:hAnsi="Arial"/>
                <w:sz w:val="18"/>
                <w:szCs w:val="18"/>
                <w:color w:val="auto"/>
              </w:rPr>
              <w:t>Barry Sloane</w:t>
            </w:r>
            <w:r>
              <w:rPr>
                <w:rFonts w:ascii="Arial" w:cs="Arial" w:eastAsia="Arial" w:hAnsi="Arial"/>
                <w:sz w:val="27"/>
                <w:szCs w:val="27"/>
                <w:color w:val="auto"/>
                <w:vertAlign w:val="superscript"/>
              </w:rPr>
              <w:t>(1)</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1,008,411</w:t>
            </w:r>
          </w:p>
        </w:tc>
        <w:tc>
          <w:tcPr>
            <w:tcW w:w="220" w:type="dxa"/>
            <w:vAlign w:val="bottom"/>
          </w:tcPr>
          <w:p>
            <w:pPr>
              <w:spacing w:after="0"/>
              <w:rPr>
                <w:sz w:val="22"/>
                <w:szCs w:val="22"/>
                <w:color w:val="auto"/>
              </w:rPr>
            </w:pPr>
          </w:p>
        </w:tc>
        <w:tc>
          <w:tcPr>
            <w:tcW w:w="1380" w:type="dxa"/>
            <w:vAlign w:val="bottom"/>
          </w:tcPr>
          <w:p>
            <w:pPr>
              <w:jc w:val="right"/>
              <w:ind w:right="294"/>
              <w:spacing w:after="0"/>
              <w:rPr>
                <w:sz w:val="20"/>
                <w:szCs w:val="20"/>
                <w:color w:val="auto"/>
              </w:rPr>
            </w:pPr>
            <w:r>
              <w:rPr>
                <w:rFonts w:ascii="Arial" w:cs="Arial" w:eastAsia="Arial" w:hAnsi="Arial"/>
                <w:sz w:val="18"/>
                <w:szCs w:val="18"/>
                <w:color w:val="auto"/>
              </w:rPr>
              <w:t>5.38%</w:t>
            </w:r>
          </w:p>
        </w:tc>
      </w:tr>
      <w:tr>
        <w:trPr>
          <w:trHeight w:val="257"/>
        </w:trPr>
        <w:tc>
          <w:tcPr>
            <w:tcW w:w="5360" w:type="dxa"/>
            <w:vAlign w:val="bottom"/>
            <w:gridSpan w:val="2"/>
            <w:shd w:val="clear" w:color="auto" w:fill="CCEEFF"/>
          </w:tcPr>
          <w:p>
            <w:pPr>
              <w:spacing w:after="0" w:line="257" w:lineRule="exact"/>
              <w:rPr>
                <w:sz w:val="20"/>
                <w:szCs w:val="20"/>
                <w:color w:val="auto"/>
              </w:rPr>
            </w:pPr>
            <w:r>
              <w:rPr>
                <w:rFonts w:ascii="Arial" w:cs="Arial" w:eastAsia="Arial" w:hAnsi="Arial"/>
                <w:sz w:val="18"/>
                <w:szCs w:val="18"/>
                <w:color w:val="auto"/>
              </w:rPr>
              <w:t>Peter Downs</w:t>
            </w:r>
            <w:r>
              <w:rPr>
                <w:rFonts w:ascii="Arial" w:cs="Arial" w:eastAsia="Arial" w:hAnsi="Arial"/>
                <w:sz w:val="27"/>
                <w:szCs w:val="27"/>
                <w:color w:val="auto"/>
                <w:vertAlign w:val="superscript"/>
              </w:rPr>
              <w:t>(2)</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32,193</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r>
      <w:tr>
        <w:trPr>
          <w:trHeight w:val="351"/>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Independent Directors: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3"/>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Gregory Zink</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9,327</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2"/>
          </w:tcPr>
          <w:p>
            <w:pPr>
              <w:spacing w:after="0"/>
              <w:rPr>
                <w:sz w:val="20"/>
                <w:szCs w:val="20"/>
                <w:color w:val="auto"/>
              </w:rPr>
            </w:pPr>
            <w:r>
              <w:rPr>
                <w:rFonts w:ascii="Arial" w:cs="Arial" w:eastAsia="Arial" w:hAnsi="Arial"/>
                <w:sz w:val="18"/>
                <w:szCs w:val="18"/>
                <w:color w:val="auto"/>
              </w:rPr>
              <w:t>Salvatore Mulia</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67,208</w:t>
            </w:r>
          </w:p>
        </w:tc>
        <w:tc>
          <w:tcPr>
            <w:tcW w:w="220" w:type="dxa"/>
            <w:vAlign w:val="bottom"/>
          </w:tcPr>
          <w:p>
            <w:pPr>
              <w:spacing w:after="0"/>
              <w:rPr>
                <w:sz w:val="21"/>
                <w:szCs w:val="21"/>
                <w:color w:val="auto"/>
              </w:rPr>
            </w:pPr>
          </w:p>
        </w:tc>
        <w:tc>
          <w:tcPr>
            <w:tcW w:w="1380" w:type="dxa"/>
            <w:vAlign w:val="bottom"/>
          </w:tcPr>
          <w:p>
            <w:pPr>
              <w:jc w:val="right"/>
              <w:ind w:right="434"/>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9,123</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r>
      <w:tr>
        <w:trPr>
          <w:trHeight w:val="351"/>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7"/>
        </w:trPr>
        <w:tc>
          <w:tcPr>
            <w:tcW w:w="5360" w:type="dxa"/>
            <w:vAlign w:val="bottom"/>
            <w:gridSpan w:val="2"/>
            <w:shd w:val="clear" w:color="auto" w:fill="CCEEFF"/>
          </w:tcPr>
          <w:p>
            <w:pPr>
              <w:spacing w:after="0" w:line="257" w:lineRule="exact"/>
              <w:rPr>
                <w:sz w:val="20"/>
                <w:szCs w:val="20"/>
                <w:color w:val="auto"/>
              </w:rPr>
            </w:pPr>
            <w:r>
              <w:rPr>
                <w:rFonts w:ascii="Arial" w:cs="Arial" w:eastAsia="Arial" w:hAnsi="Arial"/>
                <w:sz w:val="18"/>
                <w:szCs w:val="18"/>
                <w:color w:val="auto"/>
              </w:rPr>
              <w:t>Jennifer Eddelson</w:t>
            </w:r>
            <w:r>
              <w:rPr>
                <w:rFonts w:ascii="Arial" w:cs="Arial" w:eastAsia="Arial" w:hAnsi="Arial"/>
                <w:sz w:val="27"/>
                <w:szCs w:val="27"/>
                <w:color w:val="auto"/>
                <w:vertAlign w:val="superscript"/>
              </w:rPr>
              <w:t>(3)</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39,307</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r>
      <w:tr>
        <w:trPr>
          <w:trHeight w:val="257"/>
        </w:trPr>
        <w:tc>
          <w:tcPr>
            <w:tcW w:w="5360" w:type="dxa"/>
            <w:vAlign w:val="bottom"/>
            <w:gridSpan w:val="2"/>
          </w:tcPr>
          <w:p>
            <w:pPr>
              <w:spacing w:after="0" w:line="257" w:lineRule="exact"/>
              <w:rPr>
                <w:sz w:val="20"/>
                <w:szCs w:val="20"/>
                <w:color w:val="auto"/>
              </w:rPr>
            </w:pPr>
            <w:r>
              <w:rPr>
                <w:rFonts w:ascii="Arial" w:cs="Arial" w:eastAsia="Arial" w:hAnsi="Arial"/>
                <w:sz w:val="18"/>
                <w:szCs w:val="18"/>
                <w:color w:val="auto"/>
              </w:rPr>
              <w:t>Michael Schwartz</w:t>
            </w:r>
            <w:r>
              <w:rPr>
                <w:rFonts w:ascii="Arial" w:cs="Arial" w:eastAsia="Arial" w:hAnsi="Arial"/>
                <w:sz w:val="27"/>
                <w:szCs w:val="27"/>
                <w:color w:val="auto"/>
                <w:vertAlign w:val="superscript"/>
              </w:rPr>
              <w:t>(4)</w:t>
            </w:r>
          </w:p>
        </w:tc>
        <w:tc>
          <w:tcPr>
            <w:tcW w:w="1260" w:type="dxa"/>
            <w:vAlign w:val="bottom"/>
          </w:tcPr>
          <w:p>
            <w:pPr>
              <w:jc w:val="right"/>
              <w:ind w:right="174"/>
              <w:spacing w:after="0"/>
              <w:rPr>
                <w:sz w:val="20"/>
                <w:szCs w:val="20"/>
                <w:color w:val="auto"/>
              </w:rPr>
            </w:pPr>
            <w:r>
              <w:rPr>
                <w:rFonts w:ascii="Arial" w:cs="Arial" w:eastAsia="Arial" w:hAnsi="Arial"/>
                <w:sz w:val="18"/>
                <w:szCs w:val="18"/>
                <w:color w:val="auto"/>
              </w:rPr>
              <w:t>15,930</w:t>
            </w:r>
          </w:p>
        </w:tc>
        <w:tc>
          <w:tcPr>
            <w:tcW w:w="220" w:type="dxa"/>
            <w:vAlign w:val="bottom"/>
          </w:tcPr>
          <w:p>
            <w:pPr>
              <w:spacing w:after="0"/>
              <w:rPr>
                <w:sz w:val="22"/>
                <w:szCs w:val="22"/>
                <w:color w:val="auto"/>
              </w:rPr>
            </w:pPr>
          </w:p>
        </w:tc>
        <w:tc>
          <w:tcPr>
            <w:tcW w:w="1380" w:type="dxa"/>
            <w:vAlign w:val="bottom"/>
          </w:tcPr>
          <w:p>
            <w:pPr>
              <w:jc w:val="right"/>
              <w:ind w:right="434"/>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w w:val="94"/>
              </w:rPr>
              <w:t>All current directors and executive officers as a group (8 persons)</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1,181,449</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4243070</wp:posOffset>
            </wp:positionH>
            <wp:positionV relativeFrom="paragraph">
              <wp:posOffset>-1868805</wp:posOffset>
            </wp:positionV>
            <wp:extent cx="137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3308350</wp:posOffset>
            </wp:positionH>
            <wp:positionV relativeFrom="paragraph">
              <wp:posOffset>-1868805</wp:posOffset>
            </wp:positionV>
            <wp:extent cx="1289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146050</wp:posOffset>
            </wp:positionV>
            <wp:extent cx="12350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7" w:lineRule="exact"/>
        <w:rPr>
          <w:sz w:val="20"/>
          <w:szCs w:val="20"/>
          <w:color w:val="auto"/>
        </w:rPr>
      </w:pPr>
    </w:p>
    <w:p>
      <w:pPr>
        <w:ind w:left="420" w:hanging="35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 of total Common Shares outstanding as of the Record Date.</w:t>
      </w:r>
    </w:p>
    <w:p>
      <w:pPr>
        <w:spacing w:after="0" w:line="131" w:lineRule="exact"/>
        <w:rPr>
          <w:sz w:val="20"/>
          <w:szCs w:val="20"/>
          <w:color w:val="auto"/>
        </w:rPr>
      </w:pPr>
    </w:p>
    <w:p>
      <w:pPr>
        <w:ind w:left="420" w:hanging="352"/>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58,480 restricted Common Shares awarded in February 2018 with a three year vesting period.</w:t>
      </w:r>
    </w:p>
    <w:p>
      <w:pPr>
        <w:spacing w:after="0" w:line="128" w:lineRule="exact"/>
        <w:rPr>
          <w:rFonts w:ascii="Arial" w:cs="Arial" w:eastAsia="Arial" w:hAnsi="Arial"/>
          <w:sz w:val="17"/>
          <w:szCs w:val="17"/>
          <w:color w:val="auto"/>
        </w:rPr>
      </w:pPr>
    </w:p>
    <w:p>
      <w:pPr>
        <w:ind w:left="420" w:hanging="352"/>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13,158 restricted Common Shares awarded in February 2018 with a three year vesting period.</w:t>
      </w:r>
    </w:p>
    <w:p>
      <w:pPr>
        <w:spacing w:after="0" w:line="304"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7" w:name="page8"/>
    <w:bookmarkEnd w:id="7"/>
    <w:p>
      <w:pPr>
        <w:ind w:left="420" w:hanging="352"/>
        <w:spacing w:after="0"/>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8,772 restricted Common Shares awarded in February 2018 with a three year vesting period.</w:t>
      </w:r>
    </w:p>
    <w:p>
      <w:pPr>
        <w:spacing w:after="0" w:line="209" w:lineRule="exact"/>
        <w:rPr>
          <w:rFonts w:ascii="Arial" w:cs="Arial" w:eastAsia="Arial" w:hAnsi="Arial"/>
          <w:sz w:val="17"/>
          <w:szCs w:val="17"/>
          <w:color w:val="auto"/>
        </w:rPr>
      </w:pPr>
    </w:p>
    <w:p>
      <w:pPr>
        <w:ind w:left="420" w:hanging="352"/>
        <w:spacing w:after="0"/>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Includes 8,772 restricted Common Shares awarded in February 2018 with a three year vesting period.</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Dollar Range of Equity Securities in the Company Beneficially Owned by Each Director:</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Dollar Range of</w:t>
            </w:r>
          </w:p>
        </w:tc>
      </w:tr>
      <w:tr>
        <w:trPr>
          <w:trHeight w:val="144"/>
        </w:trPr>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Equity Securities in Newtek</w:t>
            </w:r>
          </w:p>
        </w:tc>
      </w:tr>
      <w:tr>
        <w:trPr>
          <w:trHeight w:val="243"/>
        </w:trPr>
        <w:tc>
          <w:tcPr>
            <w:tcW w:w="360" w:type="dxa"/>
            <w:vAlign w:val="bottom"/>
          </w:tcPr>
          <w:p>
            <w:pPr>
              <w:spacing w:after="0"/>
              <w:rPr>
                <w:sz w:val="21"/>
                <w:szCs w:val="21"/>
                <w:color w:val="auto"/>
              </w:rPr>
            </w:pPr>
          </w:p>
        </w:tc>
        <w:tc>
          <w:tcPr>
            <w:tcW w:w="5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Director</w:t>
            </w:r>
          </w:p>
        </w:tc>
        <w:tc>
          <w:tcPr>
            <w:tcW w:w="22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Business Services Corp.</w:t>
            </w:r>
            <w:r>
              <w:rPr>
                <w:rFonts w:ascii="Arial" w:cs="Arial" w:eastAsia="Arial" w:hAnsi="Arial"/>
                <w:sz w:val="21"/>
                <w:szCs w:val="21"/>
                <w:b w:val="1"/>
                <w:bCs w:val="1"/>
                <w:color w:val="auto"/>
                <w:w w:val="85"/>
                <w:vertAlign w:val="superscript"/>
              </w:rPr>
              <w:t>(1)(2)</w:t>
            </w:r>
          </w:p>
        </w:tc>
      </w:tr>
      <w:tr>
        <w:trPr>
          <w:trHeight w:val="250"/>
        </w:trPr>
        <w:tc>
          <w:tcPr>
            <w:tcW w:w="360" w:type="dxa"/>
            <w:vAlign w:val="bottom"/>
          </w:tcPr>
          <w:p>
            <w:pPr>
              <w:spacing w:after="0"/>
              <w:rPr>
                <w:sz w:val="21"/>
                <w:szCs w:val="21"/>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Interested Directors:</w:t>
            </w:r>
          </w:p>
        </w:tc>
        <w:tc>
          <w:tcPr>
            <w:tcW w:w="1840" w:type="dxa"/>
            <w:vAlign w:val="bottom"/>
            <w:shd w:val="clear" w:color="auto" w:fill="CCEEFF"/>
          </w:tcPr>
          <w:p>
            <w:pPr>
              <w:spacing w:after="0"/>
              <w:rPr>
                <w:sz w:val="21"/>
                <w:szCs w:val="21"/>
                <w:color w:val="auto"/>
              </w:rPr>
            </w:pPr>
          </w:p>
        </w:tc>
      </w:tr>
      <w:tr>
        <w:trPr>
          <w:trHeight w:val="257"/>
        </w:trPr>
        <w:tc>
          <w:tcPr>
            <w:tcW w:w="6020" w:type="dxa"/>
            <w:vAlign w:val="bottom"/>
            <w:gridSpan w:val="4"/>
          </w:tcPr>
          <w:p>
            <w:pPr>
              <w:ind w:left="360"/>
              <w:spacing w:after="0"/>
              <w:rPr>
                <w:sz w:val="20"/>
                <w:szCs w:val="20"/>
                <w:color w:val="auto"/>
              </w:rPr>
            </w:pPr>
            <w:r>
              <w:rPr>
                <w:rFonts w:ascii="Arial" w:cs="Arial" w:eastAsia="Arial" w:hAnsi="Arial"/>
                <w:sz w:val="18"/>
                <w:szCs w:val="18"/>
                <w:color w:val="auto"/>
              </w:rPr>
              <w:t>Barry Sloane</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57"/>
        </w:trPr>
        <w:tc>
          <w:tcPr>
            <w:tcW w:w="360" w:type="dxa"/>
            <w:vAlign w:val="bottom"/>
          </w:tcPr>
          <w:p>
            <w:pPr>
              <w:spacing w:after="0"/>
              <w:rPr>
                <w:sz w:val="22"/>
                <w:szCs w:val="22"/>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Peter Downs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365"/>
        </w:trPr>
        <w:tc>
          <w:tcPr>
            <w:tcW w:w="6020" w:type="dxa"/>
            <w:vAlign w:val="bottom"/>
            <w:gridSpan w:val="4"/>
          </w:tcPr>
          <w:p>
            <w:pPr>
              <w:ind w:left="360"/>
              <w:spacing w:after="0"/>
              <w:rPr>
                <w:sz w:val="20"/>
                <w:szCs w:val="20"/>
                <w:color w:val="auto"/>
              </w:rPr>
            </w:pPr>
            <w:r>
              <w:rPr>
                <w:rFonts w:ascii="Arial" w:cs="Arial" w:eastAsia="Arial" w:hAnsi="Arial"/>
                <w:sz w:val="18"/>
                <w:szCs w:val="18"/>
                <w:b w:val="1"/>
                <w:bCs w:val="1"/>
                <w:i w:val="1"/>
                <w:iCs w:val="1"/>
                <w:color w:val="auto"/>
              </w:rPr>
              <w:t>Independent Directors:</w:t>
            </w:r>
          </w:p>
        </w:tc>
        <w:tc>
          <w:tcPr>
            <w:tcW w:w="1840" w:type="dxa"/>
            <w:vAlign w:val="bottom"/>
          </w:tcPr>
          <w:p>
            <w:pPr>
              <w:spacing w:after="0"/>
              <w:rPr>
                <w:sz w:val="24"/>
                <w:szCs w:val="24"/>
                <w:color w:val="auto"/>
              </w:rPr>
            </w:pPr>
          </w:p>
        </w:tc>
      </w:tr>
      <w:tr>
        <w:trPr>
          <w:trHeight w:val="257"/>
        </w:trPr>
        <w:tc>
          <w:tcPr>
            <w:tcW w:w="360" w:type="dxa"/>
            <w:vAlign w:val="bottom"/>
          </w:tcPr>
          <w:p>
            <w:pPr>
              <w:spacing w:after="0"/>
              <w:rPr>
                <w:sz w:val="22"/>
                <w:szCs w:val="22"/>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Salute</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70"/>
        </w:trPr>
        <w:tc>
          <w:tcPr>
            <w:tcW w:w="6020" w:type="dxa"/>
            <w:vAlign w:val="bottom"/>
            <w:gridSpan w:val="4"/>
          </w:tcPr>
          <w:p>
            <w:pPr>
              <w:ind w:left="360"/>
              <w:spacing w:after="0"/>
              <w:rPr>
                <w:sz w:val="20"/>
                <w:szCs w:val="20"/>
                <w:color w:val="auto"/>
              </w:rPr>
            </w:pPr>
            <w:r>
              <w:rPr>
                <w:rFonts w:ascii="Arial" w:cs="Arial" w:eastAsia="Arial" w:hAnsi="Arial"/>
                <w:sz w:val="18"/>
                <w:szCs w:val="18"/>
                <w:color w:val="auto"/>
              </w:rPr>
              <w:t>Salvatore Mulia</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70"/>
        </w:trPr>
        <w:tc>
          <w:tcPr>
            <w:tcW w:w="360" w:type="dxa"/>
            <w:vAlign w:val="bottom"/>
          </w:tcPr>
          <w:p>
            <w:pPr>
              <w:spacing w:after="0"/>
              <w:rPr>
                <w:sz w:val="23"/>
                <w:szCs w:val="23"/>
                <w:color w:val="auto"/>
              </w:rPr>
            </w:pPr>
          </w:p>
        </w:tc>
        <w:tc>
          <w:tcPr>
            <w:tcW w:w="5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Zink</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70"/>
        </w:trPr>
        <w:tc>
          <w:tcPr>
            <w:tcW w:w="3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3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-1414145</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82" w:lineRule="exact"/>
        <w:rPr>
          <w:sz w:val="20"/>
          <w:szCs w:val="20"/>
          <w:color w:val="auto"/>
        </w:rPr>
      </w:pPr>
    </w:p>
    <w:p>
      <w:pPr>
        <w:ind w:left="420" w:hanging="352"/>
        <w:spacing w:after="0"/>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Dollar ranges are as follows: None, $1 – 10,000, $10,001 – $50,000, $50,001 – $100,000, or Over $100,000.</w:t>
      </w:r>
    </w:p>
    <w:p>
      <w:pPr>
        <w:spacing w:after="0" w:line="207" w:lineRule="exact"/>
        <w:rPr>
          <w:rFonts w:ascii="Arial" w:cs="Arial" w:eastAsia="Arial" w:hAnsi="Arial"/>
          <w:sz w:val="16"/>
          <w:szCs w:val="16"/>
          <w:color w:val="auto"/>
        </w:rPr>
      </w:pPr>
    </w:p>
    <w:p>
      <w:pPr>
        <w:ind w:left="420" w:right="839" w:hanging="352"/>
        <w:spacing w:after="0" w:line="26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dollar range of equity securities beneficially owned is based on the closing price for our Common Shares of $20.12 on June 8, 2018 on the Nasdaq Global Market. Beneficial ownership has been determined in accordance with Rule 13d-3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92" w:right="1440" w:bottom="1440" w:gutter="0" w:footer="0" w:header="0"/>
        </w:sectPr>
      </w:pPr>
    </w:p>
    <w:bookmarkStart w:id="8" w:name="page9"/>
    <w:bookmarkEnd w:id="8"/>
    <w:p>
      <w:pPr>
        <w:jc w:val="center"/>
        <w:ind w:left="1520" w:right="60"/>
        <w:spacing w:after="0" w:line="227" w:lineRule="auto"/>
        <w:rPr>
          <w:sz w:val="20"/>
          <w:szCs w:val="20"/>
          <w:color w:val="auto"/>
        </w:rPr>
      </w:pPr>
      <w:r>
        <w:rPr>
          <w:rFonts w:ascii="Arial" w:cs="Arial" w:eastAsia="Arial" w:hAnsi="Arial"/>
          <w:sz w:val="18"/>
          <w:szCs w:val="18"/>
          <w:b w:val="1"/>
          <w:bCs w:val="1"/>
          <w:color w:val="auto"/>
        </w:rPr>
        <w:t>PROPOSAL 1 — AUTHORIZATION FOR THE COMPANY TO SELL ITS COMMON STOCK, PAR VALUE $0.02 PER SHARE, (“COMMON SHARES”) AT A PRICE BELOW THE COMPANY’S THEN CURRENT NET ASSET VALUE PER SHARE IN ONE OR MULTIPLE OFFERINGS SUBJECT TO CERTAIN CONDITIONS SET FORTH IN THIS PROPOSAL (INCLUDING THAT THE CUMULATIVE NUMBER OF COMMON SHARES SOLD DOES NOT EXCEED 20% OF ITS THEN OUTSTANDING COMMON SHARES IMMEDIATELY PRIOR TO EACH SUCH SALE)</w:t>
      </w:r>
    </w:p>
    <w:p>
      <w:pPr>
        <w:spacing w:after="0" w:line="193" w:lineRule="exact"/>
        <w:rPr>
          <w:sz w:val="20"/>
          <w:szCs w:val="20"/>
          <w:color w:val="auto"/>
        </w:rPr>
      </w:pPr>
    </w:p>
    <w:p>
      <w:pPr>
        <w:ind w:left="60" w:right="779" w:firstLine="360"/>
        <w:spacing w:after="0" w:line="272" w:lineRule="auto"/>
        <w:rPr>
          <w:sz w:val="20"/>
          <w:szCs w:val="20"/>
          <w:color w:val="auto"/>
        </w:rPr>
      </w:pPr>
      <w:r>
        <w:rPr>
          <w:rFonts w:ascii="Arial" w:cs="Arial" w:eastAsia="Arial" w:hAnsi="Arial"/>
          <w:sz w:val="17"/>
          <w:szCs w:val="17"/>
          <w:color w:val="auto"/>
        </w:rPr>
        <w:t>Under the 1940 Act, the Company, as a business development company (“BDC”), may not sell its Common Shares at a price below the then current net asset value (“NAV”), exclusive of sales compensation, unless its shareholders approve such a sale and our Board of Directors makes certain determinations. We are seeking the authorization of our shareholders so that we may, in one or multiple public or private offerings, sell or otherwise issue Common Shares at a price below our then current NAV, subject to certain conditions discussed below. Our Board of Directors believes that having the flexibility to sell our Common Shares below NAV in certain instances is in the best interests of shareholders.</w:t>
      </w:r>
    </w:p>
    <w:p>
      <w:pPr>
        <w:spacing w:after="0" w:line="70" w:lineRule="exact"/>
        <w:rPr>
          <w:sz w:val="20"/>
          <w:szCs w:val="20"/>
          <w:color w:val="auto"/>
        </w:rPr>
      </w:pPr>
    </w:p>
    <w:p>
      <w:pPr>
        <w:ind w:left="60" w:right="779" w:firstLine="360"/>
        <w:spacing w:after="0" w:line="269" w:lineRule="auto"/>
        <w:rPr>
          <w:sz w:val="20"/>
          <w:szCs w:val="20"/>
          <w:color w:val="auto"/>
        </w:rPr>
      </w:pPr>
      <w:r>
        <w:rPr>
          <w:rFonts w:ascii="Arial" w:cs="Arial" w:eastAsia="Arial" w:hAnsi="Arial"/>
          <w:sz w:val="17"/>
          <w:szCs w:val="17"/>
          <w:color w:val="auto"/>
        </w:rPr>
        <w:t>While we have been able to access the capital necessary to finance our investment activities, capital may not be available to us on favorable terms, or at all, in light of the inherent uncertainty and volatility of the financial markets. To capitalize on these investment opportunities as they arise, we need to be able to maintain consistent access to capital. Flexibility to sell our Common Shares below NAV will provide us with better access to the capital markets as attractive investment opportunities arise, and improve our ability to grow over time and pay dividends to shareholders. Accordingly, even when our Common Shares trade at a market price below NAV, this Proposal 1 would permit us to offer and sell our Common Shares in accordance with pricing standards that market conditions generally require, subject to the conditions described below in connection with any offering undertaken pursuant to this Proposal 1. If approved, as required under the 1940 Act, the authorization would be effective for securities sold during a period beginning on the date of such shareholder approval and expiring on the earlier of the one year anniversary of the date of the Meeting, or the date of our 2019 Annual Meeting of Shareholders.</w:t>
      </w:r>
    </w:p>
    <w:p>
      <w:pPr>
        <w:spacing w:after="0" w:line="72" w:lineRule="exact"/>
        <w:rPr>
          <w:sz w:val="20"/>
          <w:szCs w:val="20"/>
          <w:color w:val="auto"/>
        </w:rPr>
      </w:pPr>
    </w:p>
    <w:p>
      <w:pPr>
        <w:ind w:left="60" w:right="859" w:firstLine="360"/>
        <w:spacing w:after="0" w:line="271" w:lineRule="auto"/>
        <w:rPr>
          <w:sz w:val="20"/>
          <w:szCs w:val="20"/>
          <w:color w:val="auto"/>
        </w:rPr>
      </w:pPr>
      <w:r>
        <w:rPr>
          <w:rFonts w:ascii="Arial" w:cs="Arial" w:eastAsia="Arial" w:hAnsi="Arial"/>
          <w:sz w:val="17"/>
          <w:szCs w:val="17"/>
          <w:color w:val="auto"/>
        </w:rPr>
        <w:t>We have no immediate plans to sell our Common Shares below NAV. However, we are seeking shareholder approval for multiple such offerings in order to maintain access to the markets if the Board of Directors determines that we should sell Common Shares below NAV. These sales typically must be undertaken quickly. The final terms of any such sale will be determined by the Board of Directors at the time of sale, and it is impracticable to describe the transaction or transactions in which our Common Shares would be sold at a price below NAV. Instead, any transaction where we sell such Common Shares, including the nature and amount of consideration that we would receive at the time of sale and the use of any such consideration, will be reviewed and approved by the Board of Directors at the time of sale.</w:t>
      </w:r>
    </w:p>
    <w:p>
      <w:pPr>
        <w:spacing w:after="0" w:line="71" w:lineRule="exact"/>
        <w:rPr>
          <w:sz w:val="20"/>
          <w:szCs w:val="20"/>
          <w:color w:val="auto"/>
        </w:rPr>
      </w:pPr>
    </w:p>
    <w:p>
      <w:pPr>
        <w:ind w:left="60" w:right="759" w:firstLine="360"/>
        <w:spacing w:after="0" w:line="257" w:lineRule="auto"/>
        <w:rPr>
          <w:sz w:val="20"/>
          <w:szCs w:val="20"/>
          <w:color w:val="auto"/>
        </w:rPr>
      </w:pPr>
      <w:r>
        <w:rPr>
          <w:rFonts w:ascii="Arial" w:cs="Arial" w:eastAsia="Arial" w:hAnsi="Arial"/>
          <w:sz w:val="18"/>
          <w:szCs w:val="18"/>
          <w:color w:val="auto"/>
        </w:rPr>
        <w:t>Subject to the condition that the cumulative number of Common Shares sold on any given date does not exceed 20% of its then outstanding Common Shares immediately prior to each such sale, there will be no limit on the percentage below NAV at which our Common Shares may be sold in an offering by the Company under this Proposal 1. If Proposal 1 is approved, no further authorization from the shareholders will be solicited prior to any such sale in accordance with the terms of Proposal 1.</w:t>
      </w:r>
    </w:p>
    <w:p>
      <w:pPr>
        <w:spacing w:after="0" w:line="76" w:lineRule="exact"/>
        <w:rPr>
          <w:sz w:val="20"/>
          <w:szCs w:val="20"/>
          <w:color w:val="auto"/>
        </w:rPr>
      </w:pPr>
    </w:p>
    <w:p>
      <w:pPr>
        <w:ind w:left="60" w:right="819" w:firstLine="360"/>
        <w:spacing w:after="0" w:line="258" w:lineRule="auto"/>
        <w:rPr>
          <w:sz w:val="20"/>
          <w:szCs w:val="20"/>
          <w:color w:val="auto"/>
        </w:rPr>
      </w:pPr>
      <w:r>
        <w:rPr>
          <w:rFonts w:ascii="Arial" w:cs="Arial" w:eastAsia="Arial" w:hAnsi="Arial"/>
          <w:sz w:val="18"/>
          <w:szCs w:val="18"/>
          <w:b w:val="1"/>
          <w:bCs w:val="1"/>
          <w:color w:val="auto"/>
        </w:rPr>
        <w:t>THE BOARD OF DIRECTORS BELIEVES THAT A VOTE “FOR” PROPOSAL 1 TO AUTHORIZE THE COMPANY TO SELL ITS COMMON SHARES AT A PRICE OR PRICES BELOW THE COMPANY’S THEN CURRENT NET ASSET VALUE PER SHARE IN ONE OR MULTIPLE OFFERINGS AS DESCRIBED HEREIN IS IN THE BEST INTERESTS OF OUR SHAREHOLDERS AND RECOMMENDS A VOTE “FOR” PROPOSAL 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Conditions for Sales below NAV</w:t>
      </w:r>
    </w:p>
    <w:p>
      <w:pPr>
        <w:spacing w:after="0" w:line="108" w:lineRule="exact"/>
        <w:rPr>
          <w:sz w:val="20"/>
          <w:szCs w:val="20"/>
          <w:color w:val="auto"/>
        </w:rPr>
      </w:pPr>
    </w:p>
    <w:p>
      <w:pPr>
        <w:jc w:val="both"/>
        <w:ind w:left="60" w:right="939" w:firstLine="360"/>
        <w:spacing w:after="0" w:line="264" w:lineRule="auto"/>
        <w:rPr>
          <w:sz w:val="20"/>
          <w:szCs w:val="20"/>
          <w:color w:val="auto"/>
        </w:rPr>
      </w:pPr>
      <w:r>
        <w:rPr>
          <w:rFonts w:ascii="Arial" w:cs="Arial" w:eastAsia="Arial" w:hAnsi="Arial"/>
          <w:sz w:val="18"/>
          <w:szCs w:val="18"/>
          <w:color w:val="auto"/>
        </w:rPr>
        <w:t>A BDC’s ability to issue shares of its common stock at a price below NAV is governed by the 1940 Act. If shareholders approve this Proposal 1, we will only sell Company Shares at a price below NAV if the following conditions are met:</w:t>
      </w:r>
    </w:p>
    <w:p>
      <w:pPr>
        <w:spacing w:after="0" w:line="154" w:lineRule="exact"/>
        <w:rPr>
          <w:sz w:val="20"/>
          <w:szCs w:val="20"/>
          <w:color w:val="auto"/>
        </w:rPr>
      </w:pPr>
    </w:p>
    <w:p>
      <w:pPr>
        <w:ind w:left="780" w:right="939" w:hanging="352"/>
        <w:spacing w:after="0" w:line="264"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majority of the Company’s directors who are not “interested persons” of the Company as defined in the 1940 Act, and who have no financial interest in the sale, shall have approved the sale and determined that it is in the best interests of the Company and its shareholders;</w:t>
      </w:r>
    </w:p>
    <w:p>
      <w:pPr>
        <w:spacing w:after="0" w:line="23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9" w:name="page10"/>
    <w:bookmarkEnd w:id="9"/>
    <w:p>
      <w:pPr>
        <w:ind w:left="780" w:right="879" w:hanging="352"/>
        <w:spacing w:after="0" w:line="271" w:lineRule="auto"/>
        <w:tabs>
          <w:tab w:leader="none" w:pos="7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majority of such directors, who are not interested persons of the Company, in consultation with the underwriter or underwriters of the offering if it is to be underwritten, have determined in good faith, and as of a time immediately prior to the first solicitation by or on behalf of the Company of firm commitments to purchase such securities or immediately prior to the issuance of such securities, that the price at which such securities are to be sold is not less than a price which closely approximates the market value of those securities, less any underwriting commission or discount; and the cumulative number of shares sold on any given date does not exceed 20% of the Company’s then outstanding Common Shares immediately prior to each such sale.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of Directors Approval</w:t>
      </w:r>
    </w:p>
    <w:p>
      <w:pPr>
        <w:spacing w:after="0" w:line="108" w:lineRule="exact"/>
        <w:rPr>
          <w:sz w:val="20"/>
          <w:szCs w:val="20"/>
          <w:color w:val="auto"/>
        </w:rPr>
      </w:pPr>
    </w:p>
    <w:p>
      <w:pPr>
        <w:ind w:left="60" w:right="779" w:firstLine="360"/>
        <w:spacing w:after="0" w:line="255" w:lineRule="auto"/>
        <w:rPr>
          <w:sz w:val="20"/>
          <w:szCs w:val="20"/>
          <w:color w:val="auto"/>
        </w:rPr>
      </w:pPr>
      <w:r>
        <w:rPr>
          <w:rFonts w:ascii="Arial" w:cs="Arial" w:eastAsia="Arial" w:hAnsi="Arial"/>
          <w:sz w:val="18"/>
          <w:szCs w:val="18"/>
          <w:color w:val="auto"/>
        </w:rPr>
        <w:t>On May 31, 2018, the Company’s Board of Directors, including a majority of the non-interested directors who have no financial interest in Proposal 1, approved Proposal 1 as in the best interests of the Company and its shareholders and is recommending that the Company’s shareholders vote in favor of this Proposal 1 to offer and sell the Company’s Common Shares at prices that may be less than NAV. In evaluating Proposal 1, the Company’s Board of Directors, including the non-interested directors, considered and evaluated factors including the following, as discussed more fully below:</w:t>
      </w:r>
    </w:p>
    <w:p>
      <w:pPr>
        <w:spacing w:after="0" w:line="153" w:lineRule="exact"/>
        <w:rPr>
          <w:sz w:val="20"/>
          <w:szCs w:val="20"/>
          <w:color w:val="auto"/>
        </w:rPr>
      </w:pPr>
    </w:p>
    <w:p>
      <w:pPr>
        <w:ind w:left="780" w:hanging="35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long-term benefits to the Company’s shareholders; and</w:t>
      </w:r>
    </w:p>
    <w:p>
      <w:pPr>
        <w:spacing w:after="0" w:line="184" w:lineRule="exact"/>
        <w:rPr>
          <w:rFonts w:ascii="Arial" w:cs="Arial" w:eastAsia="Arial" w:hAnsi="Arial"/>
          <w:sz w:val="18"/>
          <w:szCs w:val="18"/>
          <w:color w:val="auto"/>
        </w:rPr>
      </w:pPr>
    </w:p>
    <w:p>
      <w:pPr>
        <w:ind w:left="780" w:hanging="352"/>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dilution to the Company’s NAV.</w:t>
      </w:r>
    </w:p>
    <w:p>
      <w:pPr>
        <w:spacing w:after="0" w:line="117" w:lineRule="exact"/>
        <w:rPr>
          <w:sz w:val="20"/>
          <w:szCs w:val="20"/>
          <w:color w:val="auto"/>
        </w:rPr>
      </w:pPr>
    </w:p>
    <w:p>
      <w:pPr>
        <w:ind w:left="60" w:right="739" w:firstLine="360"/>
        <w:spacing w:after="0" w:line="269" w:lineRule="auto"/>
        <w:rPr>
          <w:sz w:val="20"/>
          <w:szCs w:val="20"/>
          <w:color w:val="auto"/>
        </w:rPr>
      </w:pPr>
      <w:r>
        <w:rPr>
          <w:rFonts w:ascii="Arial" w:cs="Arial" w:eastAsia="Arial" w:hAnsi="Arial"/>
          <w:sz w:val="17"/>
          <w:szCs w:val="17"/>
          <w:color w:val="auto"/>
        </w:rPr>
        <w:t>Prior to approving this Proposal 1, the Company’s Board of Directors met to consider and evaluate material that our management provided on the merits of our possibly raising additional capital and the merits of publicly offering Common Shares at a price below NAV. The Company’s Board of Directors considered the objectives of a possible offering, the mechanics of an offering, establishing size parameters for an offering, the possible effects of dilution, Common Shares trading volume, and other matters, including that the Company’s Common Shares have not traded below NAV in recent quarters. The Board of Directors evaluated a full range of offering sizes. However, the Board of Directors has not yet drawn any definite conclusions regarding the size of the any contemplated capital raises at this time, to the extent the Company’s Common Shares may trade below NAV. In determining whether or not to offer and sell Common Shares, including below NAV, the Board of Directors has a duty to act in the Company’s best interests of its shareholders and must comply with the other requirements of the 1940 Act.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Reasons to Offer Common Shares Below NAV</w:t>
      </w:r>
    </w:p>
    <w:p>
      <w:pPr>
        <w:spacing w:after="0" w:line="108" w:lineRule="exact"/>
        <w:rPr>
          <w:sz w:val="20"/>
          <w:szCs w:val="20"/>
          <w:color w:val="auto"/>
        </w:rPr>
      </w:pPr>
    </w:p>
    <w:p>
      <w:pPr>
        <w:ind w:left="60" w:right="859" w:firstLine="360"/>
        <w:spacing w:after="0" w:line="273" w:lineRule="auto"/>
        <w:rPr>
          <w:sz w:val="20"/>
          <w:szCs w:val="20"/>
          <w:color w:val="auto"/>
        </w:rPr>
      </w:pPr>
      <w:r>
        <w:rPr>
          <w:rFonts w:ascii="Arial" w:cs="Arial" w:eastAsia="Arial" w:hAnsi="Arial"/>
          <w:sz w:val="17"/>
          <w:szCs w:val="17"/>
          <w:color w:val="auto"/>
        </w:rPr>
        <w:t>Our Board of Directors believes that having the flexibility for the Company to sell its Common Shares below NAV in certain instances is in the Company’s best interests and the best interests of its shareholders. Such flexibility will enhance our ability to expand our business finance platform. If we were unable to access the capital markets when attractive investment opportunities arise, our ability to grow over time and to continue to pay dividends to shareholders could be adversely affected. In reaching that conclusion, our Board of Directors considered the following possible benefits to its shareholders: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Market Conditions Have Created Attractive Opportunities</w:t>
      </w:r>
    </w:p>
    <w:p>
      <w:pPr>
        <w:spacing w:after="0" w:line="104" w:lineRule="exact"/>
        <w:rPr>
          <w:sz w:val="20"/>
          <w:szCs w:val="20"/>
          <w:color w:val="auto"/>
        </w:rPr>
      </w:pPr>
    </w:p>
    <w:p>
      <w:pPr>
        <w:ind w:left="60" w:right="759" w:firstLine="360"/>
        <w:spacing w:after="0" w:line="255" w:lineRule="auto"/>
        <w:rPr>
          <w:sz w:val="20"/>
          <w:szCs w:val="20"/>
          <w:color w:val="auto"/>
        </w:rPr>
      </w:pPr>
      <w:r>
        <w:rPr>
          <w:rFonts w:ascii="Arial" w:cs="Arial" w:eastAsia="Arial" w:hAnsi="Arial"/>
          <w:sz w:val="18"/>
          <w:szCs w:val="18"/>
          <w:color w:val="auto"/>
        </w:rPr>
        <w:t>Current market opportunities have created, and we believe will continue to create for the foreseeable future, favorable opportunities to invest, including opportunities that, all else being equal, may increase the Company’s NAV over the longer-term, even if financed with the issuance of Common Shares below NAV. Shareholder approval of this Proposal 1, subject to the conditions detailed below, is expected to provide the Company with the flexibility to expand its business finance platform and invest in the attractive opportunities we believe are presented by current market conditions.</w:t>
      </w:r>
    </w:p>
    <w:p>
      <w:pPr>
        <w:spacing w:after="0" w:line="85" w:lineRule="exact"/>
        <w:rPr>
          <w:sz w:val="20"/>
          <w:szCs w:val="20"/>
          <w:color w:val="auto"/>
        </w:rPr>
      </w:pPr>
    </w:p>
    <w:p>
      <w:pPr>
        <w:ind w:left="60" w:right="779" w:firstLine="360"/>
        <w:spacing w:after="0" w:line="257" w:lineRule="auto"/>
        <w:rPr>
          <w:sz w:val="20"/>
          <w:szCs w:val="20"/>
          <w:color w:val="auto"/>
        </w:rPr>
      </w:pPr>
      <w:r>
        <w:rPr>
          <w:rFonts w:ascii="Arial" w:cs="Arial" w:eastAsia="Arial" w:hAnsi="Arial"/>
          <w:sz w:val="18"/>
          <w:szCs w:val="18"/>
          <w:color w:val="auto"/>
        </w:rPr>
        <w:t>Market conditions also have beneficial effects for capital providers, including reduced competition, more favorable pricing of credit risk, more conservative capital structures and more creditor-friendly contractual terms. Accordingly, we believe that the Company could benefit from access to capital in this credit market and that the current environment should provide attractive investment opportunities. Our ability to take advantage of these opportunities will depend upon its continued access to capital.</w:t>
      </w:r>
    </w:p>
    <w:p>
      <w:pPr>
        <w:spacing w:after="0" w:line="25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65"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b w:val="1"/>
          <w:bCs w:val="1"/>
          <w:i w:val="1"/>
          <w:iCs w:val="1"/>
          <w:color w:val="auto"/>
        </w:rPr>
        <w:t>Greater Investment Opportunities Due to Larger Capital Resources</w:t>
      </w:r>
    </w:p>
    <w:p>
      <w:pPr>
        <w:spacing w:after="0" w:line="104" w:lineRule="exact"/>
        <w:rPr>
          <w:sz w:val="20"/>
          <w:szCs w:val="20"/>
          <w:color w:val="auto"/>
        </w:rPr>
      </w:pPr>
    </w:p>
    <w:p>
      <w:pPr>
        <w:ind w:left="60" w:right="739" w:firstLine="360"/>
        <w:spacing w:after="0" w:line="271" w:lineRule="auto"/>
        <w:rPr>
          <w:sz w:val="20"/>
          <w:szCs w:val="20"/>
          <w:color w:val="auto"/>
        </w:rPr>
      </w:pPr>
      <w:r>
        <w:rPr>
          <w:rFonts w:ascii="Arial" w:cs="Arial" w:eastAsia="Arial" w:hAnsi="Arial"/>
          <w:sz w:val="17"/>
          <w:szCs w:val="17"/>
          <w:color w:val="auto"/>
        </w:rPr>
        <w:t>Our Board of Directors believes that additional capital raised through an offering of Common Shares may help it generate additional deal flow. Based on discussions with management, the Company’s Board of Directors believes that greater deal flow, which may be achieved with more capital, would enable the Company to be a more significant participant in the private debt and equity markets and to compete more effectively for attractive investment opportunities. Management has represented to the Company’s Board of Directors that such investment opportunities may be funded with proceeds of future offerings of Common Shares. However, management has not identified specific companies in which to invest the proceeds of an offering given that specific investment opportunities will change depending on the timing of any offering.</w:t>
      </w:r>
    </w:p>
    <w:p>
      <w:pPr>
        <w:spacing w:after="0" w:line="165" w:lineRule="exact"/>
        <w:rPr>
          <w:sz w:val="20"/>
          <w:szCs w:val="20"/>
          <w:color w:val="auto"/>
        </w:rPr>
      </w:pPr>
    </w:p>
    <w:p>
      <w:pPr>
        <w:ind w:left="60" w:right="1039"/>
        <w:spacing w:after="0" w:line="246" w:lineRule="auto"/>
        <w:rPr>
          <w:sz w:val="20"/>
          <w:szCs w:val="20"/>
          <w:color w:val="auto"/>
        </w:rPr>
      </w:pPr>
      <w:r>
        <w:rPr>
          <w:rFonts w:ascii="Arial" w:cs="Arial" w:eastAsia="Arial" w:hAnsi="Arial"/>
          <w:sz w:val="18"/>
          <w:szCs w:val="18"/>
          <w:b w:val="1"/>
          <w:bCs w:val="1"/>
          <w:i w:val="1"/>
          <w:iCs w:val="1"/>
          <w:color w:val="auto"/>
        </w:rPr>
        <w:t>Higher Market Capitalization and Liquidity May Make the Company’s Common Shares More Attractive to Investors</w:t>
      </w:r>
    </w:p>
    <w:p>
      <w:pPr>
        <w:spacing w:after="0" w:line="75" w:lineRule="exact"/>
        <w:rPr>
          <w:sz w:val="20"/>
          <w:szCs w:val="20"/>
          <w:color w:val="auto"/>
        </w:rPr>
      </w:pPr>
    </w:p>
    <w:p>
      <w:pPr>
        <w:ind w:left="60" w:right="959" w:firstLine="360"/>
        <w:spacing w:after="0" w:line="255" w:lineRule="auto"/>
        <w:rPr>
          <w:sz w:val="20"/>
          <w:szCs w:val="20"/>
          <w:color w:val="auto"/>
        </w:rPr>
      </w:pPr>
      <w:r>
        <w:rPr>
          <w:rFonts w:ascii="Arial" w:cs="Arial" w:eastAsia="Arial" w:hAnsi="Arial"/>
          <w:sz w:val="18"/>
          <w:szCs w:val="18"/>
          <w:color w:val="auto"/>
        </w:rPr>
        <w:t>If the Company issues Common Shares, its market capitalization and the amount of its publicly tradable Common Shares will increase, which may afford all holders of its Common Shares greater liquidity. A larger market capitalization may make the Company’s stock more attractive to a larger number of investors who have limitations of the size of companies in which they invest. Furthermore, a larger number of Common Shares outstanding may increase the Company’s trading volume, which could decrease the volatility in the secondary market price of its Common Shares.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Initiation and Possible Increase of Dividends</w:t>
      </w:r>
    </w:p>
    <w:p>
      <w:pPr>
        <w:spacing w:after="0" w:line="104" w:lineRule="exact"/>
        <w:rPr>
          <w:sz w:val="20"/>
          <w:szCs w:val="20"/>
          <w:color w:val="auto"/>
        </w:rPr>
      </w:pPr>
    </w:p>
    <w:p>
      <w:pPr>
        <w:ind w:left="60" w:right="939" w:firstLine="360"/>
        <w:spacing w:after="0" w:line="277" w:lineRule="auto"/>
        <w:rPr>
          <w:sz w:val="20"/>
          <w:szCs w:val="20"/>
          <w:color w:val="auto"/>
        </w:rPr>
      </w:pPr>
      <w:r>
        <w:rPr>
          <w:rFonts w:ascii="Arial" w:cs="Arial" w:eastAsia="Arial" w:hAnsi="Arial"/>
          <w:sz w:val="18"/>
          <w:szCs w:val="18"/>
          <w:color w:val="auto"/>
        </w:rPr>
        <w:t>A larger and more diversified portfolio could provide the Company with more consistent cash flow, which may support the growth of its dividend.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Reduced Expenses Per Share</w:t>
      </w:r>
    </w:p>
    <w:p>
      <w:pPr>
        <w:spacing w:after="0" w:line="104" w:lineRule="exact"/>
        <w:rPr>
          <w:sz w:val="20"/>
          <w:szCs w:val="20"/>
          <w:color w:val="auto"/>
        </w:rPr>
      </w:pPr>
    </w:p>
    <w:p>
      <w:pPr>
        <w:ind w:left="60" w:right="779" w:firstLine="360"/>
        <w:spacing w:after="0" w:line="279" w:lineRule="auto"/>
        <w:rPr>
          <w:sz w:val="20"/>
          <w:szCs w:val="20"/>
          <w:color w:val="auto"/>
        </w:rPr>
      </w:pPr>
      <w:r>
        <w:rPr>
          <w:rFonts w:ascii="Arial" w:cs="Arial" w:eastAsia="Arial" w:hAnsi="Arial"/>
          <w:sz w:val="17"/>
          <w:szCs w:val="17"/>
          <w:color w:val="auto"/>
        </w:rPr>
        <w:t>An offering that increases the Company’s total assets may reduce its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Status as a BDC and RIC and Maintaining a Favorable Debt-to-Equity Ratio</w:t>
      </w:r>
    </w:p>
    <w:p>
      <w:pPr>
        <w:spacing w:after="0" w:line="104" w:lineRule="exact"/>
        <w:rPr>
          <w:sz w:val="20"/>
          <w:szCs w:val="20"/>
          <w:color w:val="auto"/>
        </w:rPr>
      </w:pPr>
    </w:p>
    <w:p>
      <w:pPr>
        <w:ind w:left="60" w:right="799" w:firstLine="360"/>
        <w:spacing w:after="0" w:line="268" w:lineRule="auto"/>
        <w:rPr>
          <w:sz w:val="20"/>
          <w:szCs w:val="20"/>
          <w:color w:val="auto"/>
        </w:rPr>
      </w:pPr>
      <w:r>
        <w:rPr>
          <w:rFonts w:ascii="Arial" w:cs="Arial" w:eastAsia="Arial" w:hAnsi="Arial"/>
          <w:sz w:val="17"/>
          <w:szCs w:val="17"/>
          <w:color w:val="auto"/>
        </w:rPr>
        <w:t>As a BDC, and as a Company that has elected to be treated as a RIC for tax purposes beginning with our tax year ended December 31, 2015, the Company is dependent on its ability to raise capital through the sale of Common Shares. RICs generally must distribute substantially all of their earnings from dividends, interest and short-term gains to shareholders as dividends in order to achieve tax treatment as a RIC, which prevents the Company from using those earnings to support new investments. Further, BDCs generally must maintain a debt to equity ratio of less than 1:1, which currently requires the Company to finance its investments with at least as much equity as debt, in the aggregate. The Company’s Board of Directors, including a majority of the non-interested directors, passed a resolution permitting the Company to be subject to a debt to equity ratio of 2:1, effective April 27, 2019. However, Proposal 2 below, if approved, would allow the Company to immediately increase its leverage up to a debt to equity ratio of 2:1. To continue to build the Company’s investment portfolio, and thereby support maintenance and growth of the Company’s dividends, the Company endeavors to maintain consistent access to capital through the public and private equity markets to enable it to take advantage of investment opportunities as they arise.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Trading History</w:t>
      </w:r>
    </w:p>
    <w:p>
      <w:pPr>
        <w:spacing w:after="0" w:line="104" w:lineRule="exact"/>
        <w:rPr>
          <w:sz w:val="20"/>
          <w:szCs w:val="20"/>
          <w:color w:val="auto"/>
        </w:rPr>
      </w:pPr>
    </w:p>
    <w:p>
      <w:pPr>
        <w:ind w:left="60" w:right="799" w:firstLine="360"/>
        <w:spacing w:after="0" w:line="273" w:lineRule="auto"/>
        <w:rPr>
          <w:sz w:val="20"/>
          <w:szCs w:val="20"/>
          <w:color w:val="auto"/>
        </w:rPr>
      </w:pPr>
      <w:r>
        <w:rPr>
          <w:rFonts w:ascii="Arial" w:cs="Arial" w:eastAsia="Arial" w:hAnsi="Arial"/>
          <w:sz w:val="17"/>
          <w:szCs w:val="17"/>
          <w:color w:val="auto"/>
        </w:rPr>
        <w:t>Shares of BDCs may trade at a market price that is less than the value of the net assets attributable to those shares. The possibility that the Company’s Common Shares will trade at a discount from NAV, or at premiums that are unsustainable over the long term, are separate and distinct from the risk that the Company’s NAV will decrease. The Company’s Common Shares have traded at a price both above and below their NAV since they began trading on the Nasdaq Global Market. It is not possible to predict whether the Company’s Common Shares will trade at, above, or below NAV. The following table sets forth,</w:t>
      </w:r>
    </w:p>
    <w:p>
      <w:pPr>
        <w:spacing w:after="0" w:line="24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1" w:right="1440" w:bottom="1440" w:gutter="0" w:footer="0" w:header="0"/>
        </w:sectPr>
      </w:pPr>
    </w:p>
    <w:bookmarkStart w:id="11" w:name="page12"/>
    <w:bookmarkEnd w:id="11"/>
    <w:p>
      <w:pPr>
        <w:ind w:left="60" w:right="959"/>
        <w:spacing w:after="0" w:line="286" w:lineRule="auto"/>
        <w:rPr>
          <w:sz w:val="20"/>
          <w:szCs w:val="20"/>
          <w:color w:val="auto"/>
        </w:rPr>
      </w:pPr>
      <w:r>
        <w:rPr>
          <w:rFonts w:ascii="Arial" w:cs="Arial" w:eastAsia="Arial" w:hAnsi="Arial"/>
          <w:sz w:val="17"/>
          <w:szCs w:val="17"/>
          <w:color w:val="auto"/>
        </w:rPr>
        <w:t>for the two most recent fiscal years and the current fiscal year, the range of high and low sales prices of our Common Shares as reported on the Nasdaq Global Market, our NAV per share, the premium (discount) of high sales price to NAV and the premium (discount) of low sales price to NAV:</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Premium</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Premium</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(Discount) of</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(Discount) of</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Price Range</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High Sales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Low Sales</w:t>
            </w:r>
          </w:p>
        </w:tc>
        <w:tc>
          <w:tcPr>
            <w:tcW w:w="0" w:type="dxa"/>
            <w:vAlign w:val="bottom"/>
          </w:tcPr>
          <w:p>
            <w:pPr>
              <w:spacing w:after="0"/>
              <w:rPr>
                <w:sz w:val="1"/>
                <w:szCs w:val="1"/>
                <w:color w:val="auto"/>
              </w:rPr>
            </w:pPr>
          </w:p>
        </w:tc>
      </w:tr>
      <w:tr>
        <w:trPr>
          <w:trHeight w:val="105"/>
        </w:trPr>
        <w:tc>
          <w:tcPr>
            <w:tcW w:w="3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restart"/>
          </w:tcPr>
          <w:p>
            <w:pPr>
              <w:jc w:val="center"/>
              <w:ind w:right="240"/>
              <w:spacing w:after="0" w:line="125" w:lineRule="exact"/>
              <w:rPr>
                <w:sz w:val="20"/>
                <w:szCs w:val="20"/>
                <w:color w:val="auto"/>
              </w:rPr>
            </w:pPr>
            <w:r>
              <w:rPr>
                <w:rFonts w:ascii="Arial" w:cs="Arial" w:eastAsia="Arial" w:hAnsi="Arial"/>
                <w:sz w:val="14"/>
                <w:szCs w:val="14"/>
                <w:b w:val="1"/>
                <w:bCs w:val="1"/>
                <w:color w:val="auto"/>
                <w:w w:val="89"/>
              </w:rPr>
              <w:t>Price to</w:t>
            </w:r>
          </w:p>
        </w:tc>
        <w:tc>
          <w:tcPr>
            <w:tcW w:w="840" w:type="dxa"/>
            <w:vAlign w:val="bottom"/>
            <w:vMerge w:val="restart"/>
          </w:tcPr>
          <w:p>
            <w:pPr>
              <w:jc w:val="center"/>
              <w:spacing w:after="0" w:line="125" w:lineRule="exact"/>
              <w:rPr>
                <w:sz w:val="20"/>
                <w:szCs w:val="20"/>
                <w:color w:val="auto"/>
              </w:rPr>
            </w:pPr>
            <w:r>
              <w:rPr>
                <w:rFonts w:ascii="Arial" w:cs="Arial" w:eastAsia="Arial" w:hAnsi="Arial"/>
                <w:sz w:val="14"/>
                <w:szCs w:val="14"/>
                <w:b w:val="1"/>
                <w:bCs w:val="1"/>
                <w:color w:val="auto"/>
                <w:w w:val="93"/>
              </w:rPr>
              <w:t>Price to</w:t>
            </w:r>
          </w:p>
        </w:tc>
        <w:tc>
          <w:tcPr>
            <w:tcW w:w="0" w:type="dxa"/>
            <w:vAlign w:val="bottom"/>
          </w:tcPr>
          <w:p>
            <w:pPr>
              <w:spacing w:after="0"/>
              <w:rPr>
                <w:sz w:val="1"/>
                <w:szCs w:val="1"/>
                <w:color w:val="auto"/>
              </w:rPr>
            </w:pPr>
          </w:p>
        </w:tc>
      </w:tr>
      <w:tr>
        <w:trPr>
          <w:trHeight w:val="26"/>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2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4"/>
              </w:rPr>
              <w:t>NAV</w:t>
            </w:r>
            <w:r>
              <w:rPr>
                <w:rFonts w:ascii="Arial" w:cs="Arial" w:eastAsia="Arial" w:hAnsi="Arial"/>
                <w:sz w:val="21"/>
                <w:szCs w:val="21"/>
                <w:b w:val="1"/>
                <w:bCs w:val="1"/>
                <w:color w:val="auto"/>
                <w:w w:val="94"/>
                <w:vertAlign w:val="superscript"/>
              </w:rPr>
              <w:t>(1)</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NAV</w:t>
            </w:r>
            <w:r>
              <w:rPr>
                <w:rFonts w:ascii="Arial" w:cs="Arial" w:eastAsia="Arial" w:hAnsi="Arial"/>
                <w:sz w:val="21"/>
                <w:szCs w:val="21"/>
                <w:b w:val="1"/>
                <w:bCs w:val="1"/>
                <w:color w:val="auto"/>
                <w:w w:val="89"/>
                <w:vertAlign w:val="superscript"/>
              </w:rPr>
              <w:t>(2)</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NAV</w:t>
            </w:r>
            <w:r>
              <w:rPr>
                <w:rFonts w:ascii="Arial" w:cs="Arial" w:eastAsia="Arial" w:hAnsi="Arial"/>
                <w:sz w:val="21"/>
                <w:szCs w:val="21"/>
                <w:b w:val="1"/>
                <w:bCs w:val="1"/>
                <w:color w:val="auto"/>
                <w:w w:val="89"/>
                <w:vertAlign w:val="superscript"/>
              </w:rPr>
              <w:t>(2)</w:t>
            </w:r>
          </w:p>
        </w:tc>
        <w:tc>
          <w:tcPr>
            <w:tcW w:w="0" w:type="dxa"/>
            <w:vAlign w:val="bottom"/>
          </w:tcPr>
          <w:p>
            <w:pPr>
              <w:spacing w:after="0"/>
              <w:rPr>
                <w:sz w:val="1"/>
                <w:szCs w:val="1"/>
                <w:color w:val="auto"/>
              </w:rPr>
            </w:pPr>
          </w:p>
        </w:tc>
      </w:tr>
      <w:tr>
        <w:trPr>
          <w:trHeight w:val="222"/>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January 1, 2016</w:t>
            </w: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March 31, 2016</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$14.51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$14.10</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Second Quarter: April 1, 2016</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Through June 30, 2016</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$13.36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11.83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$14.11</w:t>
            </w: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July 1, 2016</w:t>
            </w: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September 30, 2016</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$14.44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12.26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$14.26</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Fourth Quarter: October 1, 2016</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Through December 31, 2016</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$16.09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13.76</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$14.30</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0"/>
                <w:szCs w:val="20"/>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January 1, 2017</w:t>
            </w: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March 31, 2017</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$17.58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15.15</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$14.31</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Second Quarter: April 1, 2017</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Through June 30, 2017</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$18.00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15.68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$14.36</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9"/>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 July 1, 2017</w:t>
            </w: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September 30, 2017</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$18.09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15.98</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$14.40</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2"/>
        </w:trPr>
        <w:tc>
          <w:tcPr>
            <w:tcW w:w="4140" w:type="dxa"/>
            <w:vAlign w:val="bottom"/>
            <w:gridSpan w:val="2"/>
          </w:tcPr>
          <w:p>
            <w:pPr>
              <w:spacing w:after="0"/>
              <w:rPr>
                <w:sz w:val="20"/>
                <w:szCs w:val="20"/>
                <w:color w:val="auto"/>
              </w:rPr>
            </w:pPr>
            <w:r>
              <w:rPr>
                <w:rFonts w:ascii="Arial" w:cs="Arial" w:eastAsia="Arial" w:hAnsi="Arial"/>
                <w:sz w:val="18"/>
                <w:szCs w:val="18"/>
                <w:color w:val="auto"/>
              </w:rPr>
              <w:t>Fourth Quarter: October 1, 2017</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Through December 31, 2017</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$19.20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16.48</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$15.08</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9"/>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January 1, 2018</w:t>
            </w: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Through March 31, 2018</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$18.91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16.47</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$15.05</w:t>
            </w: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2"/>
        </w:trPr>
        <w:tc>
          <w:tcPr>
            <w:tcW w:w="4140" w:type="dxa"/>
            <w:vAlign w:val="bottom"/>
            <w:gridSpan w:val="2"/>
          </w:tcPr>
          <w:p>
            <w:pPr>
              <w:spacing w:after="0"/>
              <w:rPr>
                <w:sz w:val="20"/>
                <w:szCs w:val="20"/>
                <w:color w:val="auto"/>
              </w:rPr>
            </w:pPr>
            <w:r>
              <w:rPr>
                <w:rFonts w:ascii="Arial" w:cs="Arial" w:eastAsia="Arial" w:hAnsi="Arial"/>
                <w:sz w:val="18"/>
                <w:szCs w:val="18"/>
                <w:color w:val="auto"/>
              </w:rPr>
              <w:t>Second Quarter: April 1, 2018</w:t>
            </w: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ind w:left="180"/>
              <w:spacing w:after="0"/>
              <w:rPr>
                <w:sz w:val="20"/>
                <w:szCs w:val="20"/>
                <w:color w:val="auto"/>
              </w:rPr>
            </w:pPr>
            <w:r>
              <w:rPr>
                <w:rFonts w:ascii="Arial" w:cs="Arial" w:eastAsia="Arial" w:hAnsi="Arial"/>
                <w:sz w:val="18"/>
                <w:szCs w:val="18"/>
                <w:color w:val="auto"/>
              </w:rPr>
              <w:t>Through June 8, 2018</w:t>
            </w:r>
          </w:p>
        </w:tc>
        <w:tc>
          <w:tcPr>
            <w:tcW w:w="7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$20.76</w:t>
            </w:r>
          </w:p>
        </w:tc>
        <w:tc>
          <w:tcPr>
            <w:tcW w:w="12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17.53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-3035300</wp:posOffset>
            </wp:positionV>
            <wp:extent cx="137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2990850</wp:posOffset>
            </wp:positionH>
            <wp:positionV relativeFrom="paragraph">
              <wp:posOffset>-3035300</wp:posOffset>
            </wp:positionV>
            <wp:extent cx="137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4585970</wp:posOffset>
            </wp:positionH>
            <wp:positionV relativeFrom="paragraph">
              <wp:posOffset>-3035300</wp:posOffset>
            </wp:positionV>
            <wp:extent cx="1371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-3035300</wp:posOffset>
            </wp:positionV>
            <wp:extent cx="137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2527935</wp:posOffset>
            </wp:positionH>
            <wp:positionV relativeFrom="paragraph">
              <wp:posOffset>-3035300</wp:posOffset>
            </wp:positionV>
            <wp:extent cx="1371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180340</wp:posOffset>
            </wp:positionV>
            <wp:extent cx="1235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420" w:right="779" w:hanging="352"/>
        <w:spacing w:after="0" w:line="286"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NAV per share is determined as of the last day in the relevant quarter and therefore may not reflect the NAV per share on the date of the high and low sales prices. The values reflect shareholders’ equity per share/NAV and are based on outstanding shares at the end of each period.</w:t>
      </w:r>
    </w:p>
    <w:p>
      <w:pPr>
        <w:spacing w:after="0" w:line="125" w:lineRule="exact"/>
        <w:rPr>
          <w:rFonts w:ascii="Arial" w:cs="Arial" w:eastAsia="Arial" w:hAnsi="Arial"/>
          <w:sz w:val="17"/>
          <w:szCs w:val="17"/>
          <w:color w:val="auto"/>
        </w:rPr>
      </w:pPr>
    </w:p>
    <w:p>
      <w:pPr>
        <w:ind w:left="420" w:right="1539" w:hanging="352"/>
        <w:spacing w:after="0" w:line="34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Calculated as the respective high or low sales price less NAV or shareholders’ equity per share, as applicable, divided by NAV or shareholders’ equity per share, as applicable and subtracting 1.</w:t>
      </w:r>
    </w:p>
    <w:p>
      <w:pPr>
        <w:spacing w:after="0" w:line="83" w:lineRule="exact"/>
        <w:rPr>
          <w:sz w:val="20"/>
          <w:szCs w:val="20"/>
          <w:color w:val="auto"/>
        </w:rPr>
      </w:pPr>
    </w:p>
    <w:p>
      <w:pPr>
        <w:ind w:left="420" w:hanging="35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determinable at time of filing.</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Shareholder Considerations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Dilution</w:t>
      </w:r>
    </w:p>
    <w:p>
      <w:pPr>
        <w:spacing w:after="0" w:line="104" w:lineRule="exact"/>
        <w:rPr>
          <w:sz w:val="20"/>
          <w:szCs w:val="20"/>
          <w:color w:val="auto"/>
        </w:rPr>
      </w:pPr>
    </w:p>
    <w:p>
      <w:pPr>
        <w:ind w:left="60" w:right="799" w:firstLine="360"/>
        <w:spacing w:after="0" w:line="283" w:lineRule="auto"/>
        <w:rPr>
          <w:sz w:val="20"/>
          <w:szCs w:val="20"/>
          <w:color w:val="auto"/>
        </w:rPr>
      </w:pPr>
      <w:r>
        <w:rPr>
          <w:rFonts w:ascii="Arial" w:cs="Arial" w:eastAsia="Arial" w:hAnsi="Arial"/>
          <w:sz w:val="16"/>
          <w:szCs w:val="16"/>
          <w:color w:val="auto"/>
        </w:rPr>
        <w:t>Before voting on this Proposal 1 or giving proxies with regard to this matter, shareholders should consider the potentially dilutive effect of the issuance of the Company’s Common Shares at a price that is less than the NAV per share and the expenses associated with such issuance on the NAV per outstanding Common Shares. Any sale of Common Shares at a price below NAV would result in an immediate decrease (often called dilution) in the NAV of the Common Shares held by existing common shareholders. This dilution would include reduction in the NAV per share as a result of the issuance of shares at a price below the NAV per share and a disproportionately greater decrease in a shareholder’s interest in the earnings and assets of the Company and voting interest in the Company than the increase in the assets of the Company resulting from such issuance. Subject to the condition that the cumulative number of Common Shares sold on any given date does not exceed 20% of its then outstanding Common Shares immediately prior to each such sale, there will be no limit on</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percentage below NAV at which Common Shares may be sold in an</w:t>
      </w:r>
    </w:p>
    <w:p>
      <w:pPr>
        <w:spacing w:after="0" w:line="27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233680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2" w:name="page13"/>
    <w:bookmarkEnd w:id="12"/>
    <w:p>
      <w:pPr>
        <w:ind w:left="60" w:right="819"/>
        <w:spacing w:after="0" w:line="259" w:lineRule="auto"/>
        <w:rPr>
          <w:sz w:val="20"/>
          <w:szCs w:val="20"/>
          <w:color w:val="auto"/>
        </w:rPr>
      </w:pPr>
      <w:r>
        <w:rPr>
          <w:rFonts w:ascii="Arial" w:cs="Arial" w:eastAsia="Arial" w:hAnsi="Arial"/>
          <w:sz w:val="18"/>
          <w:szCs w:val="18"/>
          <w:color w:val="auto"/>
        </w:rPr>
        <w:t>offering by the Company under this Proposal 1. The Board of Directors of the Company will consider the potential dilutive effect of the issuance of Common Shares at a price below the NAV per share and will consider again such dilutive effect when considering whether to authorize any specific issuance of Common Shares below NAV.</w:t>
      </w:r>
    </w:p>
    <w:p>
      <w:pPr>
        <w:spacing w:after="0" w:line="79" w:lineRule="exact"/>
        <w:rPr>
          <w:sz w:val="20"/>
          <w:szCs w:val="20"/>
          <w:color w:val="auto"/>
        </w:rPr>
      </w:pPr>
    </w:p>
    <w:p>
      <w:pPr>
        <w:ind w:left="60" w:right="779" w:firstLine="360"/>
        <w:spacing w:after="0" w:line="287" w:lineRule="auto"/>
        <w:rPr>
          <w:sz w:val="20"/>
          <w:szCs w:val="20"/>
          <w:color w:val="auto"/>
        </w:rPr>
      </w:pPr>
      <w:r>
        <w:rPr>
          <w:rFonts w:ascii="Arial" w:cs="Arial" w:eastAsia="Arial" w:hAnsi="Arial"/>
          <w:sz w:val="16"/>
          <w:szCs w:val="16"/>
          <w:color w:val="auto"/>
        </w:rPr>
        <w:t>In addition, shareholders should consider the risk that the approval of this Proposal 1 could cause the market price of the Company’s Common Shares to decline in anticipation of sales of its Common Shares below NAV, thus causing the Company’s Common Shares to trade at a discount to NAV. The 1940 Act establishes a connection between common share sale price and NAV because, when common shares are sold at a sale price below NAV per share, the resulting increase in the number of outstanding shares reduces NAV per share. Shareholders should also consider that they will have no subscription, preferential or preemptive rights to additional Common Shares proposed to be authorized for issuance, and thus any future issuance of Common Shares will dilute such shareholders’ holdings of Common Shares as a percentage of the Company’s Common Shares outstanding to the extent shareholders do not purchase sufficient Common Shares in the offering or otherwise to maintain their percentage interest. Further, if current shareholders of the Company do not purchase any Common Shares to maintain their percentage interest, regardless of whether such offering is above or below the then-current NAV, their voting power will be diluted.</w:t>
      </w:r>
    </w:p>
    <w:p>
      <w:pPr>
        <w:spacing w:after="0" w:line="61" w:lineRule="exact"/>
        <w:rPr>
          <w:sz w:val="20"/>
          <w:szCs w:val="20"/>
          <w:color w:val="auto"/>
        </w:rPr>
      </w:pPr>
    </w:p>
    <w:p>
      <w:pPr>
        <w:ind w:left="60" w:right="759" w:firstLine="360"/>
        <w:spacing w:after="0" w:line="297" w:lineRule="auto"/>
        <w:rPr>
          <w:sz w:val="20"/>
          <w:szCs w:val="20"/>
          <w:color w:val="auto"/>
        </w:rPr>
      </w:pPr>
      <w:r>
        <w:rPr>
          <w:rFonts w:ascii="Arial" w:cs="Arial" w:eastAsia="Arial" w:hAnsi="Arial"/>
          <w:sz w:val="16"/>
          <w:szCs w:val="16"/>
          <w:color w:val="auto"/>
        </w:rPr>
        <w:t>The precise extent of any such dilution cannot be estimated before the terms of a Common Share offering are set. As a general proposition, however, the amount of potential dilution will increase as the size of the offering increases. Another factor that will influence the amount of dilution in an offering is the amount of net proceeds that we receive from such offering. The Board of Directors would expect that the net proceeds to us will be equal to the price that investors pay per share less the amount of any underwriting discounts and commissions.</w:t>
      </w:r>
    </w:p>
    <w:p>
      <w:pPr>
        <w:spacing w:after="0" w:line="50" w:lineRule="exact"/>
        <w:rPr>
          <w:sz w:val="20"/>
          <w:szCs w:val="20"/>
          <w:color w:val="auto"/>
        </w:rPr>
      </w:pPr>
    </w:p>
    <w:p>
      <w:pPr>
        <w:jc w:val="both"/>
        <w:ind w:left="60" w:right="759" w:firstLine="360"/>
        <w:spacing w:after="0" w:line="264" w:lineRule="auto"/>
        <w:rPr>
          <w:sz w:val="20"/>
          <w:szCs w:val="20"/>
          <w:color w:val="auto"/>
        </w:rPr>
      </w:pPr>
      <w:r>
        <w:rPr>
          <w:rFonts w:ascii="Arial" w:cs="Arial" w:eastAsia="Arial" w:hAnsi="Arial"/>
          <w:sz w:val="18"/>
          <w:szCs w:val="18"/>
          <w:color w:val="auto"/>
        </w:rPr>
        <w:t>As discussed above, it should be noted that the cumulative number of Common Shares sold from an offering of Company’s Common Shares will not exceed 20% of its then outstanding Common Shares immediately prior to each such sale.</w:t>
      </w:r>
    </w:p>
    <w:p>
      <w:pPr>
        <w:spacing w:after="0" w:line="73" w:lineRule="exact"/>
        <w:rPr>
          <w:sz w:val="20"/>
          <w:szCs w:val="20"/>
          <w:color w:val="auto"/>
        </w:rPr>
      </w:pPr>
    </w:p>
    <w:p>
      <w:pPr>
        <w:ind w:left="60" w:right="859" w:firstLine="360"/>
        <w:spacing w:after="0" w:line="276" w:lineRule="auto"/>
        <w:rPr>
          <w:sz w:val="20"/>
          <w:szCs w:val="20"/>
          <w:color w:val="auto"/>
        </w:rPr>
      </w:pPr>
      <w:r>
        <w:rPr>
          <w:rFonts w:ascii="Arial" w:cs="Arial" w:eastAsia="Arial" w:hAnsi="Arial"/>
          <w:sz w:val="17"/>
          <w:szCs w:val="17"/>
          <w:color w:val="auto"/>
        </w:rPr>
        <w:t>The tables below provide hypothetical examples of the impact that an offering at a price less than NAV per share may have on the NAV per share of shareholders and investors who do and do not participate in such an offering. However, the tables below do not show, nor are they intended to show, any potential changes in market price that may occur from an offering at a price less than NAV per share and it is not possible to predict any potential market price change that may occur from such an offering.</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on Existing Shareholders Who Do Not Participate in an Offering of Common Shares</w:t>
      </w:r>
    </w:p>
    <w:p>
      <w:pPr>
        <w:spacing w:after="0" w:line="108" w:lineRule="exact"/>
        <w:rPr>
          <w:sz w:val="20"/>
          <w:szCs w:val="20"/>
          <w:color w:val="auto"/>
        </w:rPr>
      </w:pPr>
    </w:p>
    <w:p>
      <w:pPr>
        <w:ind w:left="60" w:right="759" w:firstLine="360"/>
        <w:spacing w:after="0" w:line="270" w:lineRule="auto"/>
        <w:rPr>
          <w:sz w:val="20"/>
          <w:szCs w:val="20"/>
          <w:color w:val="auto"/>
        </w:rPr>
      </w:pPr>
      <w:r>
        <w:rPr>
          <w:rFonts w:ascii="Arial" w:cs="Arial" w:eastAsia="Arial" w:hAnsi="Arial"/>
          <w:sz w:val="17"/>
          <w:szCs w:val="17"/>
          <w:color w:val="auto"/>
        </w:rPr>
        <w:t>Our existing shareholders who do not participate in an offering below NAV per share or who do not buy additional Common Shares in the secondary market at the same or lower price we obtain in the offering (after expenses and commissions) face the greatest potential risk of an immediate dilution in the NAV of the Common Shares they hold and their NAV per share. These shareholders will also experience a disproportionately greater decrease in their participation in our earnings and assets and their voting power than the increase we will experience in our assets, potential earning power and voting interests due to the offering. These shareholders may also experience a decline in the market price of their Common Shares, which often reflects to some degree announced or potential increases and decreases in NAV per share. This decrease could be more pronounced as the size of the offering and level of discounts increases.</w:t>
      </w:r>
    </w:p>
    <w:p>
      <w:pPr>
        <w:spacing w:after="0" w:line="74" w:lineRule="exact"/>
        <w:rPr>
          <w:sz w:val="20"/>
          <w:szCs w:val="20"/>
          <w:color w:val="auto"/>
        </w:rPr>
      </w:pPr>
    </w:p>
    <w:p>
      <w:pPr>
        <w:ind w:left="60" w:right="819" w:firstLine="360"/>
        <w:spacing w:after="0" w:line="286" w:lineRule="auto"/>
        <w:rPr>
          <w:sz w:val="20"/>
          <w:szCs w:val="20"/>
          <w:color w:val="auto"/>
        </w:rPr>
      </w:pPr>
      <w:r>
        <w:rPr>
          <w:rFonts w:ascii="Arial" w:cs="Arial" w:eastAsia="Arial" w:hAnsi="Arial"/>
          <w:sz w:val="17"/>
          <w:szCs w:val="17"/>
          <w:color w:val="auto"/>
        </w:rPr>
        <w:t>The following chart illustrates the level of NAV dilution that would be experienced by a nonparticipating shareholder in three different hypothetical offerings of different sizes and levels of discount from NAV per share. It is not possible to predict the level of market price decline that may occur.</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examples assume that the issuer has 18,561,059 Common Shares outstanding, $559,899,000 in total</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assets and $280,627,000 in total liabilities. The current NAV and NAV per share are thus $279,272,000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$15.05. The chart illustrates the dilutive effect on Shareholder A of (1) an offering of 983,053 Common Shares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(5% of the outstanding Common Shares) at $15.01 per share after offering expenses and commission (a 5%</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discount from NAV), (2) an offering of 1,856,106 Common Shares (10% of the outstanding Common Shares) at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$14.91 per share after offering expenses and commissions (a 10% discount from NAV), (3) an offering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3,712,212 Common Shares (20% of the outstanding Common Shares) at</w:t>
      </w:r>
    </w:p>
    <w:p>
      <w:pPr>
        <w:spacing w:after="0" w:line="278"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3" w:name="page14"/>
    <w:bookmarkEnd w:id="13"/>
    <w:p>
      <w:pPr>
        <w:ind w:left="760" w:right="980"/>
        <w:spacing w:after="0" w:line="264" w:lineRule="auto"/>
        <w:rPr>
          <w:sz w:val="20"/>
          <w:szCs w:val="20"/>
          <w:color w:val="auto"/>
        </w:rPr>
      </w:pPr>
      <w:r>
        <w:rPr>
          <w:rFonts w:ascii="Arial" w:cs="Arial" w:eastAsia="Arial" w:hAnsi="Arial"/>
          <w:sz w:val="18"/>
          <w:szCs w:val="18"/>
          <w:color w:val="auto"/>
        </w:rPr>
        <w:t>$14.55 per share after offering expenses and commissions (a 20% discount from NAV) and (4) an offering of 3,712,212 Common Shares (20% of the outstanding Common Shares) at $0.02 per share after offering expenses and commissions (a 100% discount from NAV).</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7"/>
              </w:rPr>
              <w:t>Example 1</w:t>
            </w:r>
          </w:p>
        </w:tc>
        <w:tc>
          <w:tcPr>
            <w:tcW w:w="100" w:type="dxa"/>
            <w:vAlign w:val="bottom"/>
          </w:tcPr>
          <w:p>
            <w:pPr>
              <w:spacing w:after="0"/>
              <w:rPr>
                <w:sz w:val="13"/>
                <w:szCs w:val="13"/>
                <w:color w:val="auto"/>
              </w:rPr>
            </w:pPr>
          </w:p>
        </w:tc>
        <w:tc>
          <w:tcPr>
            <w:tcW w:w="15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0"/>
              </w:rPr>
              <w:t>Example 2</w:t>
            </w:r>
          </w:p>
        </w:tc>
        <w:tc>
          <w:tcPr>
            <w:tcW w:w="80" w:type="dxa"/>
            <w:vAlign w:val="bottom"/>
          </w:tcPr>
          <w:p>
            <w:pPr>
              <w:spacing w:after="0"/>
              <w:rPr>
                <w:sz w:val="13"/>
                <w:szCs w:val="13"/>
                <w:color w:val="auto"/>
              </w:rPr>
            </w:pPr>
          </w:p>
        </w:tc>
        <w:tc>
          <w:tcPr>
            <w:tcW w:w="152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90"/>
              </w:rPr>
              <w:t>Example 3</w:t>
            </w:r>
          </w:p>
        </w:tc>
        <w:tc>
          <w:tcPr>
            <w:tcW w:w="80" w:type="dxa"/>
            <w:vAlign w:val="bottom"/>
          </w:tcPr>
          <w:p>
            <w:pPr>
              <w:spacing w:after="0"/>
              <w:rPr>
                <w:sz w:val="13"/>
                <w:szCs w:val="13"/>
                <w:color w:val="auto"/>
              </w:rPr>
            </w:pPr>
          </w:p>
        </w:tc>
        <w:tc>
          <w:tcPr>
            <w:tcW w:w="14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0"/>
              </w:rPr>
              <w:t>Example 4</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4"/>
          </w:tcPr>
          <w:p>
            <w:pPr>
              <w:jc w:val="center"/>
              <w:ind w:right="240"/>
              <w:spacing w:after="0" w:line="122" w:lineRule="exact"/>
              <w:rPr>
                <w:sz w:val="20"/>
                <w:szCs w:val="20"/>
                <w:color w:val="auto"/>
              </w:rPr>
            </w:pPr>
            <w:r>
              <w:rPr>
                <w:rFonts w:ascii="Arial" w:cs="Arial" w:eastAsia="Arial" w:hAnsi="Arial"/>
                <w:sz w:val="13"/>
                <w:szCs w:val="13"/>
                <w:b w:val="1"/>
                <w:bCs w:val="1"/>
                <w:color w:val="auto"/>
                <w:w w:val="92"/>
              </w:rPr>
              <w:t>5% Offering at</w:t>
            </w:r>
          </w:p>
        </w:tc>
        <w:tc>
          <w:tcPr>
            <w:tcW w:w="100" w:type="dxa"/>
            <w:vAlign w:val="bottom"/>
          </w:tcPr>
          <w:p>
            <w:pPr>
              <w:spacing w:after="0"/>
              <w:rPr>
                <w:sz w:val="10"/>
                <w:szCs w:val="10"/>
                <w:color w:val="auto"/>
              </w:rPr>
            </w:pPr>
          </w:p>
        </w:tc>
        <w:tc>
          <w:tcPr>
            <w:tcW w:w="1500" w:type="dxa"/>
            <w:vAlign w:val="bottom"/>
            <w:gridSpan w:val="4"/>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10% Offering at</w:t>
            </w:r>
          </w:p>
        </w:tc>
        <w:tc>
          <w:tcPr>
            <w:tcW w:w="80" w:type="dxa"/>
            <w:vAlign w:val="bottom"/>
          </w:tcPr>
          <w:p>
            <w:pPr>
              <w:spacing w:after="0"/>
              <w:rPr>
                <w:sz w:val="10"/>
                <w:szCs w:val="10"/>
                <w:color w:val="auto"/>
              </w:rPr>
            </w:pPr>
          </w:p>
        </w:tc>
        <w:tc>
          <w:tcPr>
            <w:tcW w:w="1520" w:type="dxa"/>
            <w:vAlign w:val="bottom"/>
            <w:gridSpan w:val="4"/>
          </w:tcPr>
          <w:p>
            <w:pPr>
              <w:jc w:val="center"/>
              <w:ind w:right="280"/>
              <w:spacing w:after="0" w:line="122" w:lineRule="exact"/>
              <w:rPr>
                <w:sz w:val="20"/>
                <w:szCs w:val="20"/>
                <w:color w:val="auto"/>
              </w:rPr>
            </w:pPr>
            <w:r>
              <w:rPr>
                <w:rFonts w:ascii="Arial" w:cs="Arial" w:eastAsia="Arial" w:hAnsi="Arial"/>
                <w:sz w:val="13"/>
                <w:szCs w:val="13"/>
                <w:b w:val="1"/>
                <w:bCs w:val="1"/>
                <w:color w:val="auto"/>
                <w:w w:val="92"/>
              </w:rPr>
              <w:t>20% Offering at</w:t>
            </w:r>
          </w:p>
        </w:tc>
        <w:tc>
          <w:tcPr>
            <w:tcW w:w="80" w:type="dxa"/>
            <w:vAlign w:val="bottom"/>
          </w:tcPr>
          <w:p>
            <w:pPr>
              <w:spacing w:after="0"/>
              <w:rPr>
                <w:sz w:val="10"/>
                <w:szCs w:val="10"/>
                <w:color w:val="auto"/>
              </w:rPr>
            </w:pPr>
          </w:p>
        </w:tc>
        <w:tc>
          <w:tcPr>
            <w:tcW w:w="1440" w:type="dxa"/>
            <w:vAlign w:val="bottom"/>
            <w:gridSpan w:val="4"/>
          </w:tcPr>
          <w:p>
            <w:pPr>
              <w:jc w:val="center"/>
              <w:ind w:right="200"/>
              <w:spacing w:after="0" w:line="122" w:lineRule="exact"/>
              <w:rPr>
                <w:sz w:val="20"/>
                <w:szCs w:val="20"/>
                <w:color w:val="auto"/>
              </w:rPr>
            </w:pPr>
            <w:r>
              <w:rPr>
                <w:rFonts w:ascii="Arial" w:cs="Arial" w:eastAsia="Arial" w:hAnsi="Arial"/>
                <w:sz w:val="13"/>
                <w:szCs w:val="13"/>
                <w:b w:val="1"/>
                <w:bCs w:val="1"/>
                <w:color w:val="auto"/>
                <w:w w:val="92"/>
              </w:rPr>
              <w:t>20% Offering at</w:t>
            </w:r>
          </w:p>
        </w:tc>
        <w:tc>
          <w:tcPr>
            <w:tcW w:w="0" w:type="dxa"/>
            <w:vAlign w:val="bottom"/>
          </w:tcPr>
          <w:p>
            <w:pPr>
              <w:spacing w:after="0"/>
              <w:rPr>
                <w:sz w:val="1"/>
                <w:szCs w:val="1"/>
                <w:color w:val="auto"/>
              </w:rPr>
            </w:pPr>
          </w:p>
        </w:tc>
      </w:tr>
      <w:tr>
        <w:trPr>
          <w:trHeight w:val="164"/>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9"/>
              </w:rPr>
              <w:t>5% Discount</w:t>
            </w:r>
          </w:p>
        </w:tc>
        <w:tc>
          <w:tcPr>
            <w:tcW w:w="100" w:type="dxa"/>
            <w:vAlign w:val="bottom"/>
          </w:tcPr>
          <w:p>
            <w:pPr>
              <w:spacing w:after="0"/>
              <w:rPr>
                <w:sz w:val="14"/>
                <w:szCs w:val="14"/>
                <w:color w:val="auto"/>
              </w:rPr>
            </w:pPr>
          </w:p>
        </w:tc>
        <w:tc>
          <w:tcPr>
            <w:tcW w:w="15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9"/>
              </w:rPr>
              <w:t>10% Discount</w:t>
            </w:r>
          </w:p>
        </w:tc>
        <w:tc>
          <w:tcPr>
            <w:tcW w:w="80" w:type="dxa"/>
            <w:vAlign w:val="bottom"/>
          </w:tcPr>
          <w:p>
            <w:pPr>
              <w:spacing w:after="0"/>
              <w:rPr>
                <w:sz w:val="14"/>
                <w:szCs w:val="14"/>
                <w:color w:val="auto"/>
              </w:rPr>
            </w:pPr>
          </w:p>
        </w:tc>
        <w:tc>
          <w:tcPr>
            <w:tcW w:w="15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9"/>
              </w:rPr>
              <w:t>20% Discount</w:t>
            </w:r>
          </w:p>
        </w:tc>
        <w:tc>
          <w:tcPr>
            <w:tcW w:w="80" w:type="dxa"/>
            <w:vAlign w:val="bottom"/>
          </w:tcPr>
          <w:p>
            <w:pPr>
              <w:spacing w:after="0"/>
              <w:rPr>
                <w:sz w:val="14"/>
                <w:szCs w:val="14"/>
                <w:color w:val="auto"/>
              </w:rPr>
            </w:pPr>
          </w:p>
        </w:tc>
        <w:tc>
          <w:tcPr>
            <w:tcW w:w="14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8"/>
              </w:rPr>
              <w:t>100% Discount</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Prior to Sale Below NAV</w:t>
            </w: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Prior to Sale</w:t>
            </w:r>
          </w:p>
        </w:tc>
        <w:tc>
          <w:tcPr>
            <w:tcW w:w="860" w:type="dxa"/>
            <w:vAlign w:val="bottom"/>
            <w:gridSpan w:val="3"/>
          </w:tcPr>
          <w:p>
            <w:pPr>
              <w:jc w:val="right"/>
              <w:ind w:right="260"/>
              <w:spacing w:after="0" w:line="143" w:lineRule="exact"/>
              <w:rPr>
                <w:sz w:val="20"/>
                <w:szCs w:val="20"/>
                <w:color w:val="auto"/>
              </w:rPr>
            </w:pPr>
            <w:r>
              <w:rPr>
                <w:rFonts w:ascii="Arial" w:cs="Arial" w:eastAsia="Arial" w:hAnsi="Arial"/>
                <w:sz w:val="13"/>
                <w:szCs w:val="13"/>
                <w:b w:val="1"/>
                <w:bCs w:val="1"/>
                <w:color w:val="auto"/>
                <w:w w:val="95"/>
              </w:rPr>
              <w:t>Following</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89"/>
              </w:rPr>
              <w:t>% Change</w:t>
            </w:r>
          </w:p>
        </w:tc>
        <w:tc>
          <w:tcPr>
            <w:tcW w:w="880" w:type="dxa"/>
            <w:vAlign w:val="bottom"/>
            <w:gridSpan w:val="3"/>
          </w:tcPr>
          <w:p>
            <w:pPr>
              <w:jc w:val="right"/>
              <w:ind w:right="260"/>
              <w:spacing w:after="0" w:line="143" w:lineRule="exact"/>
              <w:rPr>
                <w:sz w:val="20"/>
                <w:szCs w:val="20"/>
                <w:color w:val="auto"/>
              </w:rPr>
            </w:pPr>
            <w:r>
              <w:rPr>
                <w:rFonts w:ascii="Arial" w:cs="Arial" w:eastAsia="Arial" w:hAnsi="Arial"/>
                <w:sz w:val="13"/>
                <w:szCs w:val="13"/>
                <w:b w:val="1"/>
                <w:bCs w:val="1"/>
                <w:color w:val="auto"/>
                <w:w w:val="98"/>
              </w:rPr>
              <w:t>Following</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b w:val="1"/>
                <w:bCs w:val="1"/>
                <w:color w:val="auto"/>
                <w:w w:val="89"/>
              </w:rPr>
              <w:t>% Change</w:t>
            </w:r>
          </w:p>
        </w:tc>
        <w:tc>
          <w:tcPr>
            <w:tcW w:w="880" w:type="dxa"/>
            <w:vAlign w:val="bottom"/>
            <w:gridSpan w:val="3"/>
          </w:tcPr>
          <w:p>
            <w:pPr>
              <w:jc w:val="right"/>
              <w:ind w:right="260"/>
              <w:spacing w:after="0" w:line="143" w:lineRule="exact"/>
              <w:rPr>
                <w:sz w:val="20"/>
                <w:szCs w:val="20"/>
                <w:color w:val="auto"/>
              </w:rPr>
            </w:pPr>
            <w:r>
              <w:rPr>
                <w:rFonts w:ascii="Arial" w:cs="Arial" w:eastAsia="Arial" w:hAnsi="Arial"/>
                <w:sz w:val="13"/>
                <w:szCs w:val="13"/>
                <w:b w:val="1"/>
                <w:bCs w:val="1"/>
                <w:color w:val="auto"/>
                <w:w w:val="98"/>
              </w:rPr>
              <w:t>Following</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85"/>
              </w:rPr>
              <w:t>% Change</w:t>
            </w:r>
          </w:p>
        </w:tc>
        <w:tc>
          <w:tcPr>
            <w:tcW w:w="880" w:type="dxa"/>
            <w:vAlign w:val="bottom"/>
            <w:gridSpan w:val="3"/>
          </w:tcPr>
          <w:p>
            <w:pPr>
              <w:jc w:val="right"/>
              <w:ind w:right="260"/>
              <w:spacing w:after="0" w:line="143" w:lineRule="exact"/>
              <w:rPr>
                <w:sz w:val="20"/>
                <w:szCs w:val="20"/>
                <w:color w:val="auto"/>
              </w:rPr>
            </w:pPr>
            <w:r>
              <w:rPr>
                <w:rFonts w:ascii="Arial" w:cs="Arial" w:eastAsia="Arial" w:hAnsi="Arial"/>
                <w:sz w:val="13"/>
                <w:szCs w:val="13"/>
                <w:b w:val="1"/>
                <w:bCs w:val="1"/>
                <w:color w:val="auto"/>
                <w:w w:val="98"/>
              </w:rPr>
              <w:t>Following</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w w:val="89"/>
              </w:rPr>
              <w:t>% Change</w:t>
            </w:r>
          </w:p>
        </w:tc>
        <w:tc>
          <w:tcPr>
            <w:tcW w:w="0" w:type="dxa"/>
            <w:vAlign w:val="bottom"/>
          </w:tcPr>
          <w:p>
            <w:pPr>
              <w:spacing w:after="0"/>
              <w:rPr>
                <w:sz w:val="1"/>
                <w:szCs w:val="1"/>
                <w:color w:val="auto"/>
              </w:rPr>
            </w:pPr>
          </w:p>
        </w:tc>
      </w:tr>
      <w:tr>
        <w:trPr>
          <w:trHeight w:val="164"/>
        </w:trPr>
        <w:tc>
          <w:tcPr>
            <w:tcW w:w="262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Sale</w:t>
            </w: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Sale</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Sale</w:t>
            </w: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Sale</w:t>
            </w: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Offering Price</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14.26</w:t>
            </w: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12.67</w:t>
            </w: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0.02</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Decrease to Net Asset Value</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18,561,059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19,489,112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20,417,165</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22,273,271</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22,273,271</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4"/>
                <w:szCs w:val="14"/>
                <w:color w:val="auto"/>
              </w:rPr>
              <w:t>Net Asset Value per Share</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15.05</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15.01</w:t>
            </w: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(0.26)%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14.91</w:t>
            </w:r>
          </w:p>
        </w:tc>
        <w:tc>
          <w:tcPr>
            <w:tcW w:w="1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(0.93)%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14.55</w:t>
            </w: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(3.35)%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12.54</w:t>
            </w:r>
          </w:p>
        </w:tc>
        <w:tc>
          <w:tcPr>
            <w:tcW w:w="1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338"/>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w w:val="96"/>
              </w:rPr>
              <w:t>Dilution to Nonparticipating Stockholder</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20" w:type="dxa"/>
            <w:vAlign w:val="bottom"/>
            <w:gridSpan w:val="2"/>
          </w:tcPr>
          <w:p>
            <w:pPr>
              <w:spacing w:after="0"/>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185,611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185,611</w:t>
            </w:r>
          </w:p>
        </w:tc>
        <w:tc>
          <w:tcPr>
            <w:tcW w:w="12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185,611</w:t>
            </w: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185,611</w:t>
            </w:r>
          </w:p>
        </w:tc>
        <w:tc>
          <w:tcPr>
            <w:tcW w:w="14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185,611</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(4.76)%</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0.91%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(9.09)%</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(16.67)%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620" w:type="dxa"/>
            <w:vAlign w:val="bottom"/>
            <w:gridSpan w:val="2"/>
          </w:tcPr>
          <w:p>
            <w:pPr>
              <w:spacing w:after="0"/>
              <w:rPr>
                <w:sz w:val="20"/>
                <w:szCs w:val="20"/>
                <w:color w:val="auto"/>
              </w:rPr>
            </w:pPr>
            <w:r>
              <w:rPr>
                <w:rFonts w:ascii="Arial" w:cs="Arial" w:eastAsia="Arial" w:hAnsi="Arial"/>
                <w:sz w:val="14"/>
                <w:szCs w:val="14"/>
                <w:color w:val="auto"/>
              </w:rPr>
              <w:t>Total Net Asset Value Held by</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Stockholder A</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2,793,439</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2,786,103</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(0.26)%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2,767,390</w:t>
            </w: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(0.93)%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2,699,725</w:t>
            </w: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(3.35)%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2,327,885</w:t>
            </w: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211"/>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Investment by Stockholder A</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(Assumed to be $15.05 per Share)</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2,793,439</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2,793,439</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2,793,439</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2,793,439</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2,793,439</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620" w:type="dxa"/>
            <w:vAlign w:val="bottom"/>
            <w:gridSpan w:val="2"/>
          </w:tcPr>
          <w:p>
            <w:pPr>
              <w:spacing w:after="0"/>
              <w:rPr>
                <w:sz w:val="20"/>
                <w:szCs w:val="20"/>
                <w:color w:val="auto"/>
              </w:rPr>
            </w:pPr>
            <w:r>
              <w:rPr>
                <w:rFonts w:ascii="Arial" w:cs="Arial" w:eastAsia="Arial" w:hAnsi="Arial"/>
                <w:sz w:val="14"/>
                <w:szCs w:val="14"/>
                <w:color w:val="auto"/>
              </w:rPr>
              <w:t>Total Dilution to Stockholder A</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(Total Net Asset Value Less Total</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Investment)</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(7,336)</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(26,049)</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(93,714)</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(465,554)</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Asset Value per Share Held by</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Stockholder A</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15.01</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620" w:type="dxa"/>
            <w:vAlign w:val="bottom"/>
            <w:gridSpan w:val="2"/>
          </w:tcPr>
          <w:p>
            <w:pPr>
              <w:spacing w:after="0"/>
              <w:rPr>
                <w:sz w:val="20"/>
                <w:szCs w:val="20"/>
                <w:color w:val="auto"/>
              </w:rPr>
            </w:pPr>
            <w:r>
              <w:rPr>
                <w:rFonts w:ascii="Arial" w:cs="Arial" w:eastAsia="Arial" w:hAnsi="Arial"/>
                <w:sz w:val="14"/>
                <w:szCs w:val="14"/>
                <w:color w:val="auto"/>
                <w:w w:val="98"/>
              </w:rPr>
              <w:t>Investment per Share Held by Stockholder</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rPr>
                <w:sz w:val="20"/>
                <w:szCs w:val="20"/>
                <w:color w:val="auto"/>
              </w:rPr>
            </w:pPr>
            <w:r>
              <w:rPr>
                <w:rFonts w:ascii="Arial" w:cs="Arial" w:eastAsia="Arial" w:hAnsi="Arial"/>
                <w:sz w:val="14"/>
                <w:szCs w:val="14"/>
                <w:color w:val="auto"/>
                <w:w w:val="99"/>
              </w:rPr>
              <w:t>A (Assumed to be $15.05 per Share on</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Shares Held Prior to Sale)</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15.05</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15.05</w:t>
            </w:r>
          </w:p>
        </w:tc>
        <w:tc>
          <w:tcPr>
            <w:tcW w:w="14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15.05</w:t>
            </w:r>
          </w:p>
        </w:tc>
        <w:tc>
          <w:tcPr>
            <w:tcW w:w="14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15.05</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Dilution per Share Held by Stockholder</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 (Net Asset Value per Share Less</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(0.14)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(2.50)</w:t>
            </w: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620" w:type="dxa"/>
            <w:vAlign w:val="bottom"/>
            <w:gridSpan w:val="2"/>
          </w:tcPr>
          <w:p>
            <w:pPr>
              <w:spacing w:after="0"/>
              <w:rPr>
                <w:sz w:val="20"/>
                <w:szCs w:val="20"/>
                <w:color w:val="auto"/>
              </w:rPr>
            </w:pPr>
            <w:r>
              <w:rPr>
                <w:rFonts w:ascii="Arial" w:cs="Arial" w:eastAsia="Arial" w:hAnsi="Arial"/>
                <w:sz w:val="14"/>
                <w:szCs w:val="14"/>
                <w:color w:val="auto"/>
              </w:rPr>
              <w:t>Percentage Dilution to Stockholder A</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(Dilution per Share Divided by</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(0.93)%</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-3619500</wp:posOffset>
            </wp:positionV>
            <wp:extent cx="946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-3619500</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-3619500</wp:posOffset>
            </wp:positionV>
            <wp:extent cx="857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4155440</wp:posOffset>
            </wp:positionH>
            <wp:positionV relativeFrom="paragraph">
              <wp:posOffset>-3619500</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-3619500</wp:posOffset>
            </wp:positionV>
            <wp:extent cx="85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-3619500</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-3619500</wp:posOffset>
            </wp:positionV>
            <wp:extent cx="85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-3619500</wp:posOffset>
            </wp:positionV>
            <wp:extent cx="85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-3619500</wp:posOffset>
            </wp:positionV>
            <wp:extent cx="857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7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Impact on Existing Shareholders Who Do Participate in an Offering of Common Shares</w:t>
      </w:r>
    </w:p>
    <w:p>
      <w:pPr>
        <w:spacing w:after="0" w:line="108" w:lineRule="exact"/>
        <w:rPr>
          <w:sz w:val="20"/>
          <w:szCs w:val="20"/>
          <w:color w:val="auto"/>
        </w:rPr>
      </w:pPr>
    </w:p>
    <w:p>
      <w:pPr>
        <w:ind w:left="760" w:right="840" w:firstLine="360"/>
        <w:spacing w:after="0" w:line="284" w:lineRule="auto"/>
        <w:rPr>
          <w:sz w:val="20"/>
          <w:szCs w:val="20"/>
          <w:color w:val="auto"/>
        </w:rPr>
      </w:pPr>
      <w:r>
        <w:rPr>
          <w:rFonts w:ascii="Arial" w:cs="Arial" w:eastAsia="Arial" w:hAnsi="Arial"/>
          <w:sz w:val="16"/>
          <w:szCs w:val="16"/>
          <w:color w:val="auto"/>
        </w:rPr>
        <w:t>Our existing shareholders who participate in an offering below NAV per share or who buy additional Common Shares in the secondary market at the same or lower price as we obtain in the offering (after expenses and commissions) will experience the same types of NAV dilution as the nonparticipating shareholders, albeit at a lower level, to the extent they purchase less than the same percentage of the discounted offering as their interest in our Common Shares immediately prior to the offering. The level of NAV dilution will decrease as the number of Common Shares such shareholders purchase increases. Existing shareholders who buy more than</w:t>
      </w:r>
    </w:p>
    <w:p>
      <w:pPr>
        <w:spacing w:after="0" w:line="5" w:lineRule="exact"/>
        <w:rPr>
          <w:sz w:val="20"/>
          <w:szCs w:val="20"/>
          <w:color w:val="auto"/>
        </w:rPr>
      </w:pPr>
    </w:p>
    <w:p>
      <w:pPr>
        <w:ind w:left="760" w:right="840"/>
        <w:spacing w:after="0" w:line="286" w:lineRule="auto"/>
        <w:rPr>
          <w:sz w:val="20"/>
          <w:szCs w:val="20"/>
          <w:color w:val="auto"/>
        </w:rPr>
      </w:pPr>
      <w:r>
        <w:rPr>
          <w:rFonts w:ascii="Arial" w:cs="Arial" w:eastAsia="Arial" w:hAnsi="Arial"/>
          <w:sz w:val="16"/>
          <w:szCs w:val="16"/>
          <w:color w:val="auto"/>
        </w:rPr>
        <w:t>such percentage will experience NAV dilution on their existing shares but will, in contrast to existing shareholders who purchase less than their proportionate share of the offering, experience an increase (often called accretion) in average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Common Shares such shareholders purchases increases. Even a shareholder who over-participates will, however, be subject to the risk that we may make additional discounted offerings in which such shareholder does not participate, in which case such a shareholder will experience NAV dilution as described above in such subsequent offerings. These shareholders may also experience a decline in the market price of their Common Shares, which often reflects to some degree announced or potential decreases in NAV per share. This decrease could be more pronounced as the size of the offering and level of discounts increases.</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242570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800"/>
          </w:cols>
          <w:pgMar w:left="740" w:top="1084" w:right="1359" w:bottom="1440" w:gutter="0" w:footer="0" w:header="0"/>
        </w:sectPr>
      </w:pPr>
    </w:p>
    <w:bookmarkStart w:id="14" w:name="page15"/>
    <w:bookmarkEnd w:id="14"/>
    <w:p>
      <w:pPr>
        <w:ind w:left="60" w:right="779" w:firstLine="360"/>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for a shareholder that acquires Common Shares equal to (1) 50% of its proportionate share of the offering (i.e., 18,561,059 Common Shares, which is 0.5% of an offering of 3,712,212 Common Shares) rather than its 1.00% proportionate share and (2) 150% of such percentage (i.e. 55,683 Common Shares, which is 1.5% of an offering of 3,712,212 Common Shares rather than its 0.10% proportionate share). It is not possible to predict the level of market price decline that may occur.</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6"/>
                <w:szCs w:val="16"/>
                <w:color w:val="auto"/>
              </w:rPr>
            </w:pPr>
          </w:p>
        </w:tc>
        <w:tc>
          <w:tcPr>
            <w:tcW w:w="16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150% Participation</w:t>
            </w:r>
          </w:p>
        </w:tc>
      </w:tr>
      <w:tr>
        <w:trPr>
          <w:trHeight w:val="166"/>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Following</w:t>
            </w: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Following</w:t>
            </w: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Prior to Sale Below NAV</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6"/>
                <w:szCs w:val="16"/>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34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0"/>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12.67</w:t>
            </w: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12.67</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30"/>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12.04</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12.04</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r>
      <w:tr>
        <w:trPr>
          <w:trHeight w:val="338"/>
        </w:trPr>
        <w:tc>
          <w:tcPr>
            <w:tcW w:w="36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Decrease/Increase to Net Asset Value</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18,561,059</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22,273,271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7"/>
              </w:rPr>
              <w:t>22,273,271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19"/>
                <w:szCs w:val="19"/>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6"/>
                <w:szCs w:val="16"/>
                <w:color w:val="auto"/>
              </w:rPr>
              <w:t>Net Asset Value per Share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15.05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14.55</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(3.35)%</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14.55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(3.35)%</w:t>
            </w:r>
          </w:p>
        </w:tc>
      </w:tr>
      <w:tr>
        <w:trPr>
          <w:trHeight w:val="351"/>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3600" w:type="dxa"/>
            <w:vAlign w:val="bottom"/>
            <w:gridSpan w:val="2"/>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185,611</w:t>
            </w:r>
          </w:p>
        </w:tc>
        <w:tc>
          <w:tcPr>
            <w:tcW w:w="1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204,172</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241,294</w:t>
            </w:r>
          </w:p>
        </w:tc>
        <w:tc>
          <w:tcPr>
            <w:tcW w:w="660" w:type="dxa"/>
            <w:vAlign w:val="bottom"/>
          </w:tcPr>
          <w:p>
            <w:pPr>
              <w:jc w:val="right"/>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21"/>
                <w:szCs w:val="21"/>
                <w:color w:val="auto"/>
              </w:rPr>
            </w:pPr>
          </w:p>
        </w:tc>
      </w:tr>
      <w:tr>
        <w:trPr>
          <w:trHeight w:val="243"/>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0.92%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40" w:type="dxa"/>
            <w:vAlign w:val="bottom"/>
          </w:tcPr>
          <w:p>
            <w:pPr>
              <w:spacing w:after="0"/>
              <w:rPr>
                <w:sz w:val="21"/>
                <w:szCs w:val="21"/>
                <w:color w:val="auto"/>
              </w:rPr>
            </w:pPr>
          </w:p>
        </w:tc>
      </w:tr>
      <w:tr>
        <w:trPr>
          <w:trHeight w:val="243"/>
        </w:trPr>
        <w:tc>
          <w:tcPr>
            <w:tcW w:w="3600" w:type="dxa"/>
            <w:vAlign w:val="bottom"/>
            <w:gridSpan w:val="2"/>
          </w:tcPr>
          <w:p>
            <w:pPr>
              <w:spacing w:after="0"/>
              <w:rPr>
                <w:sz w:val="20"/>
                <w:szCs w:val="20"/>
                <w:color w:val="auto"/>
              </w:rPr>
            </w:pPr>
            <w:r>
              <w:rPr>
                <w:rFonts w:ascii="Arial" w:cs="Arial" w:eastAsia="Arial" w:hAnsi="Arial"/>
                <w:sz w:val="16"/>
                <w:szCs w:val="16"/>
                <w:color w:val="auto"/>
              </w:rPr>
              <w:t>Total Net Asset Value Held by Stockholder A</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2,793,439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2,969,698</w:t>
            </w:r>
          </w:p>
        </w:tc>
        <w:tc>
          <w:tcPr>
            <w:tcW w:w="660" w:type="dxa"/>
            <w:vAlign w:val="bottom"/>
          </w:tcPr>
          <w:p>
            <w:pPr>
              <w:jc w:val="right"/>
              <w:spacing w:after="0"/>
              <w:rPr>
                <w:sz w:val="20"/>
                <w:szCs w:val="20"/>
                <w:color w:val="auto"/>
              </w:rPr>
            </w:pPr>
            <w:r>
              <w:rPr>
                <w:rFonts w:ascii="Arial" w:cs="Arial" w:eastAsia="Arial" w:hAnsi="Arial"/>
                <w:sz w:val="16"/>
                <w:szCs w:val="16"/>
                <w:color w:val="auto"/>
              </w:rPr>
              <w:t>6.31%</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w w:val="98"/>
              </w:rPr>
              <w:t>3,509,643</w:t>
            </w:r>
          </w:p>
        </w:tc>
        <w:tc>
          <w:tcPr>
            <w:tcW w:w="660" w:type="dxa"/>
            <w:vAlign w:val="bottom"/>
          </w:tcPr>
          <w:p>
            <w:pPr>
              <w:jc w:val="right"/>
              <w:spacing w:after="0"/>
              <w:rPr>
                <w:sz w:val="20"/>
                <w:szCs w:val="20"/>
                <w:color w:val="auto"/>
              </w:rPr>
            </w:pPr>
            <w:r>
              <w:rPr>
                <w:rFonts w:ascii="Arial" w:cs="Arial" w:eastAsia="Arial" w:hAnsi="Arial"/>
                <w:sz w:val="16"/>
                <w:szCs w:val="16"/>
                <w:color w:val="auto"/>
              </w:rPr>
              <w:t>25.64%</w:t>
            </w:r>
          </w:p>
        </w:tc>
        <w:tc>
          <w:tcPr>
            <w:tcW w:w="40" w:type="dxa"/>
            <w:vAlign w:val="bottom"/>
          </w:tcPr>
          <w:p>
            <w:pPr>
              <w:spacing w:after="0"/>
              <w:rPr>
                <w:sz w:val="21"/>
                <w:szCs w:val="21"/>
                <w:color w:val="auto"/>
              </w:rPr>
            </w:pPr>
          </w:p>
        </w:tc>
      </w:tr>
      <w:tr>
        <w:trPr>
          <w:trHeight w:val="220"/>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Total Investment by Stockholder A (Assumed to be</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$15.05 per Share)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3,028,676</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3,499,150</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20"/>
        </w:trPr>
        <w:tc>
          <w:tcPr>
            <w:tcW w:w="3600" w:type="dxa"/>
            <w:vAlign w:val="bottom"/>
            <w:gridSpan w:val="2"/>
          </w:tcPr>
          <w:p>
            <w:pPr>
              <w:spacing w:after="0"/>
              <w:rPr>
                <w:sz w:val="20"/>
                <w:szCs w:val="20"/>
                <w:color w:val="auto"/>
              </w:rPr>
            </w:pPr>
            <w:r>
              <w:rPr>
                <w:rFonts w:ascii="Arial" w:cs="Arial" w:eastAsia="Arial" w:hAnsi="Arial"/>
                <w:sz w:val="16"/>
                <w:szCs w:val="16"/>
                <w:color w:val="auto"/>
              </w:rPr>
              <w:t>Total Dilution/Accretion to Stockholder 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3600" w:type="dxa"/>
            <w:vAlign w:val="bottom"/>
            <w:gridSpan w:val="2"/>
          </w:tcPr>
          <w:p>
            <w:pPr>
              <w:ind w:left="180"/>
              <w:spacing w:after="0"/>
              <w:rPr>
                <w:sz w:val="20"/>
                <w:szCs w:val="20"/>
                <w:color w:val="auto"/>
              </w:rPr>
            </w:pPr>
            <w:r>
              <w:rPr>
                <w:rFonts w:ascii="Arial" w:cs="Arial" w:eastAsia="Arial" w:hAnsi="Arial"/>
                <w:sz w:val="16"/>
                <w:szCs w:val="16"/>
                <w:color w:val="auto"/>
              </w:rPr>
              <w:t>(Total Net Asset Value Less Total</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3600" w:type="dxa"/>
            <w:vAlign w:val="bottom"/>
            <w:gridSpan w:val="2"/>
          </w:tcPr>
          <w:p>
            <w:pPr>
              <w:ind w:left="180"/>
              <w:spacing w:after="0"/>
              <w:rPr>
                <w:sz w:val="20"/>
                <w:szCs w:val="20"/>
                <w:color w:val="auto"/>
              </w:rPr>
            </w:pPr>
            <w:r>
              <w:rPr>
                <w:rFonts w:ascii="Arial" w:cs="Arial" w:eastAsia="Arial" w:hAnsi="Arial"/>
                <w:sz w:val="16"/>
                <w:szCs w:val="16"/>
                <w:color w:val="auto"/>
              </w:rPr>
              <w:t>Investment)</w:t>
            </w: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(58,979)</w:t>
            </w: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10,492</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20"/>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Asset Value per Share held by</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Stockholder A</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15.05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14.83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40" w:type="dxa"/>
            <w:vAlign w:val="bottom"/>
          </w:tcPr>
          <w:p>
            <w:pPr>
              <w:spacing w:after="0"/>
              <w:rPr>
                <w:sz w:val="17"/>
                <w:szCs w:val="17"/>
                <w:color w:val="auto"/>
              </w:rPr>
            </w:pPr>
          </w:p>
        </w:tc>
      </w:tr>
      <w:tr>
        <w:trPr>
          <w:trHeight w:val="220"/>
        </w:trPr>
        <w:tc>
          <w:tcPr>
            <w:tcW w:w="3600" w:type="dxa"/>
            <w:vAlign w:val="bottom"/>
            <w:gridSpan w:val="2"/>
          </w:tcPr>
          <w:p>
            <w:pPr>
              <w:spacing w:after="0"/>
              <w:rPr>
                <w:sz w:val="20"/>
                <w:szCs w:val="20"/>
                <w:color w:val="auto"/>
              </w:rPr>
            </w:pPr>
            <w:r>
              <w:rPr>
                <w:rFonts w:ascii="Arial" w:cs="Arial" w:eastAsia="Arial" w:hAnsi="Arial"/>
                <w:sz w:val="16"/>
                <w:szCs w:val="16"/>
                <w:color w:val="auto"/>
              </w:rPr>
              <w:t>Investment per Share held by Stockholder 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3600" w:type="dxa"/>
            <w:vAlign w:val="bottom"/>
            <w:gridSpan w:val="2"/>
          </w:tcPr>
          <w:p>
            <w:pPr>
              <w:ind w:left="180"/>
              <w:spacing w:after="0"/>
              <w:rPr>
                <w:sz w:val="20"/>
                <w:szCs w:val="20"/>
                <w:color w:val="auto"/>
              </w:rPr>
            </w:pPr>
            <w:r>
              <w:rPr>
                <w:rFonts w:ascii="Arial" w:cs="Arial" w:eastAsia="Arial" w:hAnsi="Arial"/>
                <w:sz w:val="16"/>
                <w:szCs w:val="16"/>
                <w:color w:val="auto"/>
                <w:w w:val="95"/>
              </w:rPr>
              <w:t>(Assumed to be $15.05 per Share on Shares Held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3600" w:type="dxa"/>
            <w:vAlign w:val="bottom"/>
            <w:gridSpan w:val="2"/>
          </w:tcPr>
          <w:p>
            <w:pPr>
              <w:ind w:left="180"/>
              <w:spacing w:after="0"/>
              <w:rPr>
                <w:sz w:val="20"/>
                <w:szCs w:val="20"/>
                <w:color w:val="auto"/>
              </w:rPr>
            </w:pPr>
            <w:r>
              <w:rPr>
                <w:rFonts w:ascii="Arial" w:cs="Arial" w:eastAsia="Arial" w:hAnsi="Arial"/>
                <w:sz w:val="16"/>
                <w:szCs w:val="16"/>
                <w:color w:val="auto"/>
              </w:rPr>
              <w:t>Prior to Sale)</w:t>
            </w: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14.55</w:t>
            </w: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14.55</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20"/>
        </w:trPr>
        <w:tc>
          <w:tcPr>
            <w:tcW w:w="3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Dilution/Accretion per Share Held by</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Stockholder A (Net Asset Value per Share Less</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99"/>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Investment per Share)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(0.29)</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0.04</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r>
      <w:tr>
        <w:trPr>
          <w:trHeight w:val="220"/>
        </w:trPr>
        <w:tc>
          <w:tcPr>
            <w:tcW w:w="3600" w:type="dxa"/>
            <w:vAlign w:val="bottom"/>
            <w:gridSpan w:val="2"/>
          </w:tcPr>
          <w:p>
            <w:pPr>
              <w:spacing w:after="0"/>
              <w:rPr>
                <w:sz w:val="20"/>
                <w:szCs w:val="20"/>
                <w:color w:val="auto"/>
              </w:rPr>
            </w:pPr>
            <w:r>
              <w:rPr>
                <w:rFonts w:ascii="Arial" w:cs="Arial" w:eastAsia="Arial" w:hAnsi="Arial"/>
                <w:sz w:val="16"/>
                <w:szCs w:val="16"/>
                <w:color w:val="auto"/>
              </w:rPr>
              <w:t>Percentage Dilution to Stockholder 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3600" w:type="dxa"/>
            <w:vAlign w:val="bottom"/>
            <w:gridSpan w:val="2"/>
          </w:tcPr>
          <w:p>
            <w:pPr>
              <w:ind w:left="180"/>
              <w:spacing w:after="0"/>
              <w:rPr>
                <w:sz w:val="20"/>
                <w:szCs w:val="20"/>
                <w:color w:val="auto"/>
              </w:rPr>
            </w:pPr>
            <w:r>
              <w:rPr>
                <w:rFonts w:ascii="Arial" w:cs="Arial" w:eastAsia="Arial" w:hAnsi="Arial"/>
                <w:sz w:val="16"/>
                <w:szCs w:val="16"/>
                <w:color w:val="auto"/>
              </w:rPr>
              <w:t>(Dilution/Accretion per Share Divided by</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3600" w:type="dxa"/>
            <w:vAlign w:val="bottom"/>
            <w:gridSpan w:val="2"/>
          </w:tcPr>
          <w:p>
            <w:pPr>
              <w:ind w:left="180"/>
              <w:spacing w:after="0"/>
              <w:rPr>
                <w:sz w:val="20"/>
                <w:szCs w:val="20"/>
                <w:color w:val="auto"/>
              </w:rPr>
            </w:pPr>
            <w:r>
              <w:rPr>
                <w:rFonts w:ascii="Arial" w:cs="Arial" w:eastAsia="Arial" w:hAnsi="Arial"/>
                <w:sz w:val="16"/>
                <w:szCs w:val="16"/>
                <w:color w:val="auto"/>
              </w:rPr>
              <w:t>Investment per Share)</w:t>
            </w: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0.30%</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4697095</wp:posOffset>
            </wp:positionH>
            <wp:positionV relativeFrom="paragraph">
              <wp:posOffset>-3709035</wp:posOffset>
            </wp:positionV>
            <wp:extent cx="1371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-3709035</wp:posOffset>
            </wp:positionV>
            <wp:extent cx="1371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-3709035</wp:posOffset>
            </wp:positionV>
            <wp:extent cx="1200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2853690</wp:posOffset>
            </wp:positionH>
            <wp:positionV relativeFrom="paragraph">
              <wp:posOffset>-3709035</wp:posOffset>
            </wp:positionV>
            <wp:extent cx="1200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2210435</wp:posOffset>
            </wp:positionH>
            <wp:positionV relativeFrom="paragraph">
              <wp:posOffset>-3709035</wp:posOffset>
            </wp:positionV>
            <wp:extent cx="1200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on New Investors of Common Shares</w:t>
      </w:r>
    </w:p>
    <w:p>
      <w:pPr>
        <w:spacing w:after="0" w:line="108" w:lineRule="exact"/>
        <w:rPr>
          <w:sz w:val="20"/>
          <w:szCs w:val="20"/>
          <w:color w:val="auto"/>
        </w:rPr>
      </w:pPr>
    </w:p>
    <w:p>
      <w:pPr>
        <w:ind w:left="60" w:right="779" w:firstLine="360"/>
        <w:spacing w:after="0" w:line="286" w:lineRule="auto"/>
        <w:rPr>
          <w:sz w:val="20"/>
          <w:szCs w:val="20"/>
          <w:color w:val="auto"/>
        </w:rPr>
      </w:pPr>
      <w:r>
        <w:rPr>
          <w:rFonts w:ascii="Arial" w:cs="Arial" w:eastAsia="Arial" w:hAnsi="Arial"/>
          <w:sz w:val="16"/>
          <w:szCs w:val="16"/>
          <w:color w:val="auto"/>
        </w:rPr>
        <w:t>Investors who are not currently shareholders and who participate in an offering of our Common Shares below NAV but whose investment per share is greater than the resulting NAV per share due to selling compensation and expenses paid by the issuer will experience an immediate decrease, albeit small, in the NAV of their Common Shares and their NAV per share compared to the price they pay for their Common Shares. Investors who are not currently shareholders and who participate in an offering below net asset value per share and whose investment per share is also less than the resulting NAV per share due to selling compensation and expenses paid by the issuer being significantly less than the discount per share will experience an immediate increase in the NAV of their Common Shares and their NAV per share compared to the price they pay for their Common Shares.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shareholder does not participate, in which case such new shareholder will experience dilution as described above in such subsequent offerings. These investors may also experience a decline in the market price of their Common Shares, which often reflects to some degree announced or potential increases and decreases in NAV per share. This decrease could be more pronounced as the size of the offering and level of discounts increases.</w:t>
      </w:r>
    </w:p>
    <w:p>
      <w:pPr>
        <w:spacing w:after="0" w:line="2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5" w:name="page16"/>
    <w:bookmarkEnd w:id="15"/>
    <w:p>
      <w:pPr>
        <w:jc w:val="both"/>
        <w:ind w:left="420" w:right="819" w:firstLine="360"/>
        <w:spacing w:after="0" w:line="276" w:lineRule="auto"/>
        <w:rPr>
          <w:sz w:val="20"/>
          <w:szCs w:val="20"/>
          <w:color w:val="auto"/>
        </w:rPr>
      </w:pPr>
      <w:r>
        <w:rPr>
          <w:rFonts w:ascii="Arial" w:cs="Arial" w:eastAsia="Arial" w:hAnsi="Arial"/>
          <w:sz w:val="17"/>
          <w:szCs w:val="17"/>
          <w:color w:val="auto"/>
        </w:rPr>
        <w:t>The following chart illustrates the level of dilution or accretion for new investors that would be experienced by a new investor in the same hypothetical 5%, 10% and 20% discounted offerings as described in the first chart above. The illustration is for a new investor who purchases the same percentage (1.00)% of the Common Shares in the offering as Shareholder A in the prior examples held immediately prior to the offering. It is not possible to predict the level of market price decline that may occur.</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Example 2</w:t>
            </w:r>
          </w:p>
        </w:tc>
        <w:tc>
          <w:tcPr>
            <w:tcW w:w="100" w:type="dxa"/>
            <w:vAlign w:val="bottom"/>
          </w:tcPr>
          <w:p>
            <w:pPr>
              <w:spacing w:after="0"/>
              <w:rPr>
                <w:sz w:val="14"/>
                <w:szCs w:val="1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Example 3</w:t>
            </w:r>
          </w:p>
        </w:tc>
      </w:tr>
      <w:tr>
        <w:trPr>
          <w:trHeight w:val="162"/>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8"/>
              </w:rPr>
              <w:t>5% Offering at</w:t>
            </w:r>
          </w:p>
        </w:tc>
        <w:tc>
          <w:tcPr>
            <w:tcW w:w="100" w:type="dxa"/>
            <w:vAlign w:val="bottom"/>
          </w:tcPr>
          <w:p>
            <w:pPr>
              <w:spacing w:after="0"/>
              <w:rPr>
                <w:sz w:val="14"/>
                <w:szCs w:val="14"/>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7"/>
              </w:rPr>
              <w:t>10% Offering at</w:t>
            </w:r>
          </w:p>
        </w:tc>
        <w:tc>
          <w:tcPr>
            <w:tcW w:w="100" w:type="dxa"/>
            <w:vAlign w:val="bottom"/>
          </w:tcPr>
          <w:p>
            <w:pPr>
              <w:spacing w:after="0"/>
              <w:rPr>
                <w:sz w:val="14"/>
                <w:szCs w:val="14"/>
                <w:color w:val="auto"/>
              </w:rPr>
            </w:pPr>
          </w:p>
        </w:tc>
        <w:tc>
          <w:tcPr>
            <w:tcW w:w="14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9"/>
              </w:rPr>
              <w:t>20% Offering at</w:t>
            </w:r>
          </w:p>
        </w:tc>
      </w:tr>
      <w:tr>
        <w:trPr>
          <w:trHeight w:val="186"/>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5% Discount</w:t>
            </w:r>
          </w:p>
        </w:tc>
        <w:tc>
          <w:tcPr>
            <w:tcW w:w="100" w:type="dxa"/>
            <w:vAlign w:val="bottom"/>
          </w:tcPr>
          <w:p>
            <w:pPr>
              <w:spacing w:after="0"/>
              <w:rPr>
                <w:sz w:val="16"/>
                <w:szCs w:val="16"/>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10% Discount</w:t>
            </w:r>
          </w:p>
        </w:tc>
        <w:tc>
          <w:tcPr>
            <w:tcW w:w="100" w:type="dxa"/>
            <w:vAlign w:val="bottom"/>
          </w:tcPr>
          <w:p>
            <w:pPr>
              <w:spacing w:after="0"/>
              <w:rPr>
                <w:sz w:val="16"/>
                <w:szCs w:val="16"/>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20% Discount</w:t>
            </w:r>
          </w:p>
        </w:tc>
      </w:tr>
      <w:tr>
        <w:trPr>
          <w:trHeight w:val="26"/>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3"/>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Following</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Following</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Following</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6"/>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Prior to Sale Below NAV</w:t>
            </w: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Prior to Sale</w:t>
            </w:r>
          </w:p>
        </w:tc>
        <w:tc>
          <w:tcPr>
            <w:tcW w:w="10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 Change</w:t>
            </w:r>
          </w:p>
        </w:tc>
        <w:tc>
          <w:tcPr>
            <w:tcW w:w="100" w:type="dxa"/>
            <w:vAlign w:val="bottom"/>
          </w:tcPr>
          <w:p>
            <w:pPr>
              <w:spacing w:after="0"/>
              <w:rPr>
                <w:sz w:val="16"/>
                <w:szCs w:val="16"/>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Sale</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 Change</w:t>
            </w:r>
          </w:p>
        </w:tc>
      </w:tr>
      <w:tr>
        <w:trPr>
          <w:trHeight w:val="26"/>
        </w:trPr>
        <w:tc>
          <w:tcPr>
            <w:tcW w:w="3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Offering Price</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4"/>
                <w:szCs w:val="14"/>
                <w:color w:val="auto"/>
              </w:rPr>
              <w:t>Price per Share to Public</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15.05</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14.26</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12.67</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Proceeds per Share to Issuer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13.55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12.04</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324"/>
        </w:trPr>
        <w:tc>
          <w:tcPr>
            <w:tcW w:w="3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Decrease to Net Asset Value</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18,561,059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8"/>
              </w:rPr>
              <w:t>19,489,112</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1"/>
              </w:rPr>
              <w:t>20,417,165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88"/>
              </w:rPr>
              <w:t>22,273,271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4"/>
                <w:szCs w:val="14"/>
                <w:color w:val="auto"/>
              </w:rPr>
              <w:t>Net Asset Value per Share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15.05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15.01</w:t>
            </w:r>
          </w:p>
        </w:tc>
        <w:tc>
          <w:tcPr>
            <w:tcW w:w="68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14.91</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(0.93)%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14.55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(3.35)%</w:t>
            </w:r>
          </w:p>
        </w:tc>
      </w:tr>
      <w:tr>
        <w:trPr>
          <w:trHeight w:val="324"/>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Dilution/Accretion to a New Investor</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4"/>
                <w:szCs w:val="14"/>
                <w:color w:val="auto"/>
              </w:rPr>
              <w:t>Shares Held by Investor A</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185,611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9,281</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18,561</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37,122</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Percentage Held by Investor A</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0.17%</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4"/>
                <w:szCs w:val="14"/>
                <w:color w:val="auto"/>
              </w:rPr>
              <w:t>Total Net Asset Value Held by Investor 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2,793,439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139,305</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276,739</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539,945</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97"/>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Investment by Investor A (Assumed to be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$15.05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2,793,439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139,672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264,642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470,474</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97"/>
        </w:trPr>
        <w:tc>
          <w:tcPr>
            <w:tcW w:w="3240" w:type="dxa"/>
            <w:vAlign w:val="bottom"/>
            <w:gridSpan w:val="2"/>
          </w:tcPr>
          <w:p>
            <w:pPr>
              <w:spacing w:after="0"/>
              <w:rPr>
                <w:sz w:val="20"/>
                <w:szCs w:val="20"/>
                <w:color w:val="auto"/>
              </w:rPr>
            </w:pPr>
            <w:r>
              <w:rPr>
                <w:rFonts w:ascii="Arial" w:cs="Arial" w:eastAsia="Arial" w:hAnsi="Arial"/>
                <w:sz w:val="14"/>
                <w:szCs w:val="14"/>
                <w:color w:val="auto"/>
              </w:rPr>
              <w:t>Total Dilution to Investor A (Total Net Asset Value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3240" w:type="dxa"/>
            <w:vAlign w:val="bottom"/>
            <w:gridSpan w:val="2"/>
          </w:tcPr>
          <w:p>
            <w:pPr>
              <w:ind w:left="180"/>
              <w:spacing w:after="0"/>
              <w:rPr>
                <w:sz w:val="20"/>
                <w:szCs w:val="20"/>
                <w:color w:val="auto"/>
              </w:rPr>
            </w:pPr>
            <w:r>
              <w:rPr>
                <w:rFonts w:ascii="Arial" w:cs="Arial" w:eastAsia="Arial" w:hAnsi="Arial"/>
                <w:sz w:val="14"/>
                <w:szCs w:val="14"/>
                <w:color w:val="auto"/>
              </w:rPr>
              <w:t>Less Total Investment)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(367)</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12,097</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69,471</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Asset Value per Share Held by Investor 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14.91</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14.55</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197"/>
        </w:trPr>
        <w:tc>
          <w:tcPr>
            <w:tcW w:w="3240" w:type="dxa"/>
            <w:vAlign w:val="bottom"/>
            <w:gridSpan w:val="2"/>
          </w:tcPr>
          <w:p>
            <w:pPr>
              <w:spacing w:after="0"/>
              <w:rPr>
                <w:sz w:val="20"/>
                <w:szCs w:val="20"/>
                <w:color w:val="auto"/>
              </w:rPr>
            </w:pPr>
            <w:r>
              <w:rPr>
                <w:rFonts w:ascii="Arial" w:cs="Arial" w:eastAsia="Arial" w:hAnsi="Arial"/>
                <w:sz w:val="14"/>
                <w:szCs w:val="14"/>
                <w:color w:val="auto"/>
              </w:rPr>
              <w:t>Investment per Share Held by Investor A (Assumed</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2"/>
        </w:trPr>
        <w:tc>
          <w:tcPr>
            <w:tcW w:w="3240" w:type="dxa"/>
            <w:vAlign w:val="bottom"/>
            <w:gridSpan w:val="2"/>
          </w:tcPr>
          <w:p>
            <w:pPr>
              <w:ind w:left="180"/>
              <w:spacing w:after="0"/>
              <w:rPr>
                <w:sz w:val="20"/>
                <w:szCs w:val="20"/>
                <w:color w:val="auto"/>
              </w:rPr>
            </w:pPr>
            <w:r>
              <w:rPr>
                <w:rFonts w:ascii="Arial" w:cs="Arial" w:eastAsia="Arial" w:hAnsi="Arial"/>
                <w:sz w:val="14"/>
                <w:szCs w:val="14"/>
                <w:color w:val="auto"/>
              </w:rPr>
              <w:t>to be $15.05 per Share on Shares Held Prior to</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3240" w:type="dxa"/>
            <w:vAlign w:val="bottom"/>
            <w:gridSpan w:val="2"/>
          </w:tcPr>
          <w:p>
            <w:pPr>
              <w:ind w:left="180"/>
              <w:spacing w:after="0"/>
              <w:rPr>
                <w:sz w:val="20"/>
                <w:szCs w:val="20"/>
                <w:color w:val="auto"/>
              </w:rPr>
            </w:pPr>
            <w:r>
              <w:rPr>
                <w:rFonts w:ascii="Arial" w:cs="Arial" w:eastAsia="Arial" w:hAnsi="Arial"/>
                <w:sz w:val="14"/>
                <w:szCs w:val="14"/>
                <w:color w:val="auto"/>
              </w:rPr>
              <w:t>Sale)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15.05</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15.05</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14.26</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12.67</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197"/>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Dilution per Share Held by Investor A (Net Asset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81"/>
        </w:trPr>
        <w:tc>
          <w:tcPr>
            <w:tcW w:w="32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Value per Share Less Investment per Share)</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(0.04)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0.65</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1.87</w:t>
            </w:r>
          </w:p>
        </w:tc>
        <w:tc>
          <w:tcPr>
            <w:tcW w:w="6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97"/>
        </w:trPr>
        <w:tc>
          <w:tcPr>
            <w:tcW w:w="3240" w:type="dxa"/>
            <w:vAlign w:val="bottom"/>
            <w:gridSpan w:val="2"/>
          </w:tcPr>
          <w:p>
            <w:pPr>
              <w:spacing w:after="0"/>
              <w:rPr>
                <w:sz w:val="20"/>
                <w:szCs w:val="20"/>
                <w:color w:val="auto"/>
              </w:rPr>
            </w:pPr>
            <w:r>
              <w:rPr>
                <w:rFonts w:ascii="Arial" w:cs="Arial" w:eastAsia="Arial" w:hAnsi="Arial"/>
                <w:sz w:val="14"/>
                <w:szCs w:val="14"/>
                <w:color w:val="auto"/>
                <w:w w:val="98"/>
              </w:rPr>
              <w:t>Percentage Dilution to Investor A (Dilution per Share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3240" w:type="dxa"/>
            <w:vAlign w:val="bottom"/>
            <w:gridSpan w:val="2"/>
          </w:tcPr>
          <w:p>
            <w:pPr>
              <w:ind w:left="180"/>
              <w:spacing w:after="0"/>
              <w:rPr>
                <w:sz w:val="20"/>
                <w:szCs w:val="20"/>
                <w:color w:val="auto"/>
              </w:rPr>
            </w:pPr>
            <w:r>
              <w:rPr>
                <w:rFonts w:ascii="Arial" w:cs="Arial" w:eastAsia="Arial" w:hAnsi="Arial"/>
                <w:sz w:val="14"/>
                <w:szCs w:val="14"/>
                <w:color w:val="auto"/>
              </w:rPr>
              <w:t>Divided by Investment per Share)</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14.77%</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-2941955</wp:posOffset>
            </wp:positionV>
            <wp:extent cx="102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-2941955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-2941955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-2941955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-2941955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-2941955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-2941955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Considerations</w:t>
      </w:r>
    </w:p>
    <w:p>
      <w:pPr>
        <w:spacing w:after="0" w:line="104"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 reaching its recommendation to the shareholders of the Company to approve this Proposal 1, the Board of</w:t>
      </w:r>
    </w:p>
    <w:p>
      <w:pPr>
        <w:spacing w:after="0" w:line="3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Directors considered the effect or the following factors:</w:t>
      </w:r>
    </w:p>
    <w:p>
      <w:pPr>
        <w:spacing w:after="0" w:line="143" w:lineRule="exact"/>
        <w:rPr>
          <w:sz w:val="20"/>
          <w:szCs w:val="20"/>
          <w:color w:val="auto"/>
        </w:rPr>
      </w:pPr>
    </w:p>
    <w:p>
      <w:pPr>
        <w:ind w:left="1140" w:right="919" w:hanging="35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benefits of a Common Share offering below NAV compared to other possible means for raising capital or concluding not to raise capital;</w:t>
      </w:r>
    </w:p>
    <w:p>
      <w:pPr>
        <w:spacing w:after="0" w:line="102" w:lineRule="exact"/>
        <w:rPr>
          <w:rFonts w:ascii="Arial" w:cs="Arial" w:eastAsia="Arial" w:hAnsi="Arial"/>
          <w:sz w:val="18"/>
          <w:szCs w:val="18"/>
          <w:color w:val="auto"/>
        </w:rPr>
      </w:pPr>
    </w:p>
    <w:p>
      <w:pPr>
        <w:ind w:left="1140" w:hanging="35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of a Common Share offering in relation to the number of Common Shares outstanding;</w:t>
      </w:r>
    </w:p>
    <w:p>
      <w:pPr>
        <w:spacing w:after="0" w:line="157" w:lineRule="exact"/>
        <w:rPr>
          <w:rFonts w:ascii="Arial" w:cs="Arial" w:eastAsia="Arial" w:hAnsi="Arial"/>
          <w:sz w:val="18"/>
          <w:szCs w:val="18"/>
          <w:color w:val="auto"/>
        </w:rPr>
      </w:pPr>
    </w:p>
    <w:p>
      <w:pPr>
        <w:ind w:left="1140" w:hanging="35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general condition of the securities markets; and</w:t>
      </w:r>
    </w:p>
    <w:p>
      <w:pPr>
        <w:spacing w:after="0" w:line="157" w:lineRule="exact"/>
        <w:rPr>
          <w:rFonts w:ascii="Arial" w:cs="Arial" w:eastAsia="Arial" w:hAnsi="Arial"/>
          <w:sz w:val="18"/>
          <w:szCs w:val="18"/>
          <w:color w:val="auto"/>
        </w:rPr>
      </w:pPr>
    </w:p>
    <w:p>
      <w:pPr>
        <w:ind w:left="1140" w:hanging="35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impact on operating expenses associated with an increase in capital.</w:t>
      </w:r>
    </w:p>
    <w:p>
      <w:pPr>
        <w:spacing w:after="0" w:line="117" w:lineRule="exact"/>
        <w:rPr>
          <w:sz w:val="20"/>
          <w:szCs w:val="20"/>
          <w:color w:val="auto"/>
        </w:rPr>
      </w:pPr>
    </w:p>
    <w:p>
      <w:pPr>
        <w:ind w:left="420" w:right="759" w:firstLine="360"/>
        <w:spacing w:after="0" w:line="264" w:lineRule="auto"/>
        <w:rPr>
          <w:sz w:val="20"/>
          <w:szCs w:val="20"/>
          <w:color w:val="auto"/>
        </w:rPr>
      </w:pPr>
      <w:r>
        <w:rPr>
          <w:rFonts w:ascii="Arial" w:cs="Arial" w:eastAsia="Arial" w:hAnsi="Arial"/>
          <w:sz w:val="18"/>
          <w:szCs w:val="18"/>
          <w:color w:val="auto"/>
        </w:rPr>
        <w:t>The Board of Directors, including a majority of the non-interested directors who have no financial interest in this Proposal 1, concluded that the benefits to the shareholders from increasing our capital base outweighed any detriment, including dilution to existing shareholders.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Required Vote</w:t>
      </w:r>
    </w:p>
    <w:p>
      <w:pPr>
        <w:spacing w:after="0" w:line="108" w:lineRule="exact"/>
        <w:rPr>
          <w:sz w:val="20"/>
          <w:szCs w:val="20"/>
          <w:color w:val="auto"/>
        </w:rPr>
      </w:pPr>
    </w:p>
    <w:p>
      <w:pPr>
        <w:ind w:left="420" w:right="1039" w:firstLine="360"/>
        <w:spacing w:after="0" w:line="297" w:lineRule="auto"/>
        <w:rPr>
          <w:sz w:val="20"/>
          <w:szCs w:val="20"/>
          <w:color w:val="auto"/>
        </w:rPr>
      </w:pPr>
      <w:r>
        <w:rPr>
          <w:rFonts w:ascii="Arial" w:cs="Arial" w:eastAsia="Arial" w:hAnsi="Arial"/>
          <w:sz w:val="16"/>
          <w:szCs w:val="16"/>
          <w:color w:val="auto"/>
        </w:rPr>
        <w:t>The authorization of the Company to sell Common Shares at a price or prices below the Company’s then current NAV per share in one or multiple offerings will require the affirmative vote of (1) a majority of the outstanding Common Shares entitled to vote at the Meeting; and (2) a majority of the outstanding Common Shares entitled to vote at the Meeting that are not held by affiliated persons of us, which includes our officers, directors, employees and 5% shareholders. Because we are regulated as a BDC under the</w:t>
      </w:r>
    </w:p>
    <w:p>
      <w:pPr>
        <w:sectPr>
          <w:pgSz w:w="11900" w:h="16838" w:orient="portrait"/>
          <w:cols w:equalWidth="0" w:num="1">
            <w:col w:w="9379"/>
          </w:cols>
          <w:pgMar w:left="1080" w:top="1084" w:right="1440" w:bottom="1440" w:gutter="0" w:footer="0" w:header="0"/>
        </w:sect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248285</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379"/>
          </w:cols>
          <w:pgMar w:left="1080" w:top="1084" w:right="1440" w:bottom="1440" w:gutter="0" w:footer="0" w:header="0"/>
          <w:type w:val="continuous"/>
        </w:sectPr>
      </w:pPr>
    </w:p>
    <w:bookmarkStart w:id="16" w:name="page17"/>
    <w:bookmarkEnd w:id="16"/>
    <w:p>
      <w:pPr>
        <w:ind w:left="60" w:right="879"/>
        <w:spacing w:after="0" w:line="276" w:lineRule="auto"/>
        <w:rPr>
          <w:sz w:val="20"/>
          <w:szCs w:val="20"/>
          <w:color w:val="auto"/>
        </w:rPr>
      </w:pPr>
      <w:r>
        <w:rPr>
          <w:rFonts w:ascii="Arial" w:cs="Arial" w:eastAsia="Arial" w:hAnsi="Arial"/>
          <w:sz w:val="17"/>
          <w:szCs w:val="17"/>
          <w:color w:val="auto"/>
        </w:rPr>
        <w:t>1940 Act, the 1940 Act definition of “a majority of the outstanding shares” must be used for purposes of this proposal. Under the 1940 Act, “a majority of the outstanding shares” is defined as the lesser of: (i) 67% or more of the voting securities present at the Meeting if the holders of more than 50% of our outstanding voting securities are present or represented by proxy; or (ii) more than 50% of our outstanding voting securities. Abstentions and Broker Non-Votes will have the effect of a vote against this proposal.</w:t>
      </w:r>
    </w:p>
    <w:p>
      <w:pPr>
        <w:spacing w:after="0" w:line="60" w:lineRule="exact"/>
        <w:rPr>
          <w:sz w:val="20"/>
          <w:szCs w:val="20"/>
          <w:color w:val="auto"/>
        </w:rPr>
      </w:pPr>
    </w:p>
    <w:p>
      <w:pPr>
        <w:ind w:left="60" w:right="819" w:firstLine="360"/>
        <w:spacing w:after="0" w:line="258" w:lineRule="auto"/>
        <w:rPr>
          <w:sz w:val="20"/>
          <w:szCs w:val="20"/>
          <w:color w:val="auto"/>
        </w:rPr>
      </w:pPr>
      <w:r>
        <w:rPr>
          <w:rFonts w:ascii="Arial" w:cs="Arial" w:eastAsia="Arial" w:hAnsi="Arial"/>
          <w:sz w:val="18"/>
          <w:szCs w:val="18"/>
          <w:b w:val="1"/>
          <w:bCs w:val="1"/>
          <w:color w:val="auto"/>
        </w:rPr>
        <w:t>THE BOARD OF DIRECTORS BELIEVES THAT A VOTE “FOR” PROPOSAL 1 TO AUTHORIZE THE COMPANY TO SELL ITS COMMON SHARES AT A PRICE OR PRICES BELOW THE COMPANY’S THEN CURRENT NET ASSET VALUE PER SHARE IN ONE OR MULTIPLE OFFERINGS AS DESCRIBED ABOVE IS IN THE BEST INTERESTS OF OUR SHAREHOLDERS AND RECOMMENDS A VOTE “FOR”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7" w:name="page18"/>
    <w:bookmarkEnd w:id="17"/>
    <w:p>
      <w:pPr>
        <w:jc w:val="center"/>
        <w:ind w:left="60" w:right="779"/>
        <w:spacing w:after="0" w:line="251" w:lineRule="auto"/>
        <w:rPr>
          <w:sz w:val="20"/>
          <w:szCs w:val="20"/>
          <w:color w:val="auto"/>
        </w:rPr>
      </w:pPr>
      <w:r>
        <w:rPr>
          <w:rFonts w:ascii="Arial" w:cs="Arial" w:eastAsia="Arial" w:hAnsi="Arial"/>
          <w:sz w:val="18"/>
          <w:szCs w:val="18"/>
          <w:b w:val="1"/>
          <w:bCs w:val="1"/>
          <w:color w:val="auto"/>
        </w:rPr>
        <w:t>PROPOSAL 2 — REDUCE THE COMPANY’S REQUIRED MINIMUM ASSET COVERAGE RATIO FROM 200% TO 150% WITH IMMEDIATE EFFECT</w:t>
      </w:r>
    </w:p>
    <w:p>
      <w:pPr>
        <w:spacing w:after="0" w:line="71" w:lineRule="exact"/>
        <w:rPr>
          <w:sz w:val="20"/>
          <w:szCs w:val="20"/>
          <w:color w:val="auto"/>
        </w:rPr>
      </w:pPr>
    </w:p>
    <w:p>
      <w:pPr>
        <w:ind w:left="60" w:right="779" w:firstLine="360"/>
        <w:spacing w:after="0" w:line="286" w:lineRule="auto"/>
        <w:rPr>
          <w:sz w:val="20"/>
          <w:szCs w:val="20"/>
          <w:color w:val="auto"/>
        </w:rPr>
      </w:pPr>
      <w:r>
        <w:rPr>
          <w:rFonts w:ascii="Arial" w:cs="Arial" w:eastAsia="Arial" w:hAnsi="Arial"/>
          <w:sz w:val="16"/>
          <w:szCs w:val="16"/>
          <w:color w:val="auto"/>
        </w:rPr>
        <w:t>The Company is a closed-end investment company that has elected to be regulated as a BDC under the 1940 Act. As a BDC, we are required to not exceed an asset coverage ratio, reflecting the value of our total assets to our total senior securities, which include all of our borrowings and any preferred stock issued by us, under the 1940 Act. Prior to March 23, 2018, Section 61(a) of the 1940 Act (which incorporates the requirements of Sections 18(a)(1) and 18(a)(2) of the 1940 Act) did not permit a BDC to issue senior securities unless, at the time of issuance, the BDC had an asset coverage ratio of at least 200%, taking into account that issuance of senior securities (the “Asset Coverage Ratio”). However, on March 23, 2018, the President signed the Small Business Credit Availability Act (the “SBCA”) into law. The SBCA, among other things, permits BDCs to be subject to a minimum Asset Coverage Ratio of 150% (the “150% Asset Coverage”), if specific conditions are satisfied, when issuing senior securities. In other words, prior to the enactment of the SBCA, a BDC could borrow $1 for investment purposes for every $1 of investor equity. Now, for those BDCs that satisfy the SBCA’s approval and disclosure requirements, the BDC can borrow $2 for investment purposes for every $1 of investor equity, which is twice the amount of leverage permitted before the SBCA was enacted.</w:t>
      </w:r>
    </w:p>
    <w:p>
      <w:pPr>
        <w:spacing w:after="0" w:line="67" w:lineRule="exact"/>
        <w:rPr>
          <w:sz w:val="20"/>
          <w:szCs w:val="20"/>
          <w:color w:val="auto"/>
        </w:rPr>
      </w:pPr>
    </w:p>
    <w:p>
      <w:pPr>
        <w:ind w:left="60" w:right="759" w:firstLine="360"/>
        <w:spacing w:after="0" w:line="273" w:lineRule="auto"/>
        <w:rPr>
          <w:sz w:val="20"/>
          <w:szCs w:val="20"/>
          <w:color w:val="auto"/>
        </w:rPr>
      </w:pPr>
      <w:r>
        <w:rPr>
          <w:rFonts w:ascii="Arial" w:cs="Arial" w:eastAsia="Arial" w:hAnsi="Arial"/>
          <w:sz w:val="17"/>
          <w:szCs w:val="17"/>
          <w:color w:val="auto"/>
        </w:rPr>
        <w:t>The SBCA provides that in order for a BDC whose common stock is traded on a national securities exchange to be subject to 150% Asset Coverage, the BDC must either obtain: (i) approval of the required majority of its non-interested directors who have no financial interest in the proposal, which would become effective one year after the date of such approval (the “Board Effective Date”), or (ii) obtain shareholder approval (of more than 50% of the votes cast for the proposal at a meeting in which quorum is present), which would become effective on the first day after the date of such shareholder approval.</w:t>
      </w:r>
    </w:p>
    <w:p>
      <w:pPr>
        <w:spacing w:after="0" w:line="70" w:lineRule="exact"/>
        <w:rPr>
          <w:sz w:val="20"/>
          <w:szCs w:val="20"/>
          <w:color w:val="auto"/>
        </w:rPr>
      </w:pPr>
    </w:p>
    <w:p>
      <w:pPr>
        <w:ind w:left="60" w:right="819" w:firstLine="360"/>
        <w:spacing w:after="0" w:line="293" w:lineRule="auto"/>
        <w:rPr>
          <w:sz w:val="20"/>
          <w:szCs w:val="20"/>
          <w:color w:val="auto"/>
        </w:rPr>
      </w:pPr>
      <w:r>
        <w:rPr>
          <w:rFonts w:ascii="Arial" w:cs="Arial" w:eastAsia="Arial" w:hAnsi="Arial"/>
          <w:sz w:val="16"/>
          <w:szCs w:val="16"/>
          <w:color w:val="auto"/>
        </w:rPr>
        <w:t>On April 27, 2018, our Board of Directors, including a majority of the non-interested directors who have no financial interest in this proposal, deemed it in the best interests of the Company and its shareholders for the Company to be subject to 150% Asset Coverage. Our Board of Directors believes that having the flexibility for the Company to incur additional leverage in certain instances is in the best interests of shareholders. In connection with this determination, our Board of Directors approved a resolution permitting the Company to be subject to 150% Asset Coverage, to be effective on the Board Effective Date, or April 27, 2019.</w:t>
      </w:r>
    </w:p>
    <w:p>
      <w:pPr>
        <w:spacing w:after="0" w:line="57" w:lineRule="exact"/>
        <w:rPr>
          <w:sz w:val="20"/>
          <w:szCs w:val="20"/>
          <w:color w:val="auto"/>
        </w:rPr>
      </w:pPr>
    </w:p>
    <w:p>
      <w:pPr>
        <w:ind w:left="60" w:right="959" w:firstLine="360"/>
        <w:spacing w:after="0" w:line="297" w:lineRule="auto"/>
        <w:rPr>
          <w:sz w:val="20"/>
          <w:szCs w:val="20"/>
          <w:color w:val="auto"/>
        </w:rPr>
      </w:pPr>
      <w:r>
        <w:rPr>
          <w:rFonts w:ascii="Arial" w:cs="Arial" w:eastAsia="Arial" w:hAnsi="Arial"/>
          <w:sz w:val="16"/>
          <w:szCs w:val="16"/>
          <w:color w:val="auto"/>
        </w:rPr>
        <w:t>In addition, the Board of Directors also approved and recommended that shareholders vote “FOR” a proposal to authorize the Company to be subject to 150% Asset Coverage. If our shareholders approve this proposal, the reduced Asset Coverage Ratio would be effective the day after the Meeting. Because we have received approval from our Board of Directors, if the proposal does not receive approval of the majority of the votes cast at the Meeting, we will be subject to the reduced Asset Coverage Ratio beginning on April 27, 2019.</w:t>
      </w:r>
    </w:p>
    <w:p>
      <w:pPr>
        <w:spacing w:after="0" w:line="50" w:lineRule="exact"/>
        <w:rPr>
          <w:sz w:val="20"/>
          <w:szCs w:val="20"/>
          <w:color w:val="auto"/>
        </w:rPr>
      </w:pPr>
    </w:p>
    <w:p>
      <w:pPr>
        <w:ind w:left="60" w:right="1519" w:firstLine="360"/>
        <w:spacing w:after="0" w:line="342" w:lineRule="auto"/>
        <w:rPr>
          <w:sz w:val="20"/>
          <w:szCs w:val="20"/>
          <w:color w:val="auto"/>
        </w:rPr>
      </w:pPr>
      <w:r>
        <w:rPr>
          <w:rFonts w:ascii="Arial" w:cs="Arial" w:eastAsia="Arial" w:hAnsi="Arial"/>
          <w:sz w:val="16"/>
          <w:szCs w:val="16"/>
          <w:color w:val="auto"/>
        </w:rPr>
        <w:t>We believe that having the flexibility to incur additional leverage could augment the returns to our shareholders and would be in the best interest of our shareholders because it would permit us to:</w:t>
      </w:r>
    </w:p>
    <w:p>
      <w:pPr>
        <w:spacing w:after="0" w:line="97" w:lineRule="exact"/>
        <w:rPr>
          <w:sz w:val="20"/>
          <w:szCs w:val="20"/>
          <w:color w:val="auto"/>
        </w:rPr>
      </w:pPr>
    </w:p>
    <w:p>
      <w:pPr>
        <w:ind w:left="780" w:right="759" w:hanging="352"/>
        <w:spacing w:after="0" w:line="308"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better manage our capital by giving us access to more debt capital while potentially delaying any equity capital raises until we believe market conditions are optimal for such an equity raise;</w:t>
      </w:r>
    </w:p>
    <w:p>
      <w:pPr>
        <w:spacing w:after="0" w:line="106" w:lineRule="exact"/>
        <w:rPr>
          <w:rFonts w:ascii="Arial" w:cs="Arial" w:eastAsia="Arial" w:hAnsi="Arial"/>
          <w:sz w:val="17"/>
          <w:szCs w:val="17"/>
          <w:color w:val="auto"/>
        </w:rPr>
      </w:pPr>
    </w:p>
    <w:p>
      <w:pPr>
        <w:jc w:val="both"/>
        <w:ind w:left="780" w:right="1179" w:hanging="352"/>
        <w:spacing w:after="0" w:line="26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effectively manage our debt-to-equity ratio in a way that could allow us to continue to make investments during periods when we experience lower fair values across our portfolio because of downturns in the capital markets;</w:t>
      </w:r>
    </w:p>
    <w:p>
      <w:pPr>
        <w:spacing w:after="0" w:line="140" w:lineRule="exact"/>
        <w:rPr>
          <w:rFonts w:ascii="Arial" w:cs="Arial" w:eastAsia="Arial" w:hAnsi="Arial"/>
          <w:sz w:val="18"/>
          <w:szCs w:val="18"/>
          <w:color w:val="auto"/>
        </w:rPr>
      </w:pPr>
    </w:p>
    <w:p>
      <w:pPr>
        <w:ind w:left="780" w:hanging="35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 our assets and portfolio;</w:t>
      </w:r>
    </w:p>
    <w:p>
      <w:pPr>
        <w:spacing w:after="0" w:line="198" w:lineRule="exact"/>
        <w:rPr>
          <w:rFonts w:ascii="Arial" w:cs="Arial" w:eastAsia="Arial" w:hAnsi="Arial"/>
          <w:sz w:val="18"/>
          <w:szCs w:val="18"/>
          <w:color w:val="auto"/>
        </w:rPr>
      </w:pPr>
    </w:p>
    <w:p>
      <w:pPr>
        <w:ind w:left="780" w:hanging="35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net investment income with a larger portfolio;</w:t>
      </w:r>
    </w:p>
    <w:p>
      <w:pPr>
        <w:spacing w:after="0" w:line="184" w:lineRule="exact"/>
        <w:rPr>
          <w:rFonts w:ascii="Arial" w:cs="Arial" w:eastAsia="Arial" w:hAnsi="Arial"/>
          <w:sz w:val="18"/>
          <w:szCs w:val="18"/>
          <w:color w:val="auto"/>
        </w:rPr>
      </w:pPr>
    </w:p>
    <w:p>
      <w:pPr>
        <w:ind w:left="780" w:hanging="35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increase distributions to our shareholders;</w:t>
      </w:r>
    </w:p>
    <w:p>
      <w:pPr>
        <w:spacing w:after="0" w:line="184" w:lineRule="exact"/>
        <w:rPr>
          <w:rFonts w:ascii="Arial" w:cs="Arial" w:eastAsia="Arial" w:hAnsi="Arial"/>
          <w:sz w:val="18"/>
          <w:szCs w:val="18"/>
          <w:color w:val="auto"/>
        </w:rPr>
      </w:pPr>
    </w:p>
    <w:p>
      <w:pPr>
        <w:ind w:left="780" w:hanging="35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provide a higher return on equity; and</w:t>
      </w:r>
    </w:p>
    <w:p>
      <w:pPr>
        <w:spacing w:after="0" w:line="184" w:lineRule="exact"/>
        <w:rPr>
          <w:rFonts w:ascii="Arial" w:cs="Arial" w:eastAsia="Arial" w:hAnsi="Arial"/>
          <w:sz w:val="18"/>
          <w:szCs w:val="18"/>
          <w:color w:val="auto"/>
        </w:rPr>
      </w:pPr>
    </w:p>
    <w:p>
      <w:pPr>
        <w:ind w:left="780" w:hanging="35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 in higher quality assets.</w:t>
      </w:r>
    </w:p>
    <w:p>
      <w:pPr>
        <w:spacing w:after="0" w:line="29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18" w:name="page19"/>
    <w:bookmarkEnd w:id="18"/>
    <w:p>
      <w:pPr>
        <w:ind w:left="60" w:right="1239" w:firstLine="360"/>
        <w:spacing w:after="0" w:line="312" w:lineRule="auto"/>
        <w:rPr>
          <w:sz w:val="20"/>
          <w:szCs w:val="20"/>
          <w:color w:val="auto"/>
        </w:rPr>
      </w:pPr>
      <w:r>
        <w:rPr>
          <w:rFonts w:ascii="Arial" w:cs="Arial" w:eastAsia="Arial" w:hAnsi="Arial"/>
          <w:sz w:val="16"/>
          <w:szCs w:val="16"/>
          <w:color w:val="auto"/>
        </w:rPr>
        <w:t>We believe that if we are unable to incur additional leverage at a time when issuing equity capital is disadvantageous, while simultaneously being presented attractive investment opportunities, the Company’s ability to grow over time and continue to pay distributions to shareholders could be adversely affected.</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Illustrations</w:t>
      </w:r>
    </w:p>
    <w:p>
      <w:pPr>
        <w:spacing w:after="0" w:line="104" w:lineRule="exact"/>
        <w:rPr>
          <w:sz w:val="20"/>
          <w:szCs w:val="20"/>
          <w:color w:val="auto"/>
        </w:rPr>
      </w:pPr>
    </w:p>
    <w:p>
      <w:pPr>
        <w:ind w:left="60" w:right="779" w:firstLine="360"/>
        <w:spacing w:after="0" w:line="289" w:lineRule="auto"/>
        <w:rPr>
          <w:sz w:val="20"/>
          <w:szCs w:val="20"/>
          <w:color w:val="auto"/>
        </w:rPr>
      </w:pPr>
      <w:r>
        <w:rPr>
          <w:rFonts w:ascii="Arial" w:cs="Arial" w:eastAsia="Arial" w:hAnsi="Arial"/>
          <w:sz w:val="16"/>
          <w:szCs w:val="16"/>
          <w:i w:val="1"/>
          <w:iCs w:val="1"/>
          <w:color w:val="auto"/>
        </w:rPr>
        <w:t xml:space="preserve">Leverage Tables. </w:t>
      </w:r>
      <w:r>
        <w:rPr>
          <w:rFonts w:ascii="Arial" w:cs="Arial" w:eastAsia="Arial" w:hAnsi="Arial"/>
          <w:sz w:val="16"/>
          <w:szCs w:val="16"/>
          <w:color w:val="auto"/>
        </w:rPr>
        <w:t>The following tables illustrate the effect of leverage on returns from an investment in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Shares assuming various annual returns, net of expenses as of March 31, 2018. The first table assumes the amount of senior securities outstanding as of March 31, 2018 under the current applicable 200% minimum asset coverage ratio (that is, a 1:1 debt-to-equity ratio). The second table assumes the maximum amount of senior securities outstanding that could be incurred by the Company as of March 31, 2018 if the proposed 150% minimum asset coverage ratio were applied (that is, a 2:1 debt-to-equity ratio) if this Proposal 2 is approved or, if not approved, upon the Board Effective Date. Both tables assume annual returns on the Company’s portfolio (net of expenses) of -10%, -5%. 0%, 5%, and 10%. The calculations in the tables below are hypothetical, and actual returns may be higher or lower than those appearing in the tables below.</w:t>
      </w:r>
    </w:p>
    <w:p>
      <w:pPr>
        <w:spacing w:after="0" w:line="59" w:lineRule="exact"/>
        <w:rPr>
          <w:sz w:val="20"/>
          <w:szCs w:val="20"/>
          <w:color w:val="auto"/>
        </w:rPr>
      </w:pPr>
    </w:p>
    <w:p>
      <w:pPr>
        <w:ind w:left="60" w:right="979" w:firstLine="360"/>
        <w:spacing w:after="0" w:line="277" w:lineRule="auto"/>
        <w:rPr>
          <w:sz w:val="20"/>
          <w:szCs w:val="20"/>
          <w:color w:val="auto"/>
        </w:rPr>
      </w:pPr>
      <w:r>
        <w:rPr>
          <w:rFonts w:ascii="Arial" w:cs="Arial" w:eastAsia="Arial" w:hAnsi="Arial"/>
          <w:sz w:val="18"/>
          <w:szCs w:val="18"/>
          <w:color w:val="auto"/>
        </w:rPr>
        <w:t>The calculations in the tables below are hypothetical and actual returns may be higher or lower than those reflected below.</w:t>
      </w:r>
    </w:p>
    <w:p>
      <w:pPr>
        <w:spacing w:after="0" w:line="15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Table 1: Effects of Leverage Based on the Actual Amount of Borrowings Incurred by</w:t>
      </w:r>
    </w:p>
    <w:p>
      <w:pPr>
        <w:spacing w:after="0" w:line="2"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the Company as of December 31, 2017</w:t>
      </w:r>
    </w:p>
    <w:p>
      <w:pPr>
        <w:spacing w:after="0" w:line="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Assumed Return on Our Portfolio (net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-102870</wp:posOffset>
            </wp:positionV>
            <wp:extent cx="5213985"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3985" cy="27432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2"/>
        </w:trPr>
        <w:tc>
          <w:tcPr>
            <w:tcW w:w="3440" w:type="dxa"/>
            <w:vAlign w:val="bottom"/>
          </w:tcPr>
          <w:p>
            <w:pPr>
              <w:ind w:left="180"/>
              <w:spacing w:after="0"/>
              <w:rPr>
                <w:sz w:val="20"/>
                <w:szCs w:val="20"/>
                <w:color w:val="auto"/>
              </w:rPr>
            </w:pPr>
            <w:r>
              <w:rPr>
                <w:rFonts w:ascii="Arial" w:cs="Arial" w:eastAsia="Arial" w:hAnsi="Arial"/>
                <w:sz w:val="14"/>
                <w:szCs w:val="14"/>
                <w:color w:val="auto"/>
              </w:rPr>
              <w:t>(1)</w:t>
            </w: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(5)%</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0%</w:t>
            </w: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color w:val="auto"/>
              </w:rPr>
              <w:t>5%</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97"/>
        </w:trPr>
        <w:tc>
          <w:tcPr>
            <w:tcW w:w="34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Corresponding Net Return to Common</w:t>
            </w: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(24.67)%</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(14.65)%</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(4.63)%</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5.40%</w:t>
            </w:r>
          </w:p>
        </w:tc>
        <w:tc>
          <w:tcPr>
            <w:tcW w:w="740" w:type="dxa"/>
            <w:vAlign w:val="bottom"/>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163195</wp:posOffset>
            </wp:positionV>
            <wp:extent cx="12350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20" w:right="799" w:hanging="352"/>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Assumes $559.9 million in total assets, $256.1 million in senior securities outstanding, $279.3 million in net assets, and an average cost of funds of 5.04% (exclusive of deferred financing costs). Actual amounts, including interest payments may be different.</w:t>
      </w:r>
    </w:p>
    <w:p>
      <w:pPr>
        <w:spacing w:after="0" w:line="164" w:lineRule="exact"/>
        <w:rPr>
          <w:sz w:val="20"/>
          <w:szCs w:val="20"/>
          <w:color w:val="auto"/>
        </w:rPr>
      </w:pPr>
    </w:p>
    <w:p>
      <w:pPr>
        <w:jc w:val="center"/>
        <w:ind w:left="1520" w:right="160"/>
        <w:spacing w:after="0" w:line="236" w:lineRule="auto"/>
        <w:rPr>
          <w:sz w:val="20"/>
          <w:szCs w:val="20"/>
          <w:color w:val="auto"/>
        </w:rPr>
      </w:pPr>
      <w:r>
        <w:rPr>
          <w:rFonts w:ascii="Arial" w:cs="Arial" w:eastAsia="Arial" w:hAnsi="Arial"/>
          <w:sz w:val="18"/>
          <w:szCs w:val="18"/>
          <w:b w:val="1"/>
          <w:bCs w:val="1"/>
          <w:color w:val="auto"/>
        </w:rPr>
        <w:t>Table 2: Effects of Leverage Based on the Pro Forma Maximum Amount of Borrowings That Could Be Incurred by the Company Under the Proposed 150% Minimum Asset Coverage Ratio (i.e., 2:1 Debt-to-Equity Ratio)</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Assumed Return on Our Portfolio (net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-102870</wp:posOffset>
            </wp:positionV>
            <wp:extent cx="5213985"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3985" cy="27432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2"/>
        </w:trPr>
        <w:tc>
          <w:tcPr>
            <w:tcW w:w="3440" w:type="dxa"/>
            <w:vAlign w:val="bottom"/>
          </w:tcPr>
          <w:p>
            <w:pPr>
              <w:ind w:left="180"/>
              <w:spacing w:after="0"/>
              <w:rPr>
                <w:sz w:val="20"/>
                <w:szCs w:val="20"/>
                <w:color w:val="auto"/>
              </w:rPr>
            </w:pPr>
            <w:r>
              <w:rPr>
                <w:rFonts w:ascii="Arial" w:cs="Arial" w:eastAsia="Arial" w:hAnsi="Arial"/>
                <w:sz w:val="14"/>
                <w:szCs w:val="14"/>
                <w:color w:val="auto"/>
              </w:rPr>
              <w:t>(1)</w:t>
            </w: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(5)%</w:t>
            </w:r>
          </w:p>
        </w:tc>
        <w:tc>
          <w:tcPr>
            <w:tcW w:w="920" w:type="dxa"/>
            <w:vAlign w:val="bottom"/>
            <w:vMerge w:val="restart"/>
          </w:tcPr>
          <w:p>
            <w:pPr>
              <w:jc w:val="right"/>
              <w:ind w:right="110"/>
              <w:spacing w:after="0"/>
              <w:rPr>
                <w:sz w:val="20"/>
                <w:szCs w:val="20"/>
                <w:color w:val="auto"/>
              </w:rPr>
            </w:pPr>
            <w:r>
              <w:rPr>
                <w:rFonts w:ascii="Arial" w:cs="Arial" w:eastAsia="Arial" w:hAnsi="Arial"/>
                <w:sz w:val="18"/>
                <w:szCs w:val="18"/>
                <w:color w:val="auto"/>
              </w:rPr>
              <w:t>0%</w:t>
            </w: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color w:val="auto"/>
              </w:rPr>
              <w:t>5%</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97"/>
        </w:trPr>
        <w:tc>
          <w:tcPr>
            <w:tcW w:w="34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8"/>
                <w:szCs w:val="18"/>
                <w:color w:val="auto"/>
              </w:rPr>
              <w:t>Corresponding Net Return to Common</w:t>
            </w: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(41.46)%</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(25.94)%</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(10.41)%</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5.11%</w:t>
            </w:r>
          </w:p>
        </w:tc>
        <w:tc>
          <w:tcPr>
            <w:tcW w:w="740" w:type="dxa"/>
            <w:vAlign w:val="bottom"/>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163195</wp:posOffset>
            </wp:positionV>
            <wp:extent cx="12350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20" w:right="799" w:hanging="352"/>
        <w:spacing w:after="0" w:line="264"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$867.1 million in total assets, $558.1 million in senior securities outstanding, $279.3 million in net assets, and an average cost of funds of 5.21%. Actual amounts, including interest payments may be different.</w:t>
      </w:r>
    </w:p>
    <w:p>
      <w:pPr>
        <w:spacing w:after="0" w:line="73" w:lineRule="exact"/>
        <w:rPr>
          <w:sz w:val="20"/>
          <w:szCs w:val="20"/>
          <w:color w:val="auto"/>
        </w:rPr>
      </w:pPr>
    </w:p>
    <w:p>
      <w:pPr>
        <w:ind w:left="60" w:right="739" w:firstLine="360"/>
        <w:spacing w:after="0" w:line="297" w:lineRule="auto"/>
        <w:rPr>
          <w:sz w:val="20"/>
          <w:szCs w:val="20"/>
          <w:color w:val="auto"/>
        </w:rPr>
      </w:pPr>
      <w:r>
        <w:rPr>
          <w:rFonts w:ascii="Arial" w:cs="Arial" w:eastAsia="Arial" w:hAnsi="Arial"/>
          <w:sz w:val="16"/>
          <w:szCs w:val="16"/>
          <w:i w:val="1"/>
          <w:iCs w:val="1"/>
          <w:color w:val="auto"/>
        </w:rPr>
        <w:t xml:space="preserve">Fees and Expenses Table. </w:t>
      </w:r>
      <w:r>
        <w:rPr>
          <w:rFonts w:ascii="Arial" w:cs="Arial" w:eastAsia="Arial" w:hAnsi="Arial"/>
          <w:sz w:val="16"/>
          <w:szCs w:val="16"/>
          <w:color w:val="auto"/>
        </w:rPr>
        <w:t>The following table is intended to assist you in understanding the costs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that an investor in our Common Shares will bear, directly or indirectly, based on the assumptions set forth below. We caution you that some of the percentages indicated in the table below are estimates and may vary. Except where the context suggests otherwise, we will pay such fees and expenses out of our net assets and, consequently, shareholders will indirectly bear such fees or expenses as investors in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b w:val="1"/>
          <w:bCs w:val="1"/>
          <w:color w:val="auto"/>
        </w:rPr>
        <w:t>Estimated Annual Expenses (as percentage of net assets attributable to common stock)</w:t>
      </w:r>
    </w:p>
    <w:p>
      <w:pPr>
        <w:spacing w:after="0" w:line="12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Annualized Expenses</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Based on Actual</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Expenses for the</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2"/>
        </w:trPr>
        <w:tc>
          <w:tcPr>
            <w:tcW w:w="19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6"/>
              </w:rPr>
              <w:t>Quarter Ended</w:t>
            </w:r>
          </w:p>
        </w:tc>
        <w:tc>
          <w:tcPr>
            <w:tcW w:w="13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9"/>
              </w:rPr>
              <w:t>Assumed 150% Asset</w:t>
            </w:r>
          </w:p>
        </w:tc>
      </w:tr>
      <w:tr>
        <w:trPr>
          <w:trHeight w:val="186"/>
        </w:trPr>
        <w:tc>
          <w:tcPr>
            <w:tcW w:w="19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6"/>
              </w:rPr>
              <w:t>March 31, 2018</w:t>
            </w:r>
          </w:p>
        </w:tc>
        <w:tc>
          <w:tcPr>
            <w:tcW w:w="1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Coverage Ratio</w:t>
            </w:r>
          </w:p>
        </w:tc>
      </w:tr>
      <w:tr>
        <w:trPr>
          <w:trHeight w:val="26"/>
        </w:trPr>
        <w:tc>
          <w:tcPr>
            <w:tcW w:w="19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4"/>
        </w:trPr>
        <w:tc>
          <w:tcPr>
            <w:tcW w:w="506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Operating expenses</w:t>
            </w:r>
            <w:r>
              <w:rPr>
                <w:rFonts w:ascii="Arial" w:cs="Arial" w:eastAsia="Arial" w:hAnsi="Arial"/>
                <w:sz w:val="27"/>
                <w:szCs w:val="27"/>
                <w:color w:val="auto"/>
                <w:vertAlign w:val="superscript"/>
              </w:rPr>
              <w:t>(1)</w:t>
            </w:r>
          </w:p>
        </w:tc>
        <w:tc>
          <w:tcPr>
            <w:tcW w:w="15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15.09%</w:t>
            </w:r>
          </w:p>
        </w:tc>
        <w:tc>
          <w:tcPr>
            <w:tcW w:w="22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13.80%</w:t>
            </w:r>
          </w:p>
        </w:tc>
      </w:tr>
      <w:tr>
        <w:trPr>
          <w:trHeight w:val="257"/>
        </w:trPr>
        <w:tc>
          <w:tcPr>
            <w:tcW w:w="5060" w:type="dxa"/>
            <w:vAlign w:val="bottom"/>
            <w:gridSpan w:val="2"/>
          </w:tcPr>
          <w:p>
            <w:pPr>
              <w:spacing w:after="0"/>
              <w:rPr>
                <w:sz w:val="20"/>
                <w:szCs w:val="20"/>
                <w:color w:val="auto"/>
              </w:rPr>
            </w:pPr>
            <w:r>
              <w:rPr>
                <w:rFonts w:ascii="Arial" w:cs="Arial" w:eastAsia="Arial" w:hAnsi="Arial"/>
                <w:sz w:val="18"/>
                <w:szCs w:val="18"/>
                <w:color w:val="auto"/>
              </w:rPr>
              <w:t>Interest payments on borrowed funds</w:t>
            </w:r>
          </w:p>
        </w:tc>
        <w:tc>
          <w:tcPr>
            <w:tcW w:w="1580" w:type="dxa"/>
            <w:vAlign w:val="bottom"/>
            <w:gridSpan w:val="4"/>
          </w:tcPr>
          <w:p>
            <w:pPr>
              <w:jc w:val="right"/>
              <w:ind w:right="160"/>
              <w:spacing w:after="0" w:line="257" w:lineRule="exact"/>
              <w:rPr>
                <w:sz w:val="20"/>
                <w:szCs w:val="20"/>
                <w:color w:val="auto"/>
              </w:rPr>
            </w:pPr>
            <w:r>
              <w:rPr>
                <w:rFonts w:ascii="Arial" w:cs="Arial" w:eastAsia="Arial" w:hAnsi="Arial"/>
                <w:sz w:val="18"/>
                <w:szCs w:val="18"/>
                <w:color w:val="auto"/>
              </w:rPr>
              <w:t>2.86%</w:t>
            </w:r>
            <w:r>
              <w:rPr>
                <w:rFonts w:ascii="Arial" w:cs="Arial" w:eastAsia="Arial" w:hAnsi="Arial"/>
                <w:sz w:val="27"/>
                <w:szCs w:val="27"/>
                <w:color w:val="auto"/>
                <w:vertAlign w:val="superscript"/>
              </w:rPr>
              <w:t>(2)</w:t>
            </w:r>
          </w:p>
        </w:tc>
        <w:tc>
          <w:tcPr>
            <w:tcW w:w="220" w:type="dxa"/>
            <w:vAlign w:val="bottom"/>
          </w:tcPr>
          <w:p>
            <w:pPr>
              <w:spacing w:after="0"/>
              <w:rPr>
                <w:sz w:val="22"/>
                <w:szCs w:val="22"/>
                <w:color w:val="auto"/>
              </w:rPr>
            </w:pPr>
          </w:p>
        </w:tc>
        <w:tc>
          <w:tcPr>
            <w:tcW w:w="1360" w:type="dxa"/>
            <w:vAlign w:val="bottom"/>
            <w:gridSpan w:val="3"/>
          </w:tcPr>
          <w:p>
            <w:pPr>
              <w:jc w:val="right"/>
              <w:ind w:right="140"/>
              <w:spacing w:after="0" w:line="257" w:lineRule="exact"/>
              <w:rPr>
                <w:sz w:val="20"/>
                <w:szCs w:val="20"/>
                <w:color w:val="auto"/>
              </w:rPr>
            </w:pPr>
            <w:r>
              <w:rPr>
                <w:rFonts w:ascii="Arial" w:cs="Arial" w:eastAsia="Arial" w:hAnsi="Arial"/>
                <w:sz w:val="18"/>
                <w:szCs w:val="18"/>
                <w:color w:val="auto"/>
              </w:rPr>
              <w:t>10.42%</w:t>
            </w:r>
            <w:r>
              <w:rPr>
                <w:rFonts w:ascii="Arial" w:cs="Arial" w:eastAsia="Arial" w:hAnsi="Arial"/>
                <w:sz w:val="27"/>
                <w:szCs w:val="27"/>
                <w:color w:val="auto"/>
                <w:vertAlign w:val="superscript"/>
              </w:rPr>
              <w:t>(3)</w:t>
            </w:r>
          </w:p>
        </w:tc>
      </w:tr>
      <w:tr>
        <w:trPr>
          <w:trHeight w:val="284"/>
        </w:trPr>
        <w:tc>
          <w:tcPr>
            <w:tcW w:w="506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Other expenses</w:t>
            </w:r>
            <w:r>
              <w:rPr>
                <w:rFonts w:ascii="Arial" w:cs="Arial" w:eastAsia="Arial" w:hAnsi="Arial"/>
                <w:sz w:val="27"/>
                <w:szCs w:val="27"/>
                <w:color w:val="auto"/>
                <w:vertAlign w:val="superscript"/>
              </w:rPr>
              <w:t>(4)</w:t>
            </w:r>
          </w:p>
        </w:tc>
        <w:tc>
          <w:tcPr>
            <w:tcW w:w="680" w:type="dxa"/>
            <w:vAlign w:val="bottom"/>
            <w:gridSpan w:val="2"/>
            <w:shd w:val="clear" w:color="auto" w:fill="CCEEFF"/>
          </w:tcPr>
          <w:p>
            <w:pPr>
              <w:spacing w:after="0"/>
              <w:rPr>
                <w:sz w:val="24"/>
                <w:szCs w:val="24"/>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r>
      <w:tr>
        <w:trPr>
          <w:trHeight w:val="20"/>
        </w:trPr>
        <w:tc>
          <w:tcPr>
            <w:tcW w:w="194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r>
      <w:tr>
        <w:trPr>
          <w:trHeight w:val="237"/>
        </w:trPr>
        <w:tc>
          <w:tcPr>
            <w:tcW w:w="5060" w:type="dxa"/>
            <w:vAlign w:val="bottom"/>
            <w:gridSpan w:val="2"/>
          </w:tcPr>
          <w:p>
            <w:pPr>
              <w:spacing w:after="0"/>
              <w:rPr>
                <w:sz w:val="20"/>
                <w:szCs w:val="20"/>
                <w:color w:val="auto"/>
              </w:rPr>
            </w:pPr>
            <w:r>
              <w:rPr>
                <w:rFonts w:ascii="Arial" w:cs="Arial" w:eastAsia="Arial" w:hAnsi="Arial"/>
                <w:sz w:val="18"/>
                <w:szCs w:val="18"/>
                <w:color w:val="auto"/>
              </w:rPr>
              <w:t>Total annual expenses</w:t>
            </w:r>
          </w:p>
        </w:tc>
        <w:tc>
          <w:tcPr>
            <w:tcW w:w="680" w:type="dxa"/>
            <w:vAlign w:val="bottom"/>
            <w:gridSpan w:val="2"/>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17.98%</w:t>
            </w:r>
          </w:p>
        </w:tc>
        <w:tc>
          <w:tcPr>
            <w:tcW w:w="22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24.25%</w:t>
            </w:r>
          </w:p>
        </w:tc>
      </w:tr>
      <w:tr>
        <w:trPr>
          <w:trHeight w:val="250"/>
        </w:trPr>
        <w:tc>
          <w:tcPr>
            <w:tcW w:w="1940" w:type="dxa"/>
            <w:vAlign w:val="bottom"/>
            <w:tcBorders>
              <w:bottom w:val="single" w:sz="8" w:color="auto"/>
            </w:tcBorders>
          </w:tcPr>
          <w:p>
            <w:pPr>
              <w:spacing w:after="0"/>
              <w:rPr>
                <w:sz w:val="21"/>
                <w:szCs w:val="21"/>
                <w:color w:val="auto"/>
              </w:rPr>
            </w:pP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-865505</wp:posOffset>
            </wp:positionV>
            <wp:extent cx="43478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182" w:lineRule="exact"/>
        <w:rPr>
          <w:sz w:val="20"/>
          <w:szCs w:val="20"/>
          <w:color w:val="auto"/>
        </w:rPr>
      </w:pPr>
    </w:p>
    <w:p>
      <w:pPr>
        <w:ind w:left="420" w:right="759" w:hanging="352"/>
        <w:spacing w:after="0" w:line="25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expenses” represents an estimate of our annual operating expense. We do not have an investment advisor. We are internally managed by our executive officers under the supervision of our Board of Directors. As a result, we do not pay investment advisory fees. Instead, we pay the operating costs associated with employing investment management professionals.</w:t>
      </w:r>
    </w:p>
    <w:p>
      <w:pPr>
        <w:spacing w:after="0" w:line="159" w:lineRule="exact"/>
        <w:rPr>
          <w:rFonts w:ascii="Arial" w:cs="Arial" w:eastAsia="Arial" w:hAnsi="Arial"/>
          <w:sz w:val="18"/>
          <w:szCs w:val="18"/>
          <w:color w:val="auto"/>
        </w:rPr>
      </w:pPr>
    </w:p>
    <w:p>
      <w:pPr>
        <w:ind w:left="420" w:right="879" w:hanging="352"/>
        <w:spacing w:after="0" w:line="279"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“Interest Payments on Borrowed Funds” represents estimated interest and fee payments on borrowed funds by estimating our annualized interest, fees and other debt-related expenses incurred for the year ended December 31, 2018, including our bank notes payable, Notes due 2021 (redeemed in March 2018), Notes due 2022, Notes due 2023, related party notes payable and securitization notes payable.</w:t>
      </w:r>
    </w:p>
    <w:p>
      <w:pPr>
        <w:spacing w:after="0" w:line="130" w:lineRule="exact"/>
        <w:rPr>
          <w:rFonts w:ascii="Arial" w:cs="Arial" w:eastAsia="Arial" w:hAnsi="Arial"/>
          <w:sz w:val="17"/>
          <w:szCs w:val="17"/>
          <w:color w:val="auto"/>
        </w:rPr>
      </w:pPr>
    </w:p>
    <w:p>
      <w:pPr>
        <w:ind w:left="420" w:right="859" w:hanging="352"/>
        <w:spacing w:after="0" w:line="293"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Assumes that the we borrow the maximum amount available under our credit facility with Capital One (approximately $100,000,000) at a weighted average cost of funds of 5.3%, we issue a total of $147,500,000 of notes bearing interest at the same rate as our 6.25% Notes due 2023 and we issue an additional $85,000,000 of Notes payable — Securitization Trusts at 3.85%. The actual amount of leverage that we may employ at any particular time will depend on, among other things, our Board of Directors’ and the Company’s assessment of market and other factors at the time of any proposed borrowing.</w:t>
      </w:r>
    </w:p>
    <w:p>
      <w:pPr>
        <w:spacing w:after="0" w:line="124" w:lineRule="exact"/>
        <w:rPr>
          <w:rFonts w:ascii="Arial" w:cs="Arial" w:eastAsia="Arial" w:hAnsi="Arial"/>
          <w:sz w:val="16"/>
          <w:szCs w:val="16"/>
          <w:color w:val="auto"/>
        </w:rPr>
      </w:pPr>
    </w:p>
    <w:p>
      <w:pPr>
        <w:ind w:left="420" w:hanging="352"/>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expenses” consist of estimated transfer agent expenses related to our dividend reinvestment plan.</w:t>
      </w:r>
    </w:p>
    <w:p>
      <w:pPr>
        <w:spacing w:after="0" w:line="140" w:lineRule="exact"/>
        <w:rPr>
          <w:sz w:val="20"/>
          <w:szCs w:val="20"/>
          <w:color w:val="auto"/>
        </w:rPr>
      </w:pPr>
    </w:p>
    <w:p>
      <w:pPr>
        <w:ind w:left="60" w:right="879" w:firstLine="360"/>
        <w:spacing w:after="0" w:line="293" w:lineRule="auto"/>
        <w:rPr>
          <w:sz w:val="20"/>
          <w:szCs w:val="20"/>
          <w:color w:val="auto"/>
        </w:rPr>
      </w:pPr>
      <w:r>
        <w:rPr>
          <w:rFonts w:ascii="Arial" w:cs="Arial" w:eastAsia="Arial" w:hAnsi="Arial"/>
          <w:sz w:val="16"/>
          <w:szCs w:val="16"/>
          <w:i w:val="1"/>
          <w:iCs w:val="1"/>
          <w:color w:val="auto"/>
        </w:rPr>
        <w:t xml:space="preserve">Example. </w:t>
      </w:r>
      <w:r>
        <w:rPr>
          <w:rFonts w:ascii="Arial" w:cs="Arial" w:eastAsia="Arial" w:hAnsi="Arial"/>
          <w:sz w:val="16"/>
          <w:szCs w:val="16"/>
          <w:color w:val="auto"/>
        </w:rPr>
        <w:t>The following example illustrates the projected dollar amount of total cumulative expenses that</w:t>
      </w:r>
      <w:r>
        <w:rPr>
          <w:rFonts w:ascii="Arial" w:cs="Arial" w:eastAsia="Arial" w:hAnsi="Arial"/>
          <w:sz w:val="16"/>
          <w:szCs w:val="16"/>
          <w:i w:val="1"/>
          <w:iCs w:val="1"/>
          <w:color w:val="auto"/>
        </w:rPr>
        <w:t xml:space="preserve"> </w:t>
      </w:r>
      <w:r>
        <w:rPr>
          <w:rFonts w:ascii="Arial" w:cs="Arial" w:eastAsia="Arial" w:hAnsi="Arial"/>
          <w:sz w:val="16"/>
          <w:szCs w:val="16"/>
          <w:color w:val="auto"/>
        </w:rPr>
        <w:t>you would pay on a $1,000 hypothetical investment in our Common Shares, assuming (1) the amount of senior securities outstanding as of March 31, 2018 and total net annual expenses of 17.98% of net assets attributable to Common Shares as set forth in the table above, and (2) a 150% Asset Coverage Ratio requirement and total net annual expenses of 24.25% of net assets attributable to Common Shares as set forth in the table above, and in each case, a 5% annual return. Transaction expenses are not included in the following example:</w:t>
      </w:r>
    </w:p>
    <w:p>
      <w:pPr>
        <w:spacing w:after="0" w:line="75"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1 Year</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3 Years</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5 Years</w:t>
            </w: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10 Years</w:t>
            </w:r>
          </w:p>
        </w:tc>
      </w:tr>
      <w:tr>
        <w:trPr>
          <w:trHeight w:val="26"/>
        </w:trPr>
        <w:tc>
          <w:tcPr>
            <w:tcW w:w="48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Incurred – Assuming Amount of Senior</w:t>
            </w: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44"/>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Outstanding as of March 31, 2018</w:t>
            </w:r>
          </w:p>
        </w:tc>
        <w:tc>
          <w:tcPr>
            <w:tcW w:w="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$595</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$1,043</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$2,374</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Total Expenses Incurred – Assuming Maximum Amount of</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4820" w:type="dxa"/>
            <w:vAlign w:val="bottom"/>
          </w:tcPr>
          <w:p>
            <w:pPr>
              <w:ind w:left="180"/>
              <w:spacing w:after="0"/>
              <w:rPr>
                <w:sz w:val="20"/>
                <w:szCs w:val="20"/>
                <w:color w:val="auto"/>
              </w:rPr>
            </w:pPr>
            <w:r>
              <w:rPr>
                <w:rFonts w:ascii="Arial" w:cs="Arial" w:eastAsia="Arial" w:hAnsi="Arial"/>
                <w:sz w:val="18"/>
                <w:szCs w:val="18"/>
                <w:color w:val="auto"/>
              </w:rPr>
              <w:t>Senior Securities Permitted Under 150% Asset Coverage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Ratio Requirement</w:t>
            </w:r>
          </w:p>
        </w:tc>
        <w:tc>
          <w:tcPr>
            <w:tcW w:w="660" w:type="dxa"/>
            <w:vAlign w:val="bottom"/>
          </w:tcPr>
          <w:p>
            <w:pPr>
              <w:ind w:left="140"/>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$803</w:t>
            </w:r>
          </w:p>
        </w:tc>
        <w:tc>
          <w:tcPr>
            <w:tcW w:w="20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w w:val="98"/>
              </w:rPr>
              <w:t>$1,407</w:t>
            </w:r>
          </w:p>
        </w:tc>
        <w:tc>
          <w:tcPr>
            <w:tcW w:w="220" w:type="dxa"/>
            <w:vAlign w:val="bottom"/>
          </w:tcPr>
          <w:p>
            <w:pPr>
              <w:spacing w:after="0"/>
              <w:rPr>
                <w:sz w:val="20"/>
                <w:szCs w:val="20"/>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$3,202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-736600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-736600</wp:posOffset>
            </wp:positionV>
            <wp:extent cx="41681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68140" cy="8890"/>
                    </a:xfrm>
                    <a:prstGeom prst="rect">
                      <a:avLst/>
                    </a:prstGeom>
                    <a:noFill/>
                  </pic:spPr>
                </pic:pic>
              </a:graphicData>
            </a:graphic>
          </wp:anchor>
        </w:drawing>
      </w:r>
    </w:p>
    <w:p>
      <w:pPr>
        <w:spacing w:after="0" w:line="259" w:lineRule="exact"/>
        <w:rPr>
          <w:sz w:val="20"/>
          <w:szCs w:val="20"/>
          <w:color w:val="auto"/>
        </w:rPr>
      </w:pPr>
    </w:p>
    <w:p>
      <w:pPr>
        <w:ind w:left="60" w:right="859" w:firstLine="360"/>
        <w:spacing w:after="0" w:line="295" w:lineRule="auto"/>
        <w:rPr>
          <w:sz w:val="20"/>
          <w:szCs w:val="20"/>
          <w:color w:val="auto"/>
        </w:rPr>
      </w:pPr>
      <w:r>
        <w:rPr>
          <w:rFonts w:ascii="Arial" w:cs="Arial" w:eastAsia="Arial" w:hAnsi="Arial"/>
          <w:sz w:val="16"/>
          <w:szCs w:val="16"/>
          <w:b w:val="1"/>
          <w:bCs w:val="1"/>
          <w:color w:val="auto"/>
        </w:rPr>
        <w:t xml:space="preserve">These examples and the expenses in the table above should not be considered a representation of our future expenses. Actual expenses may be greater or less than those assumed. </w:t>
      </w:r>
      <w:r>
        <w:rPr>
          <w:rFonts w:ascii="Arial" w:cs="Arial" w:eastAsia="Arial" w:hAnsi="Arial"/>
          <w:sz w:val="16"/>
          <w:szCs w:val="16"/>
          <w:color w:val="auto"/>
        </w:rPr>
        <w:t>The foregoing table is to assist</w:t>
      </w:r>
      <w:r>
        <w:rPr>
          <w:rFonts w:ascii="Arial" w:cs="Arial" w:eastAsia="Arial" w:hAnsi="Arial"/>
          <w:sz w:val="16"/>
          <w:szCs w:val="16"/>
          <w:b w:val="1"/>
          <w:bCs w:val="1"/>
          <w:color w:val="auto"/>
        </w:rPr>
        <w:t xml:space="preserve"> </w:t>
      </w:r>
      <w:r>
        <w:rPr>
          <w:rFonts w:ascii="Arial" w:cs="Arial" w:eastAsia="Arial" w:hAnsi="Arial"/>
          <w:sz w:val="16"/>
          <w:szCs w:val="16"/>
          <w:color w:val="auto"/>
        </w:rPr>
        <w:t>you in understanding the various costs and expenses that an investor in our Common Shares will bear directly or indirectly. While the example assumes, as required by the SEC, a 5% annual return, our performance will vary and may result in a return greater or less than 5%. If we achieve sufficient returns on our investments, including through the realization of capital gains, our expenses, and returns to our investors, would be higher.</w:t>
      </w:r>
    </w:p>
    <w:p>
      <w:pPr>
        <w:spacing w:after="0" w:line="21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b w:val="1"/>
          <w:bCs w:val="1"/>
          <w:color w:val="auto"/>
        </w:rPr>
        <w:t>Risks Related to Approval of Proposal 2</w:t>
      </w:r>
    </w:p>
    <w:p>
      <w:pPr>
        <w:spacing w:after="0" w:line="108" w:lineRule="exact"/>
        <w:rPr>
          <w:sz w:val="20"/>
          <w:szCs w:val="20"/>
          <w:color w:val="auto"/>
        </w:rPr>
      </w:pPr>
    </w:p>
    <w:p>
      <w:pPr>
        <w:ind w:left="60" w:right="839" w:firstLine="360"/>
        <w:spacing w:after="0" w:line="277" w:lineRule="auto"/>
        <w:rPr>
          <w:sz w:val="20"/>
          <w:szCs w:val="20"/>
          <w:color w:val="auto"/>
        </w:rPr>
      </w:pPr>
      <w:r>
        <w:rPr>
          <w:rFonts w:ascii="Arial" w:cs="Arial" w:eastAsia="Arial" w:hAnsi="Arial"/>
          <w:sz w:val="18"/>
          <w:szCs w:val="18"/>
          <w:color w:val="auto"/>
        </w:rPr>
        <w:t>In addition to the risks identified in our annual report on Form 10-K for the year ended December 31, 2017, shareholders should consider the following risks related to the approval of this proposal:</w:t>
      </w:r>
    </w:p>
    <w:p>
      <w:pPr>
        <w:spacing w:after="0" w:line="157" w:lineRule="exact"/>
        <w:rPr>
          <w:sz w:val="20"/>
          <w:szCs w:val="20"/>
          <w:color w:val="auto"/>
        </w:rPr>
      </w:pPr>
    </w:p>
    <w:p>
      <w:pPr>
        <w:ind w:left="60" w:right="979"/>
        <w:spacing w:after="0" w:line="246" w:lineRule="auto"/>
        <w:rPr>
          <w:sz w:val="20"/>
          <w:szCs w:val="20"/>
          <w:color w:val="auto"/>
        </w:rPr>
      </w:pPr>
      <w:r>
        <w:rPr>
          <w:rFonts w:ascii="Arial" w:cs="Arial" w:eastAsia="Arial" w:hAnsi="Arial"/>
          <w:sz w:val="18"/>
          <w:szCs w:val="18"/>
          <w:b w:val="1"/>
          <w:bCs w:val="1"/>
          <w:i w:val="1"/>
          <w:iCs w:val="1"/>
          <w:color w:val="auto"/>
        </w:rPr>
        <w:t>Because we have received approval from our Board of Directors, we will be subject to 150% Asset Coverage beginning on April 27, 2019 if this proposal is not approved.</w:t>
      </w:r>
    </w:p>
    <w:p>
      <w:pPr>
        <w:spacing w:after="0" w:line="75" w:lineRule="exact"/>
        <w:rPr>
          <w:sz w:val="20"/>
          <w:szCs w:val="20"/>
          <w:color w:val="auto"/>
        </w:rPr>
      </w:pPr>
    </w:p>
    <w:p>
      <w:pPr>
        <w:ind w:left="60" w:right="819" w:firstLine="360"/>
        <w:spacing w:after="0" w:line="290" w:lineRule="auto"/>
        <w:rPr>
          <w:sz w:val="20"/>
          <w:szCs w:val="20"/>
          <w:color w:val="auto"/>
        </w:rPr>
      </w:pPr>
      <w:r>
        <w:rPr>
          <w:rFonts w:ascii="Arial" w:cs="Arial" w:eastAsia="Arial" w:hAnsi="Arial"/>
          <w:sz w:val="16"/>
          <w:szCs w:val="16"/>
          <w:color w:val="auto"/>
        </w:rPr>
        <w:t>As described above, the SBCA provides that in order for a BDC whose common stock is traded on a national securities exchange to be subject to 150% Asset Coverage, the BDC must either obtain: (i) approval of the required majority of its non-interested directors who have no financial interest in the proposal, which would become effective one year after the date of such approval, or (ii) obtain shareholder approval (of more than 50% of the votes cast for the proposal at a meeting in which quorum is present), which would become effective on the first day after the date of such shareholder approval. Because our Board of Directors has approved the adoption of 150% Asset Coverage, we will be able to incur additional indebtedness under the 1940 Act beginning on April 27, 2019 even if this proposal is not approved at the Meeting.</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Incurring additional indebtedness could increase the risk in investing in our company.</w:t>
      </w:r>
    </w:p>
    <w:p>
      <w:pPr>
        <w:spacing w:after="0" w:line="104" w:lineRule="exact"/>
        <w:rPr>
          <w:sz w:val="20"/>
          <w:szCs w:val="20"/>
          <w:color w:val="auto"/>
        </w:rPr>
      </w:pPr>
    </w:p>
    <w:p>
      <w:pPr>
        <w:ind w:left="60" w:right="899" w:firstLine="360"/>
        <w:spacing w:after="0" w:line="272" w:lineRule="auto"/>
        <w:rPr>
          <w:sz w:val="20"/>
          <w:szCs w:val="20"/>
          <w:color w:val="auto"/>
        </w:rPr>
      </w:pPr>
      <w:r>
        <w:rPr>
          <w:rFonts w:ascii="Arial" w:cs="Arial" w:eastAsia="Arial" w:hAnsi="Arial"/>
          <w:sz w:val="17"/>
          <w:szCs w:val="17"/>
          <w:color w:val="auto"/>
        </w:rPr>
        <w:t>The use of leverage magnifies the potential for gain or loss on amounts invested. The use of leverage is generally considered a speculative investment technique and increases the risks associated with investing in our securities. If this Proposal 2 is approved, we will be permitted to increase our use of leverage beyond levels that were previously permitted by the 1940 Act effective the day after the Meeting. Because we have received approval from our Board of Directors, if the proposal is not approved at the Meeting, we will be subject to the reduced Asset Coverage Ratio beginning on April 27, 2019. If we incur such additional leverage, you will experience increased risks of investing in our common stock.</w:t>
      </w:r>
    </w:p>
    <w:p>
      <w:pPr>
        <w:spacing w:after="0" w:line="70" w:lineRule="exact"/>
        <w:rPr>
          <w:sz w:val="20"/>
          <w:szCs w:val="20"/>
          <w:color w:val="auto"/>
        </w:rPr>
      </w:pPr>
    </w:p>
    <w:p>
      <w:pPr>
        <w:ind w:left="60" w:right="859" w:firstLine="360"/>
        <w:spacing w:after="0" w:line="342" w:lineRule="auto"/>
        <w:rPr>
          <w:sz w:val="20"/>
          <w:szCs w:val="20"/>
          <w:color w:val="auto"/>
        </w:rPr>
      </w:pPr>
      <w:r>
        <w:rPr>
          <w:rFonts w:ascii="Arial" w:cs="Arial" w:eastAsia="Arial" w:hAnsi="Arial"/>
          <w:sz w:val="16"/>
          <w:szCs w:val="16"/>
          <w:color w:val="auto"/>
        </w:rPr>
        <w:t>Lenders of these funds have fixed dollar claims on our assets that are superior to the claims of our common shareholders, and we would expect such lenders to seek recovery against our assets in the event of a default.</w:t>
      </w:r>
    </w:p>
    <w:p>
      <w:pPr>
        <w:spacing w:after="0" w:line="16" w:lineRule="exact"/>
        <w:rPr>
          <w:sz w:val="20"/>
          <w:szCs w:val="20"/>
          <w:color w:val="auto"/>
        </w:rPr>
      </w:pPr>
    </w:p>
    <w:p>
      <w:pPr>
        <w:ind w:left="60" w:right="879" w:firstLine="360"/>
        <w:spacing w:after="0" w:line="255" w:lineRule="auto"/>
        <w:rPr>
          <w:sz w:val="20"/>
          <w:szCs w:val="20"/>
          <w:color w:val="auto"/>
        </w:rPr>
      </w:pPr>
      <w:r>
        <w:rPr>
          <w:rFonts w:ascii="Arial" w:cs="Arial" w:eastAsia="Arial" w:hAnsi="Arial"/>
          <w:sz w:val="18"/>
          <w:szCs w:val="18"/>
          <w:color w:val="auto"/>
        </w:rPr>
        <w:t>The Company’s wholly owned subsidiary Newtek Small Business Finance, LLC (“NSBF”) maintains a $100 million warehouse borrowing facility with Capital One Bank, N.A. to fund unguaranteed and guaranteed portions of SBA 7(a) Loans (the “Capital One Credit Facility”). The facility provides for a 55% advance rate on the non-guaranteed portions of the SBA 7(a) loans NSBF originates, and a 90% advance rate on the guaranteed portions of SBA 7(a) loans NSBF originates. The facility will convert to a term loan on May 11, 2020 and matures on May 11, 2022.</w:t>
      </w:r>
    </w:p>
    <w:p>
      <w:pPr>
        <w:spacing w:after="0" w:line="85" w:lineRule="exact"/>
        <w:rPr>
          <w:sz w:val="20"/>
          <w:szCs w:val="20"/>
          <w:color w:val="auto"/>
        </w:rPr>
      </w:pPr>
    </w:p>
    <w:p>
      <w:pPr>
        <w:ind w:left="60" w:right="759" w:firstLine="360"/>
        <w:spacing w:after="0" w:line="276" w:lineRule="auto"/>
        <w:rPr>
          <w:sz w:val="20"/>
          <w:szCs w:val="20"/>
          <w:color w:val="auto"/>
        </w:rPr>
      </w:pPr>
      <w:r>
        <w:rPr>
          <w:rFonts w:ascii="Arial" w:cs="Arial" w:eastAsia="Arial" w:hAnsi="Arial"/>
          <w:sz w:val="17"/>
          <w:szCs w:val="17"/>
          <w:color w:val="auto"/>
        </w:rPr>
        <w:t>In February 2018, the Company issued $57,500,000 in aggregate principal amount of 6.25% Notes due 2023 (the “2023 Notes”). The 2023 Notes will mature on March 1, 2023 and may be redeemed in whole or in part at the Company’s option at any time or from time to time on or after March 1, 2020, at a redemption price of 100% of the outstanding principal amount thereof, plus accrued and unpaid interest. The 2023 Notes represent unsecured obligations. As of March 31, 2018, we had $57,500,000 of 2023 Notes outstanding.</w:t>
      </w:r>
    </w:p>
    <w:p>
      <w:pPr>
        <w:spacing w:after="0" w:line="64" w:lineRule="exact"/>
        <w:rPr>
          <w:sz w:val="20"/>
          <w:szCs w:val="20"/>
          <w:color w:val="auto"/>
        </w:rPr>
      </w:pPr>
    </w:p>
    <w:p>
      <w:pPr>
        <w:ind w:left="60" w:right="739" w:firstLine="360"/>
        <w:spacing w:after="0" w:line="297" w:lineRule="auto"/>
        <w:rPr>
          <w:sz w:val="20"/>
          <w:szCs w:val="20"/>
          <w:color w:val="auto"/>
        </w:rPr>
      </w:pPr>
      <w:r>
        <w:rPr>
          <w:rFonts w:ascii="Arial" w:cs="Arial" w:eastAsia="Arial" w:hAnsi="Arial"/>
          <w:sz w:val="16"/>
          <w:szCs w:val="16"/>
          <w:color w:val="auto"/>
        </w:rPr>
        <w:t>In September 2015, the Company issued $8,324,000 in aggregate principal amount of 7.5% Notes due 2022 (the “2022 Notes”). The 2022 Notes will mature on September 30, 2022 and may be redeemed in whole or in part at the Company’s option at any time or from time to time on or after September 23, 2018, at a redemption price of 100% of the outstanding principal amount thereof plus accrued and unpaid interest. The 2022 Notes represent unsecured obligations. As of March 31, 2018, we had $8,324,000 of 2022 Notes outstanding.</w:t>
      </w:r>
    </w:p>
    <w:p>
      <w:pPr>
        <w:spacing w:after="0" w:line="50" w:lineRule="exact"/>
        <w:rPr>
          <w:sz w:val="20"/>
          <w:szCs w:val="20"/>
          <w:color w:val="auto"/>
        </w:rPr>
      </w:pPr>
    </w:p>
    <w:p>
      <w:pPr>
        <w:ind w:left="60" w:right="759" w:firstLine="360"/>
        <w:spacing w:after="0" w:line="273" w:lineRule="auto"/>
        <w:rPr>
          <w:sz w:val="20"/>
          <w:szCs w:val="20"/>
          <w:color w:val="auto"/>
        </w:rPr>
      </w:pPr>
      <w:r>
        <w:rPr>
          <w:rFonts w:ascii="Arial" w:cs="Arial" w:eastAsia="Arial" w:hAnsi="Arial"/>
          <w:sz w:val="17"/>
          <w:szCs w:val="17"/>
          <w:color w:val="auto"/>
        </w:rPr>
        <w:t>Since 2010, NSBF has engaged in securitizations of the unguaranteed portions of its SBA 7(a) loans. In the securitization, it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w:t>
      </w:r>
    </w:p>
    <w:p>
      <w:pPr>
        <w:spacing w:after="0" w:line="246"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6"/>
          <w:szCs w:val="16"/>
          <w:color w:val="auto"/>
        </w:rPr>
        <w:t>receive benefits, it needed to consolidate the Trusts. NSBF therefore consolidated the entity using the carrying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amounts of the Trust’s assets and liabilities. NSBF reflects the assets in SBA Unguaranteed Non-Affiliate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Investments and reflects the associated financing in Notes Payable — Securitization Trusts. In November 2016,</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NSBF completed its seventh securitization which resulted in the transfer of $56,073,000 of unguaranteed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portions of SBA loans to the 2016-1 Trust. The 2016-1 Trust in turn issued securitization notes for the par amount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 $53,444,000, consisting of $43,632,000 Class A notes and $9,812,000 of Class B notes, against the assets in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private placement. The Class A and Class B notes received an “A” and “BBB+” rating by S&amp;P, respectively,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final maturity date of the notes is February 2042. In December 2017, NSBF completed its eighth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securitization which resulted in the transfer of $76,188,000 of unguaranteed portions of SBA loans to the 2017-1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Trust. The 2017-1 Trust in turn issued securitization notes for the par amount of $75,426,000, consisting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$58,111,000 Class A notes and $17,315,000 of Class B notes, against the assets in a private placement.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Class A and Class B notes received an “A” and “BBB-” rating by S&amp;P, respectively, and the final maturity date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notes is February 2043. The total amount outstanding on the Notes payable — Securitization trusts as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2018 was $156,066,000.</w:t>
      </w:r>
    </w:p>
    <w:p>
      <w:pPr>
        <w:spacing w:after="0" w:line="103" w:lineRule="exact"/>
        <w:rPr>
          <w:sz w:val="20"/>
          <w:szCs w:val="20"/>
          <w:color w:val="auto"/>
        </w:rPr>
      </w:pPr>
    </w:p>
    <w:p>
      <w:pPr>
        <w:ind w:left="60" w:right="979" w:firstLine="360"/>
        <w:spacing w:after="0" w:line="286" w:lineRule="auto"/>
        <w:rPr>
          <w:sz w:val="20"/>
          <w:szCs w:val="20"/>
          <w:color w:val="auto"/>
        </w:rPr>
      </w:pPr>
      <w:r>
        <w:rPr>
          <w:rFonts w:ascii="Arial" w:cs="Arial" w:eastAsia="Arial" w:hAnsi="Arial"/>
          <w:sz w:val="16"/>
          <w:szCs w:val="16"/>
          <w:color w:val="auto"/>
        </w:rPr>
        <w:t>The Company entered into a related party revolving line of credit (“Related Party RLOC”) with certain wholly owned controlled portfolio companies, which allows for maximum borrowings under the Related Party RLOC of $50,000,000. The outstanding balance bears interest at a rate equal to (a) LIBOR (with a floor of 0.50%) plus (b) 6% or at a rate equal to (y) the greater of the Prime Rate or 3.5% plus (z) 5.0%. At March 31,</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2018, the Related Party RLOC interest rate was 7.69%. The Related Party RLOC has a maturity date of June 21,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 Outstanding borrowings at March 31, 2018 were $3,675,000.</w:t>
      </w:r>
    </w:p>
    <w:p>
      <w:pPr>
        <w:spacing w:after="0" w:line="103" w:lineRule="exact"/>
        <w:rPr>
          <w:sz w:val="20"/>
          <w:szCs w:val="20"/>
          <w:color w:val="auto"/>
        </w:rPr>
      </w:pPr>
    </w:p>
    <w:p>
      <w:pPr>
        <w:ind w:left="60" w:right="779" w:firstLine="360"/>
        <w:spacing w:after="0" w:line="272" w:lineRule="auto"/>
        <w:rPr>
          <w:sz w:val="20"/>
          <w:szCs w:val="20"/>
          <w:color w:val="auto"/>
        </w:rPr>
      </w:pPr>
      <w:r>
        <w:rPr>
          <w:rFonts w:ascii="Arial" w:cs="Arial" w:eastAsia="Arial" w:hAnsi="Arial"/>
          <w:sz w:val="17"/>
          <w:szCs w:val="17"/>
          <w:color w:val="auto"/>
        </w:rPr>
        <w:t>If we are unable to meet the financial obligations under the Capital One Credit Facility, the 2023 Notes, the 2022 Notes, Notes payable — Securitization Trusts and Notes payable — related parties, such creditors would have claims that are superior to our shareholders in the event we liquidate or the SBA exercises its remedies under such debentures as the result of a default by us. In addition, under the terms of the Capital One Credit Facility and any borrowing facility or other debt instrument we may enter into, we are likely to be required to use the net proceeds of any investments that we sell to repay a portion of the amount borrowed under such facility or instrument before applying such net proceeds to any other uses.</w:t>
      </w:r>
    </w:p>
    <w:p>
      <w:pPr>
        <w:spacing w:after="0" w:line="70" w:lineRule="exact"/>
        <w:rPr>
          <w:sz w:val="20"/>
          <w:szCs w:val="20"/>
          <w:color w:val="auto"/>
        </w:rPr>
      </w:pPr>
    </w:p>
    <w:p>
      <w:pPr>
        <w:ind w:left="60" w:right="919" w:firstLine="360"/>
        <w:spacing w:after="0" w:line="291" w:lineRule="auto"/>
        <w:rPr>
          <w:sz w:val="20"/>
          <w:szCs w:val="20"/>
          <w:color w:val="auto"/>
        </w:rPr>
      </w:pPr>
      <w:r>
        <w:rPr>
          <w:rFonts w:ascii="Arial" w:cs="Arial" w:eastAsia="Arial" w:hAnsi="Arial"/>
          <w:sz w:val="16"/>
          <w:szCs w:val="16"/>
          <w:color w:val="auto"/>
        </w:rPr>
        <w:t>If the value of our assets decreases, leveraging would cause net asset value to decline more sharply than it otherwise would have had we not leveraged, thereby magnifying losses or eliminating our stake in a leveraged investment. Similarly, any decrease in our revenue or income will cause our net income to decline more sharply than it would have had we not borrowed. Such a decline would also negatively affect our ability to make distributions with respect to our common stock. Our ability to service any debt depends largely on our financial performance and is subject to prevailing economic conditions and competitive pressures. In addition, our common shareholders bear the burden of any increase in our expenses as a result of our use of leverage.</w:t>
      </w:r>
    </w:p>
    <w:p>
      <w:pPr>
        <w:spacing w:after="0" w:line="59" w:lineRule="exact"/>
        <w:rPr>
          <w:sz w:val="20"/>
          <w:szCs w:val="20"/>
          <w:color w:val="auto"/>
        </w:rPr>
      </w:pPr>
    </w:p>
    <w:p>
      <w:pPr>
        <w:ind w:left="60" w:right="899" w:firstLine="360"/>
        <w:spacing w:after="0" w:line="291" w:lineRule="auto"/>
        <w:rPr>
          <w:sz w:val="20"/>
          <w:szCs w:val="20"/>
          <w:color w:val="auto"/>
        </w:rPr>
      </w:pPr>
      <w:r>
        <w:rPr>
          <w:rFonts w:ascii="Arial" w:cs="Arial" w:eastAsia="Arial" w:hAnsi="Arial"/>
          <w:sz w:val="16"/>
          <w:szCs w:val="16"/>
          <w:color w:val="auto"/>
        </w:rPr>
        <w:t>If our Asset Coverage Ratio falls below the required limit, we generally will not be able to incur additional debt, declare any dividend (except a dividend payable in our common stock) or any other distribution on our common stock, or repurchase our common stock until we are able to comply with the Asset Coverage Ratio applicable to us. This could have a material adverse effect on our operations, and we may not be able to make distributions. If this proposal is approved, the actual amount of leverage that we employ will depend on our management’s and our Board of Directors’ assessment of market and other factors at the time of any proposed borrowing. We cannot assure you that we will be able to obtain credit at all or on terms acceptable to us.</w:t>
      </w:r>
    </w:p>
    <w:p>
      <w:pPr>
        <w:spacing w:after="0" w:line="154" w:lineRule="exact"/>
        <w:rPr>
          <w:sz w:val="20"/>
          <w:szCs w:val="20"/>
          <w:color w:val="auto"/>
        </w:rPr>
      </w:pPr>
    </w:p>
    <w:p>
      <w:pPr>
        <w:ind w:left="60" w:right="1079"/>
        <w:spacing w:after="0" w:line="307" w:lineRule="auto"/>
        <w:rPr>
          <w:sz w:val="20"/>
          <w:szCs w:val="20"/>
          <w:color w:val="auto"/>
        </w:rPr>
      </w:pPr>
      <w:r>
        <w:rPr>
          <w:rFonts w:ascii="Arial" w:cs="Arial" w:eastAsia="Arial" w:hAnsi="Arial"/>
          <w:sz w:val="16"/>
          <w:szCs w:val="16"/>
          <w:b w:val="1"/>
          <w:bCs w:val="1"/>
          <w:i w:val="1"/>
          <w:iCs w:val="1"/>
          <w:color w:val="auto"/>
        </w:rPr>
        <w:t>Incurring additional leverage may magnify our exposure to risks associated with changes in interest rates, including fluctuations in interest rates which could adversely affect our profitability.</w:t>
      </w:r>
    </w:p>
    <w:p>
      <w:pPr>
        <w:spacing w:after="0" w:line="29" w:lineRule="exact"/>
        <w:rPr>
          <w:sz w:val="20"/>
          <w:szCs w:val="20"/>
          <w:color w:val="auto"/>
        </w:rPr>
      </w:pPr>
    </w:p>
    <w:p>
      <w:pPr>
        <w:ind w:left="60" w:right="839" w:firstLine="360"/>
        <w:spacing w:after="0" w:line="272" w:lineRule="auto"/>
        <w:rPr>
          <w:sz w:val="20"/>
          <w:szCs w:val="20"/>
          <w:color w:val="auto"/>
        </w:rPr>
      </w:pPr>
      <w:r>
        <w:rPr>
          <w:rFonts w:ascii="Arial" w:cs="Arial" w:eastAsia="Arial" w:hAnsi="Arial"/>
          <w:sz w:val="17"/>
          <w:szCs w:val="17"/>
          <w:color w:val="auto"/>
        </w:rPr>
        <w:t>If we incur additional leverage, general interest rate fluctuations may have a more significant negative impact on our investments and investment opportunities than they would have absent such approval, and, accordingly, may have a material adverse effect on our investment objective and rate of return on investment capital. A portion of our income will depend upon the difference between the rate at which we borrow funds and the interest rate on the debt securities in which we invest. Because we will borrow money to make investments and may issue debt securities, preferred stock or other securities, our net investment income is dependent upon the difference between the rate at which we borrow funds or pay interest or</w:t>
      </w:r>
    </w:p>
    <w:p>
      <w:pPr>
        <w:spacing w:after="0" w:line="24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2" w:name="page23"/>
    <w:bookmarkEnd w:id="22"/>
    <w:p>
      <w:pPr>
        <w:ind w:left="60" w:right="759"/>
        <w:spacing w:after="0" w:line="270" w:lineRule="auto"/>
        <w:rPr>
          <w:sz w:val="20"/>
          <w:szCs w:val="20"/>
          <w:color w:val="auto"/>
        </w:rPr>
      </w:pPr>
      <w:r>
        <w:rPr>
          <w:rFonts w:ascii="Arial" w:cs="Arial" w:eastAsia="Arial" w:hAnsi="Arial"/>
          <w:sz w:val="17"/>
          <w:szCs w:val="17"/>
          <w:color w:val="auto"/>
        </w:rPr>
        <w:t>dividends on such debt securities, preferred stock or other securities and the rate at which we invest these funds. Typically, we anticipate that our interest earning investments will accrue and pay interest at both variable and fixed rates, and that our interest-bearing liabilities will accrue interest at variable and fixed rates. The benchmarks generally used to determine the floating rates earned on our interest earning investments are London Interbank Offered Rate, or LIBOR, with maturities that range between one and twelve months and alternate base rate, or ABR, (commonly based on the Prime Rate or the Federal Funds Rate), with no fixed maturity date. As a result, there can be no assurance that a significant change in market interest rates will not have a material adverse effect on our net investment income. We use a combination of equity and long-term and short-term borrowings to finance our investment activities.</w:t>
      </w:r>
    </w:p>
    <w:p>
      <w:pPr>
        <w:spacing w:after="0" w:line="74" w:lineRule="exact"/>
        <w:rPr>
          <w:sz w:val="20"/>
          <w:szCs w:val="20"/>
          <w:color w:val="auto"/>
        </w:rPr>
      </w:pPr>
    </w:p>
    <w:p>
      <w:pPr>
        <w:ind w:left="60" w:right="739" w:firstLine="360"/>
        <w:spacing w:after="0" w:line="269" w:lineRule="auto"/>
        <w:rPr>
          <w:sz w:val="20"/>
          <w:szCs w:val="20"/>
          <w:color w:val="auto"/>
        </w:rPr>
      </w:pPr>
      <w:r>
        <w:rPr>
          <w:rFonts w:ascii="Arial" w:cs="Arial" w:eastAsia="Arial" w:hAnsi="Arial"/>
          <w:sz w:val="17"/>
          <w:szCs w:val="17"/>
          <w:color w:val="auto"/>
        </w:rPr>
        <w:t>A significant increase in market interest rates could harm our ability to attract new portfolio companies and originate new loans and investments. We expect that a majority of our investments in debt will continue to be at floating rates with a floor. However, in the event that we make investments in debt at variable rates, a significant increase in market interest rates could also result in an increase in our non-performing assets and a decrease in the value of our portfolio because our floating-rate loan portfolio companies may be unable to meet higher payment obligations. In periods of rising interest rates, our cost of funds would increase, resulting in a decrease in our net investment income. Incurring additional leverage will magnify the impact of an increase to our cost of funds. In addition, a decrease in interest rates may reduce net income, because new investments may be made at lower rates despite the increased demand for our capital that the decrease in interest rates may produce. To the extent our additional borrowings are in fixed-rate instruments, we may be required to invest in higher-yield securities in order to cover our interest expense and maintain our current level of return to shareholders, which may increase the risk of an investment in our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Required Vote</w:t>
      </w:r>
    </w:p>
    <w:p>
      <w:pPr>
        <w:spacing w:after="0" w:line="108" w:lineRule="exact"/>
        <w:rPr>
          <w:sz w:val="20"/>
          <w:szCs w:val="20"/>
          <w:color w:val="auto"/>
        </w:rPr>
      </w:pPr>
    </w:p>
    <w:p>
      <w:pPr>
        <w:jc w:val="both"/>
        <w:ind w:left="60" w:right="779" w:firstLine="360"/>
        <w:spacing w:after="0" w:line="264" w:lineRule="auto"/>
        <w:rPr>
          <w:sz w:val="20"/>
          <w:szCs w:val="20"/>
          <w:color w:val="auto"/>
        </w:rPr>
      </w:pPr>
      <w:r>
        <w:rPr>
          <w:rFonts w:ascii="Arial" w:cs="Arial" w:eastAsia="Arial" w:hAnsi="Arial"/>
          <w:sz w:val="18"/>
          <w:szCs w:val="18"/>
          <w:color w:val="auto"/>
        </w:rPr>
        <w:t>As required by the SBCA, approval of this proposal requires the affirmative vote a majority of the votes cast for this proposal. Abstentions and broker non-votes will not be included in determining the number of votes cast and, as a result, will have no effect on this proposal.</w:t>
      </w:r>
    </w:p>
    <w:p>
      <w:pPr>
        <w:spacing w:after="0" w:line="69" w:lineRule="exact"/>
        <w:rPr>
          <w:sz w:val="20"/>
          <w:szCs w:val="20"/>
          <w:color w:val="auto"/>
        </w:rPr>
      </w:pPr>
    </w:p>
    <w:p>
      <w:pPr>
        <w:ind w:left="60" w:right="819" w:firstLine="360"/>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PROPOSAL TO AUTHORIZE THE COMPANY TO BE SUBJECT TO 150% ASSET COVERAGE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3" w:name="page24"/>
    <w:bookmarkEnd w:id="23"/>
    <w:p>
      <w:pPr>
        <w:jc w:val="center"/>
        <w:ind w:left="1540" w:right="120"/>
        <w:spacing w:after="0" w:line="251" w:lineRule="auto"/>
        <w:rPr>
          <w:sz w:val="20"/>
          <w:szCs w:val="20"/>
          <w:color w:val="auto"/>
        </w:rPr>
      </w:pPr>
      <w:r>
        <w:rPr>
          <w:rFonts w:ascii="Arial" w:cs="Arial" w:eastAsia="Arial" w:hAnsi="Arial"/>
          <w:sz w:val="18"/>
          <w:szCs w:val="18"/>
          <w:b w:val="1"/>
          <w:bCs w:val="1"/>
          <w:color w:val="auto"/>
        </w:rPr>
        <w:t>PROPOSAL 3: APPROVE AN AMENDMENT TO THE COMPANY’S CHARTER TO ALLOW THE COMPANY’S SHAREHOLDERS TO AMEND THE BYLAWS</w:t>
      </w:r>
    </w:p>
    <w:p>
      <w:pPr>
        <w:spacing w:after="0" w:line="71" w:lineRule="exact"/>
        <w:rPr>
          <w:sz w:val="20"/>
          <w:szCs w:val="20"/>
          <w:color w:val="auto"/>
        </w:rPr>
      </w:pPr>
    </w:p>
    <w:p>
      <w:pPr>
        <w:ind w:left="60" w:right="759" w:firstLine="360"/>
        <w:spacing w:after="0" w:line="255" w:lineRule="auto"/>
        <w:rPr>
          <w:sz w:val="20"/>
          <w:szCs w:val="20"/>
          <w:color w:val="auto"/>
        </w:rPr>
      </w:pPr>
      <w:r>
        <w:rPr>
          <w:rFonts w:ascii="Arial" w:cs="Arial" w:eastAsia="Arial" w:hAnsi="Arial"/>
          <w:sz w:val="18"/>
          <w:szCs w:val="18"/>
          <w:color w:val="auto"/>
        </w:rPr>
        <w:t>Our Board of Directors has adopted a resolution whereby it has declared advisable, and recommends for your approval, an amendment to Article VI, Section 5.6 of the Company’s Charter, to provide that the Company’s Bylaws may be amended by the vote of a majority of our entire Board of Directors or by our shareholders by the affirmative vote of a majority of all the votes entitled to be cast on the matter. Currently, Article VI, Section 5.6 of the Company’s Charter provides that our Board of Directors has the exclusive power to make, alter, amend or repeal the Bylaws.</w:t>
      </w:r>
    </w:p>
    <w:p>
      <w:pPr>
        <w:spacing w:after="0" w:line="85" w:lineRule="exact"/>
        <w:rPr>
          <w:sz w:val="20"/>
          <w:szCs w:val="20"/>
          <w:color w:val="auto"/>
        </w:rPr>
      </w:pPr>
    </w:p>
    <w:p>
      <w:pPr>
        <w:ind w:left="60" w:right="819" w:firstLine="360"/>
        <w:spacing w:after="0" w:line="285" w:lineRule="auto"/>
        <w:rPr>
          <w:sz w:val="20"/>
          <w:szCs w:val="20"/>
          <w:color w:val="auto"/>
        </w:rPr>
      </w:pPr>
      <w:r>
        <w:rPr>
          <w:rFonts w:ascii="Arial" w:cs="Arial" w:eastAsia="Arial" w:hAnsi="Arial"/>
          <w:sz w:val="16"/>
          <w:szCs w:val="16"/>
          <w:color w:val="auto"/>
        </w:rPr>
        <w:t>Our Board is committed to strong and effective corporate governance and monitors regularly our corporate governance policies and practices. After careful consideration, our Board believes that allowing our shareholders to amend our Bylaws by the affirmative vote of a majority of all the votes entitled to be cast on the matter is in the Company’s best interests and in the best interests of our shareholders. A copy of the proposed amendment to our Charter is attached as Attachment A to this Proxy Statement and incorporated by reference into this Proposal</w:t>
      </w:r>
    </w:p>
    <w:p>
      <w:pPr>
        <w:spacing w:after="0" w:line="2" w:lineRule="exact"/>
        <w:rPr>
          <w:sz w:val="20"/>
          <w:szCs w:val="20"/>
          <w:color w:val="auto"/>
        </w:rPr>
      </w:pPr>
    </w:p>
    <w:p>
      <w:pPr>
        <w:ind w:left="60" w:right="799" w:firstLine="8"/>
        <w:spacing w:after="0" w:line="302" w:lineRule="auto"/>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this Charter amendment is approved by the Company’s shareholders, the Company’s Board of Directors will similarly amend the Company’s Bylaws. If this Charter amendment is not approved by shareholders, then the Board of Directors will not amend the Company’s Charter or Bylaws to provide this right to shareholders.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Required Vote</w:t>
      </w:r>
    </w:p>
    <w:p>
      <w:pPr>
        <w:spacing w:after="0" w:line="108" w:lineRule="exact"/>
        <w:rPr>
          <w:sz w:val="20"/>
          <w:szCs w:val="20"/>
          <w:color w:val="auto"/>
        </w:rPr>
      </w:pPr>
    </w:p>
    <w:p>
      <w:pPr>
        <w:ind w:left="60" w:right="939" w:firstLine="360"/>
        <w:spacing w:after="0" w:line="259" w:lineRule="auto"/>
        <w:rPr>
          <w:sz w:val="20"/>
          <w:szCs w:val="20"/>
          <w:color w:val="auto"/>
        </w:rPr>
      </w:pPr>
      <w:r>
        <w:rPr>
          <w:rFonts w:ascii="Arial" w:cs="Arial" w:eastAsia="Arial" w:hAnsi="Arial"/>
          <w:sz w:val="18"/>
          <w:szCs w:val="18"/>
          <w:color w:val="auto"/>
        </w:rPr>
        <w:t>The affirmative vote of a majority of all the votes entitled to be cast on the matter is required to amend the Company’s Charter to allow shareholders to amend the Bylaws by the affirmative vote of a majority of all the votes entitled to be cast on the matter. For purposes of the vote on this Proposal 3, abstentions and broker non-votes will have the effect of a vote against this proposal.</w:t>
      </w:r>
    </w:p>
    <w:p>
      <w:pPr>
        <w:spacing w:after="0" w:line="75" w:lineRule="exact"/>
        <w:rPr>
          <w:sz w:val="20"/>
          <w:szCs w:val="20"/>
          <w:color w:val="auto"/>
        </w:rPr>
      </w:pPr>
    </w:p>
    <w:p>
      <w:pPr>
        <w:ind w:left="60" w:right="919" w:firstLine="360"/>
        <w:spacing w:after="0" w:line="261" w:lineRule="auto"/>
        <w:rPr>
          <w:sz w:val="20"/>
          <w:szCs w:val="20"/>
          <w:color w:val="auto"/>
        </w:rPr>
      </w:pPr>
      <w:r>
        <w:rPr>
          <w:rFonts w:ascii="Arial" w:cs="Arial" w:eastAsia="Arial" w:hAnsi="Arial"/>
          <w:sz w:val="18"/>
          <w:szCs w:val="18"/>
          <w:b w:val="1"/>
          <w:bCs w:val="1"/>
          <w:color w:val="auto"/>
        </w:rPr>
        <w:t>THE BOARD OF DIRECTORS BELIEVES THAT A VOTE “FOR” PROPOSAL 3 TO AMEND THE COMPANY’S CHARTER TO ALLOW SHAREHOLDERS TO AMEND THE COMPANY’S BYLAWS IS IN THE BEST INTERESTS OF OUR SHAREHOLDERS AND RECOMMENDS A VOTE “FOR” THE APPROVAL OF THIS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24" w:name="page25"/>
    <w:bookmarkEnd w:id="24"/>
    <w:p>
      <w:pPr>
        <w:ind w:left="2040"/>
        <w:spacing w:after="0"/>
        <w:rPr>
          <w:sz w:val="20"/>
          <w:szCs w:val="20"/>
          <w:color w:val="auto"/>
        </w:rPr>
      </w:pPr>
      <w:r>
        <w:rPr>
          <w:rFonts w:ascii="Arial" w:cs="Arial" w:eastAsia="Arial" w:hAnsi="Arial"/>
          <w:sz w:val="18"/>
          <w:szCs w:val="18"/>
          <w:b w:val="1"/>
          <w:bCs w:val="1"/>
          <w:color w:val="auto"/>
        </w:rPr>
        <w:t>PROPOSAL 4: ADJOURNMENT OF THE MEETING</w:t>
      </w:r>
    </w:p>
    <w:p>
      <w:pPr>
        <w:spacing w:after="0" w:line="108" w:lineRule="exact"/>
        <w:rPr>
          <w:sz w:val="20"/>
          <w:szCs w:val="20"/>
          <w:color w:val="auto"/>
        </w:rPr>
      </w:pPr>
    </w:p>
    <w:p>
      <w:pPr>
        <w:ind w:left="60" w:right="899" w:firstLine="360"/>
        <w:spacing w:after="0" w:line="264" w:lineRule="auto"/>
        <w:rPr>
          <w:sz w:val="20"/>
          <w:szCs w:val="20"/>
          <w:color w:val="auto"/>
        </w:rPr>
      </w:pPr>
      <w:r>
        <w:rPr>
          <w:rFonts w:ascii="Arial" w:cs="Arial" w:eastAsia="Arial" w:hAnsi="Arial"/>
          <w:sz w:val="18"/>
          <w:szCs w:val="18"/>
          <w:color w:val="auto"/>
        </w:rPr>
        <w:t>The Company’s shareholders may be asked to consider and act upon one or more adjournments of the Meeting, if necessary or appropriate, to solicit additional proxies in favor of any or all of the other proposals set forth in this proxy statement.</w:t>
      </w:r>
    </w:p>
    <w:p>
      <w:pPr>
        <w:spacing w:after="0" w:line="73" w:lineRule="exact"/>
        <w:rPr>
          <w:sz w:val="20"/>
          <w:szCs w:val="20"/>
          <w:color w:val="auto"/>
        </w:rPr>
      </w:pPr>
    </w:p>
    <w:p>
      <w:pPr>
        <w:ind w:left="60" w:right="799" w:firstLine="360"/>
        <w:spacing w:after="0" w:line="255" w:lineRule="auto"/>
        <w:rPr>
          <w:sz w:val="20"/>
          <w:szCs w:val="20"/>
          <w:color w:val="auto"/>
        </w:rPr>
      </w:pPr>
      <w:r>
        <w:rPr>
          <w:rFonts w:ascii="Arial" w:cs="Arial" w:eastAsia="Arial" w:hAnsi="Arial"/>
          <w:sz w:val="18"/>
          <w:szCs w:val="18"/>
          <w:color w:val="auto"/>
        </w:rPr>
        <w:t>If a quorum is not present at the Meeting, the Company’s shareholders may be asked to vote on the proposal to adjourn the Meeting to solicit additional proxies. If a quorum is present at the Meeting, but there are not sufficient votes at the time of the Meeting to approve one or more of the proposals, the Company’s shareholders may also be asked to vote on the proposal to approve the adjournment of the Meeting to permit further solicitation of proxies in favor of the other proposals. However, a shareholder vote may be taken on one of the proposals in this proxy statement prior to any such adjournment if there are sufficient votes for approval on such proposal.</w:t>
      </w:r>
    </w:p>
    <w:p>
      <w:pPr>
        <w:spacing w:after="0" w:line="81" w:lineRule="exact"/>
        <w:rPr>
          <w:sz w:val="20"/>
          <w:szCs w:val="20"/>
          <w:color w:val="auto"/>
        </w:rPr>
      </w:pPr>
    </w:p>
    <w:p>
      <w:pPr>
        <w:ind w:left="60" w:right="799" w:firstLine="360"/>
        <w:spacing w:after="0" w:line="255" w:lineRule="auto"/>
        <w:rPr>
          <w:sz w:val="20"/>
          <w:szCs w:val="20"/>
          <w:color w:val="auto"/>
        </w:rPr>
      </w:pPr>
      <w:r>
        <w:rPr>
          <w:rFonts w:ascii="Arial" w:cs="Arial" w:eastAsia="Arial" w:hAnsi="Arial"/>
          <w:sz w:val="18"/>
          <w:szCs w:val="18"/>
          <w:color w:val="auto"/>
        </w:rPr>
        <w:t>If the adjournment proposal is submitted for a vote at the Meeting, and if the Company’s shareholders vote to approve the adjournment proposal, the meeting will be adjourned to enable the Board of Directors to solicit additional proxies in favor of one or more proposals. If the adjournment proposal is approved, and the Meeting is adjourned, the Board of Directors will use the additional time to solicit additional proxies in favor of any of the proposals to be presented at the Meeting, including the solicitation of proxies from shareholders that have previously voted against the relevant proposal.</w:t>
      </w:r>
    </w:p>
    <w:p>
      <w:pPr>
        <w:spacing w:after="0" w:line="85" w:lineRule="exact"/>
        <w:rPr>
          <w:sz w:val="20"/>
          <w:szCs w:val="20"/>
          <w:color w:val="auto"/>
        </w:rPr>
      </w:pPr>
    </w:p>
    <w:p>
      <w:pPr>
        <w:ind w:left="60" w:right="739" w:firstLine="360"/>
        <w:spacing w:after="0" w:line="253" w:lineRule="auto"/>
        <w:rPr>
          <w:sz w:val="20"/>
          <w:szCs w:val="20"/>
          <w:color w:val="auto"/>
        </w:rPr>
      </w:pPr>
      <w:r>
        <w:rPr>
          <w:rFonts w:ascii="Arial" w:cs="Arial" w:eastAsia="Arial" w:hAnsi="Arial"/>
          <w:sz w:val="18"/>
          <w:szCs w:val="18"/>
          <w:color w:val="auto"/>
        </w:rPr>
        <w:t>The Board of Directors believes that, if the number of Common Shares voting in favor of any of the proposals presented at the Meeting is insufficient to approve a proposal, it is in the best interests of the Company’s shareholders to enable the Board of Directors, for a limited period of time, to continue to seek to obtain a sufficient number of additional votes in favor of the proposal. Any signed proxies received by the Company in which no voting instructions are provided on such matter will be voted in favor of an adjournment in these circumstances. The time and place of the adjourned meeting will be announced at the time the adjournment is taken. Any adjournment of the Meeting for the purpose of soliciting additional proxies will allow the Company’s shareholders who have already sent in their proxies to revoke them at any time prior to their use at the Meeting was adjourned or postponed.</w:t>
      </w:r>
    </w:p>
    <w:p>
      <w:pPr>
        <w:spacing w:after="0" w:line="85" w:lineRule="exact"/>
        <w:rPr>
          <w:sz w:val="20"/>
          <w:szCs w:val="20"/>
          <w:color w:val="auto"/>
        </w:rPr>
      </w:pPr>
    </w:p>
    <w:p>
      <w:pPr>
        <w:ind w:left="60" w:right="779" w:firstLine="360"/>
        <w:spacing w:after="0" w:line="282" w:lineRule="auto"/>
        <w:rPr>
          <w:sz w:val="20"/>
          <w:szCs w:val="20"/>
          <w:color w:val="auto"/>
        </w:rPr>
      </w:pPr>
      <w:r>
        <w:rPr>
          <w:rFonts w:ascii="Arial" w:cs="Arial" w:eastAsia="Arial" w:hAnsi="Arial"/>
          <w:sz w:val="18"/>
          <w:szCs w:val="18"/>
          <w:b w:val="1"/>
          <w:bCs w:val="1"/>
          <w:color w:val="auto"/>
        </w:rPr>
        <w:t>THE BOARD OF DIRECTORS RECOMMENDS A VOTE “FOR” THE ADJOURNMENT OF THE MEETING, IF NECESSARY OR APPROPRIATE, TO SOLICIT ADDITIONAL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25" w:name="page26"/>
    <w:bookmarkEnd w:id="25"/>
    <w:p>
      <w:pPr>
        <w:jc w:val="center"/>
        <w:ind w:right="659"/>
        <w:spacing w:after="0"/>
        <w:rPr>
          <w:sz w:val="20"/>
          <w:szCs w:val="20"/>
          <w:color w:val="auto"/>
        </w:rPr>
      </w:pPr>
      <w:r>
        <w:rPr>
          <w:rFonts w:ascii="Arial" w:cs="Arial" w:eastAsia="Arial" w:hAnsi="Arial"/>
          <w:sz w:val="18"/>
          <w:szCs w:val="18"/>
          <w:b w:val="1"/>
          <w:bCs w:val="1"/>
          <w:color w:val="auto"/>
        </w:rPr>
        <w:t>OTHER MATTERS</w:t>
      </w:r>
    </w:p>
    <w:p>
      <w:pPr>
        <w:spacing w:after="0" w:line="108" w:lineRule="exact"/>
        <w:rPr>
          <w:sz w:val="20"/>
          <w:szCs w:val="20"/>
          <w:color w:val="auto"/>
        </w:rPr>
      </w:pPr>
    </w:p>
    <w:p>
      <w:pPr>
        <w:ind w:left="60" w:right="819" w:firstLine="360"/>
        <w:spacing w:after="0" w:line="290" w:lineRule="auto"/>
        <w:rPr>
          <w:sz w:val="20"/>
          <w:szCs w:val="20"/>
          <w:color w:val="auto"/>
        </w:rPr>
      </w:pPr>
      <w:r>
        <w:rPr>
          <w:rFonts w:ascii="Arial" w:cs="Arial" w:eastAsia="Arial" w:hAnsi="Arial"/>
          <w:sz w:val="16"/>
          <w:szCs w:val="16"/>
          <w:color w:val="auto"/>
        </w:rPr>
        <w:t>The Board of Directors is not aware of any business to come before the Meeting other than the matter described above in this Proxy Statement and matters incident to the conduct of the Meeting. Properly executed proxies in the accompanying form that have not been revoked confer discretionary authority on the persons named therein to vote at the direction of a majority of the Board of Directors on any other matters presented at the Meeting. Under SEC rules, if a shareholder does not notify the Company within a reasonable time before the date of this Proxy Statement of such shareholder’s intent to present a proposal at the Meeting, the persons named in the accompanying proxy may exercise such discretionary voting authority if the proposal is raised at the Meeting, without any discussion of the matter in this Proxy Statement.</w:t>
      </w:r>
    </w:p>
    <w:p>
      <w:pPr>
        <w:spacing w:after="0" w:line="14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FOR THE SPECIAL MEETING TO BE HELD ON JULY 26, 2018</w:t>
      </w:r>
    </w:p>
    <w:p>
      <w:pPr>
        <w:spacing w:after="0" w:line="88" w:lineRule="exact"/>
        <w:rPr>
          <w:sz w:val="20"/>
          <w:szCs w:val="20"/>
          <w:color w:val="auto"/>
        </w:rPr>
      </w:pPr>
    </w:p>
    <w:p>
      <w:pPr>
        <w:ind w:left="60" w:right="839" w:firstLine="360"/>
        <w:spacing w:after="0" w:line="277" w:lineRule="auto"/>
        <w:rPr>
          <w:sz w:val="20"/>
          <w:szCs w:val="20"/>
          <w:color w:val="auto"/>
        </w:rPr>
      </w:pPr>
      <w:r>
        <w:rPr>
          <w:rFonts w:ascii="Arial" w:cs="Arial" w:eastAsia="Arial" w:hAnsi="Arial"/>
          <w:sz w:val="18"/>
          <w:szCs w:val="18"/>
          <w:color w:val="auto"/>
        </w:rPr>
        <w:t>The Proxy Statement, the Proxy Card and the accompanying Notice of Special Meeting of Shareholders are available at the website: www.astproxyportal.com/ast/19720/.</w:t>
      </w:r>
    </w:p>
    <w:p>
      <w:pPr>
        <w:spacing w:after="0" w:line="153"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ADDITIONAL INFORMATION</w:t>
      </w:r>
    </w:p>
    <w:p>
      <w:pPr>
        <w:spacing w:after="0" w:line="108" w:lineRule="exact"/>
        <w:rPr>
          <w:sz w:val="20"/>
          <w:szCs w:val="20"/>
          <w:color w:val="auto"/>
        </w:rPr>
      </w:pPr>
    </w:p>
    <w:p>
      <w:pPr>
        <w:ind w:left="60" w:right="759" w:firstLine="360"/>
        <w:spacing w:after="0" w:line="271" w:lineRule="auto"/>
        <w:rPr>
          <w:sz w:val="20"/>
          <w:szCs w:val="20"/>
          <w:color w:val="auto"/>
        </w:rPr>
      </w:pPr>
      <w:r>
        <w:rPr>
          <w:rFonts w:ascii="Arial" w:cs="Arial" w:eastAsia="Arial" w:hAnsi="Arial"/>
          <w:sz w:val="17"/>
          <w:szCs w:val="17"/>
          <w:color w:val="auto"/>
        </w:rPr>
        <w:t>We file quarterly and current reports, Proxy Statements and other information with the SEC at 100 F Street, N.E., Washington, D.C. 20549. You may read and copy any reports, statements or other information we file at the SEC’s Office of Investor Education and Advocacy in Washington, D.C. 20549. Please call the SEC at (800) SEC-0330 for further information on the Office of Investor Education and Advocacy. Our SEC filings are also available to the public from commercial document retrieval services and on the web site maintained by the SEC at www.sec.gov. Such information will also be furnished upon written request to Newtek Business Services Corp., 1981 Marcus Avenue, Suite 130, Lake Success, New York 11042, Attention: Secretary, and can also be accessed through our website at www.newtekone.com.</w:t>
      </w:r>
    </w:p>
    <w:p>
      <w:pPr>
        <w:spacing w:after="0" w:line="71" w:lineRule="exact"/>
        <w:rPr>
          <w:sz w:val="20"/>
          <w:szCs w:val="20"/>
          <w:color w:val="auto"/>
        </w:rPr>
      </w:pPr>
    </w:p>
    <w:p>
      <w:pPr>
        <w:ind w:left="60" w:right="739" w:firstLine="360"/>
        <w:spacing w:after="0" w:line="253" w:lineRule="auto"/>
        <w:rPr>
          <w:sz w:val="20"/>
          <w:szCs w:val="20"/>
          <w:color w:val="auto"/>
        </w:rPr>
      </w:pPr>
      <w:r>
        <w:rPr>
          <w:rFonts w:ascii="Arial" w:cs="Arial" w:eastAsia="Arial" w:hAnsi="Arial"/>
          <w:sz w:val="18"/>
          <w:szCs w:val="18"/>
          <w:color w:val="auto"/>
        </w:rPr>
        <w:t>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17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CONFIDENTIALITY OF PROXIES</w:t>
      </w:r>
    </w:p>
    <w:p>
      <w:pPr>
        <w:spacing w:after="0" w:line="108" w:lineRule="exact"/>
        <w:rPr>
          <w:sz w:val="20"/>
          <w:szCs w:val="20"/>
          <w:color w:val="auto"/>
        </w:rPr>
      </w:pPr>
    </w:p>
    <w:p>
      <w:pPr>
        <w:jc w:val="both"/>
        <w:ind w:left="60" w:right="879" w:firstLine="360"/>
        <w:spacing w:after="0" w:line="312" w:lineRule="auto"/>
        <w:rPr>
          <w:sz w:val="20"/>
          <w:szCs w:val="20"/>
          <w:color w:val="auto"/>
        </w:rPr>
      </w:pPr>
      <w:r>
        <w:rPr>
          <w:rFonts w:ascii="Arial" w:cs="Arial" w:eastAsia="Arial" w:hAnsi="Arial"/>
          <w:sz w:val="16"/>
          <w:szCs w:val="16"/>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2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COSTS OF PROXY SOLICITATIONS; SHAREHOLDER COMMUNICATIONS</w:t>
      </w:r>
    </w:p>
    <w:p>
      <w:pPr>
        <w:spacing w:after="0" w:line="108" w:lineRule="exact"/>
        <w:rPr>
          <w:sz w:val="20"/>
          <w:szCs w:val="20"/>
          <w:color w:val="auto"/>
        </w:rPr>
      </w:pPr>
    </w:p>
    <w:p>
      <w:pPr>
        <w:ind w:left="60" w:right="859" w:firstLine="360"/>
        <w:spacing w:after="0" w:line="270" w:lineRule="auto"/>
        <w:rPr>
          <w:sz w:val="20"/>
          <w:szCs w:val="20"/>
          <w:color w:val="auto"/>
        </w:rPr>
      </w:pPr>
      <w:r>
        <w:rPr>
          <w:rFonts w:ascii="Arial" w:cs="Arial" w:eastAsia="Arial" w:hAnsi="Arial"/>
          <w:sz w:val="17"/>
          <w:szCs w:val="17"/>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 The Company has engaged the services of Georgeson LLC to assist in the solicitation of proxies. The Company has estimated that it will pay approximately $45,000, plus reimbursement of certain expenses and fees for additional services requested. Please note that Georgeson LLC may solicit shareholder proxies by telephone on behalf of the Company. They will not attempt to influence how you vote your shares, but only ask that you take the time to authorize your proxy. You may</w:t>
      </w:r>
    </w:p>
    <w:p>
      <w:pPr>
        <w:spacing w:after="0" w:line="24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26" w:name="page27"/>
    <w:bookmarkEnd w:id="26"/>
    <w:p>
      <w:pPr>
        <w:ind w:left="60" w:right="819"/>
        <w:spacing w:after="0" w:line="272" w:lineRule="auto"/>
        <w:rPr>
          <w:sz w:val="20"/>
          <w:szCs w:val="20"/>
          <w:color w:val="auto"/>
        </w:rPr>
      </w:pPr>
      <w:r>
        <w:rPr>
          <w:rFonts w:ascii="Arial" w:cs="Arial" w:eastAsia="Arial" w:hAnsi="Arial"/>
          <w:sz w:val="17"/>
          <w:szCs w:val="17"/>
          <w:color w:val="auto"/>
        </w:rPr>
        <w:t>also be asked if you would like to vote over the telephone and to have your vote transmitted to the proxy tabulation firm. Shareholders may send written communications to the Board of 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160"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ANNUAL REPORT</w:t>
      </w:r>
    </w:p>
    <w:p>
      <w:pPr>
        <w:spacing w:after="0" w:line="108" w:lineRule="exact"/>
        <w:rPr>
          <w:sz w:val="20"/>
          <w:szCs w:val="20"/>
          <w:color w:val="auto"/>
        </w:rPr>
      </w:pPr>
    </w:p>
    <w:p>
      <w:pPr>
        <w:ind w:left="60" w:right="959" w:firstLine="360"/>
        <w:spacing w:after="0" w:line="259" w:lineRule="auto"/>
        <w:rPr>
          <w:sz w:val="20"/>
          <w:szCs w:val="20"/>
          <w:color w:val="auto"/>
        </w:rPr>
      </w:pPr>
      <w:r>
        <w:rPr>
          <w:rFonts w:ascii="Arial" w:cs="Arial" w:eastAsia="Arial" w:hAnsi="Arial"/>
          <w:sz w:val="18"/>
          <w:szCs w:val="18"/>
          <w:color w:val="auto"/>
        </w:rPr>
        <w:t>We will furnish, without charge, a copy of our Annual Report on Form 10-K for the fiscal year ended December 31, 2017 to any shareholder upon request. Requests should be directed to Newtek Business Services Corp., 1981 Marcus Avenue, Suite 130, Lake Success, New York 11042, Attention: Chief Legal Officer or call (212) 356-9500, or by emailing mschwartz@newtekone.com.</w:t>
      </w:r>
    </w:p>
    <w:p>
      <w:pPr>
        <w:spacing w:after="0" w:line="169"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SHAREHOLDER PROPOSALS</w:t>
      </w:r>
    </w:p>
    <w:p>
      <w:pPr>
        <w:spacing w:after="0" w:line="108" w:lineRule="exact"/>
        <w:rPr>
          <w:sz w:val="20"/>
          <w:szCs w:val="20"/>
          <w:color w:val="auto"/>
        </w:rPr>
      </w:pPr>
    </w:p>
    <w:p>
      <w:pPr>
        <w:ind w:left="60" w:right="739" w:firstLine="360"/>
        <w:spacing w:after="0" w:line="271" w:lineRule="auto"/>
        <w:rPr>
          <w:sz w:val="20"/>
          <w:szCs w:val="20"/>
          <w:color w:val="auto"/>
        </w:rPr>
      </w:pPr>
      <w:r>
        <w:rPr>
          <w:rFonts w:ascii="Arial" w:cs="Arial" w:eastAsia="Arial" w:hAnsi="Arial"/>
          <w:sz w:val="17"/>
          <w:szCs w:val="17"/>
          <w:color w:val="auto"/>
        </w:rPr>
        <w:t>In order to be eligible for inclusion in the Proxy Statement and proxy relating to the 2019 Annual Meeting of Shareholders of the Company, which will be held on or about June 14, 2019, any shareholder proposal to take action at such meeting must be received by the Secretary of the Company at 1981 Marcus Avenue, Suite 130, Lake Success, New York 11042, no later than January 15, 2019. Nothing in this paragraph shall be deemed to require the Company to include in its Proxy Statement and proxy relating to the 2018 Special Meeting of Shareholders, or to consider and vote upon at any such meeting, any shareholder proposal which does not meet all of the requirements established by the SEC or the Company’s Restated Certificate of Incorporation or Bylaws in effect at the time such proposal is received.</w:t>
      </w:r>
    </w:p>
    <w:p>
      <w:pPr>
        <w:spacing w:after="0" w:line="274" w:lineRule="exact"/>
        <w:rPr>
          <w:sz w:val="20"/>
          <w:szCs w:val="20"/>
          <w:color w:val="auto"/>
        </w:rPr>
      </w:pPr>
    </w:p>
    <w:p>
      <w:pPr>
        <w:jc w:val="center"/>
        <w:ind w:right="659"/>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jc w:val="center"/>
        <w:ind w:left="60" w:right="739"/>
        <w:spacing w:after="0" w:line="232"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8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48895</wp:posOffset>
            </wp:positionV>
            <wp:extent cx="26930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8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Michael A. Schwartz</w:t>
      </w:r>
    </w:p>
    <w:p>
      <w:pPr>
        <w:spacing w:after="0" w:line="2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4" w:right="1440" w:bottom="1440" w:gutter="0" w:footer="0" w:header="0"/>
        </w:sectPr>
      </w:pPr>
    </w:p>
    <w:bookmarkStart w:id="27" w:name="page28"/>
    <w:bookmarkEnd w:id="27"/>
    <w:p>
      <w:pPr>
        <w:jc w:val="center"/>
        <w:ind w:right="679"/>
        <w:spacing w:after="0"/>
        <w:rPr>
          <w:sz w:val="20"/>
          <w:szCs w:val="20"/>
          <w:color w:val="auto"/>
        </w:rPr>
      </w:pPr>
      <w:r>
        <w:rPr>
          <w:rFonts w:ascii="Arial" w:cs="Arial" w:eastAsia="Arial" w:hAnsi="Arial"/>
          <w:sz w:val="18"/>
          <w:szCs w:val="18"/>
          <w:b w:val="1"/>
          <w:bCs w:val="1"/>
          <w:color w:val="auto"/>
        </w:rPr>
        <w:t>ATTACHMENT A</w:t>
      </w:r>
    </w:p>
    <w:p>
      <w:pPr>
        <w:spacing w:after="0" w:line="144"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PROPOSED CHARTER AMENDMENT</w:t>
      </w:r>
    </w:p>
    <w:p>
      <w:pPr>
        <w:spacing w:after="0" w:line="144"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NEWTEK BUSINESS SERVICES CORP.</w:t>
      </w:r>
    </w:p>
    <w:p>
      <w:pPr>
        <w:spacing w:after="0" w:line="144"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ARTICLES OF AMENDMENT</w:t>
      </w:r>
    </w:p>
    <w:p>
      <w:pPr>
        <w:spacing w:after="0" w:line="270" w:lineRule="exact"/>
        <w:rPr>
          <w:sz w:val="20"/>
          <w:szCs w:val="20"/>
          <w:color w:val="auto"/>
        </w:rPr>
      </w:pPr>
    </w:p>
    <w:p>
      <w:pPr>
        <w:ind w:left="60" w:right="839" w:firstLine="360"/>
        <w:spacing w:after="0" w:line="277" w:lineRule="auto"/>
        <w:rPr>
          <w:sz w:val="20"/>
          <w:szCs w:val="20"/>
          <w:color w:val="auto"/>
        </w:rPr>
      </w:pPr>
      <w:r>
        <w:rPr>
          <w:rFonts w:ascii="Arial" w:cs="Arial" w:eastAsia="Arial" w:hAnsi="Arial"/>
          <w:sz w:val="18"/>
          <w:szCs w:val="18"/>
          <w:color w:val="auto"/>
        </w:rPr>
        <w:t>NEWTEK BUSINESS SERVICES CORP., a Maryland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hereby certifies to the State Department of Assessments and Taxation of Maryland that:</w:t>
      </w:r>
    </w:p>
    <w:p>
      <w:pPr>
        <w:spacing w:after="0" w:line="62" w:lineRule="exact"/>
        <w:rPr>
          <w:sz w:val="20"/>
          <w:szCs w:val="20"/>
          <w:color w:val="auto"/>
        </w:rPr>
      </w:pPr>
    </w:p>
    <w:p>
      <w:pPr>
        <w:jc w:val="both"/>
        <w:ind w:left="60" w:right="899" w:firstLine="360"/>
        <w:spacing w:after="0" w:line="264"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Article VI, Section 5.6 of the Articles of Amendment and Restatement of the Corporation filed on</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31, 2014 (the “</w:t>
      </w:r>
      <w:r>
        <w:rPr>
          <w:rFonts w:ascii="Arial" w:cs="Arial" w:eastAsia="Arial" w:hAnsi="Arial"/>
          <w:sz w:val="18"/>
          <w:szCs w:val="18"/>
          <w:b w:val="1"/>
          <w:bCs w:val="1"/>
          <w:i w:val="1"/>
          <w:iCs w:val="1"/>
          <w:color w:val="auto"/>
        </w:rPr>
        <w:t>Charter</w:t>
      </w:r>
      <w:r>
        <w:rPr>
          <w:rFonts w:ascii="Arial" w:cs="Arial" w:eastAsia="Arial" w:hAnsi="Arial"/>
          <w:sz w:val="18"/>
          <w:szCs w:val="18"/>
          <w:color w:val="auto"/>
        </w:rPr>
        <w:t>”) is hereby amended by deleting such Section 5.6 and replacing it in its entirety with the following:</w:t>
      </w:r>
    </w:p>
    <w:p>
      <w:pPr>
        <w:spacing w:after="0" w:line="73"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60" w:right="779" w:firstLine="360"/>
        <w:spacing w:after="0" w:line="255"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Charter and Bylaws</w:t>
      </w:r>
      <w:r>
        <w:rPr>
          <w:rFonts w:ascii="Arial" w:cs="Arial" w:eastAsia="Arial" w:hAnsi="Arial"/>
          <w:sz w:val="18"/>
          <w:szCs w:val="18"/>
          <w:color w:val="auto"/>
        </w:rPr>
        <w:t>. All persons who shall acquire stock in the Corporation shall acquire the same subject to the provisions of the charter and the Bylaws. The Board of Directors is vested with the power to adopt, alter or repeal any provision of the Bylaws and to make new Bylaws. In addition, the stockholders may adopt, alter or repeal any provision of the Bylaws and make new Bylaws if such action is approved by the affirmative vote of a majority of all votes entitled to be cast on the matter, except that the stockholders shall not have the power to alter or repeal any provision of the Bylaws providing indemnification or advancement rights to any person.”</w:t>
      </w:r>
    </w:p>
    <w:p>
      <w:pPr>
        <w:spacing w:after="0" w:line="81"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60" w:right="939" w:firstLine="360"/>
        <w:spacing w:after="0" w:line="277"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This amendment to the Charter has been approved by the Board of Directors and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Corporation.</w:t>
      </w:r>
    </w:p>
    <w:p>
      <w:pPr>
        <w:spacing w:after="0" w:line="62" w:lineRule="exact"/>
        <w:rPr>
          <w:sz w:val="20"/>
          <w:szCs w:val="20"/>
          <w:color w:val="auto"/>
        </w:rPr>
      </w:pPr>
    </w:p>
    <w:p>
      <w:pPr>
        <w:ind w:left="60" w:right="759" w:firstLine="360"/>
        <w:spacing w:after="0" w:line="259"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undersigned acknowledges these Articles of Amendment to be the corporate act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and as to all matters of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79" w:lineRule="exact"/>
        <w:rPr>
          <w:sz w:val="20"/>
          <w:szCs w:val="20"/>
          <w:color w:val="auto"/>
        </w:rPr>
      </w:pPr>
    </w:p>
    <w:p>
      <w:pPr>
        <w:ind w:left="60" w:right="1159" w:firstLine="360"/>
        <w:spacing w:after="0" w:line="274" w:lineRule="auto"/>
        <w:rPr>
          <w:sz w:val="20"/>
          <w:szCs w:val="20"/>
          <w:color w:val="auto"/>
        </w:rPr>
      </w:pPr>
      <w:r>
        <w:rPr>
          <w:rFonts w:ascii="Arial" w:cs="Arial" w:eastAsia="Arial" w:hAnsi="Arial"/>
          <w:sz w:val="17"/>
          <w:szCs w:val="17"/>
          <w:color w:val="auto"/>
        </w:rPr>
        <w:t>IN WITNESS WHEREOF, the Corporation has caused these Articles of Amendment to be signed in its name and on its behalf by Chief Executive Officer and attested to by its Secretary as of the day of</w:t>
      </w:r>
    </w:p>
    <w:p>
      <w:pPr>
        <w:ind w:left="240"/>
        <w:spacing w:after="0"/>
        <w:rPr>
          <w:sz w:val="20"/>
          <w:szCs w:val="20"/>
          <w:color w:val="auto"/>
        </w:rPr>
      </w:pPr>
      <w:r>
        <w:rPr>
          <w:rFonts w:ascii="Arial" w:cs="Arial" w:eastAsia="Arial" w:hAnsi="Arial"/>
          <w:sz w:val="18"/>
          <w:szCs w:val="18"/>
          <w:color w:val="auto"/>
        </w:rPr>
        <w:t>, 2018.</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NEWTEK BUSINESS SERVICES CORP.</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Attest:</w:t>
            </w:r>
          </w:p>
        </w:tc>
        <w:tc>
          <w:tcPr>
            <w:tcW w:w="4220" w:type="dxa"/>
            <w:vAlign w:val="bottom"/>
            <w:gridSpan w:val="2"/>
          </w:tcPr>
          <w:p>
            <w:pPr>
              <w:ind w:left="220"/>
              <w:spacing w:after="0"/>
              <w:rPr>
                <w:sz w:val="20"/>
                <w:szCs w:val="20"/>
                <w:color w:val="auto"/>
              </w:rPr>
            </w:pPr>
            <w:r>
              <w:rPr>
                <w:rFonts w:ascii="Arial" w:cs="Arial" w:eastAsia="Arial" w:hAnsi="Arial"/>
                <w:sz w:val="18"/>
                <w:szCs w:val="18"/>
                <w:color w:val="auto"/>
              </w:rPr>
              <w:t>By:</w:t>
            </w:r>
          </w:p>
        </w:tc>
      </w:tr>
      <w:tr>
        <w:trPr>
          <w:trHeight w:val="270"/>
        </w:trPr>
        <w:tc>
          <w:tcPr>
            <w:tcW w:w="540" w:type="dxa"/>
            <w:vAlign w:val="bottom"/>
          </w:tcPr>
          <w:p>
            <w:pPr>
              <w:spacing w:after="0"/>
              <w:rPr>
                <w:sz w:val="23"/>
                <w:szCs w:val="23"/>
                <w:color w:val="auto"/>
              </w:rPr>
            </w:pPr>
          </w:p>
        </w:tc>
        <w:tc>
          <w:tcPr>
            <w:tcW w:w="3460" w:type="dxa"/>
            <w:vAlign w:val="bottom"/>
            <w:tcBorders>
              <w:bottom w:val="single" w:sz="8" w:color="auto"/>
            </w:tcBorders>
          </w:tcPr>
          <w:p>
            <w:pPr>
              <w:spacing w:after="0"/>
              <w:rPr>
                <w:sz w:val="23"/>
                <w:szCs w:val="23"/>
                <w:color w:val="auto"/>
              </w:rPr>
            </w:pPr>
          </w:p>
        </w:tc>
        <w:tc>
          <w:tcPr>
            <w:tcW w:w="760" w:type="dxa"/>
            <w:vAlign w:val="bottom"/>
          </w:tcPr>
          <w:p>
            <w:pPr>
              <w:spacing w:after="0"/>
              <w:rPr>
                <w:sz w:val="23"/>
                <w:szCs w:val="23"/>
                <w:color w:val="auto"/>
              </w:rPr>
            </w:pPr>
          </w:p>
        </w:tc>
        <w:tc>
          <w:tcPr>
            <w:tcW w:w="3460" w:type="dxa"/>
            <w:vAlign w:val="bottom"/>
            <w:tcBorders>
              <w:bottom w:val="single" w:sz="8" w:color="auto"/>
            </w:tcBorders>
          </w:tcPr>
          <w:p>
            <w:pPr>
              <w:spacing w:after="0"/>
              <w:rPr>
                <w:sz w:val="23"/>
                <w:szCs w:val="23"/>
                <w:color w:val="auto"/>
              </w:rPr>
            </w:pPr>
          </w:p>
        </w:tc>
      </w:tr>
      <w:tr>
        <w:trPr>
          <w:trHeight w:val="222"/>
        </w:trPr>
        <w:tc>
          <w:tcPr>
            <w:tcW w:w="54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Michael A. Schwartz</w:t>
            </w:r>
          </w:p>
        </w:tc>
        <w:tc>
          <w:tcPr>
            <w:tcW w:w="76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Barry Sloane</w:t>
            </w:r>
          </w:p>
        </w:tc>
      </w:tr>
      <w:tr>
        <w:trPr>
          <w:trHeight w:val="230"/>
        </w:trPr>
        <w:tc>
          <w:tcPr>
            <w:tcW w:w="54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Secretary</w:t>
            </w:r>
          </w:p>
        </w:tc>
        <w:tc>
          <w:tcPr>
            <w:tcW w:w="76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242570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7" w:right="1440" w:bottom="1440"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6834505" cy="8854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8854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217805</wp:posOffset>
            </wp:positionV>
            <wp:extent cx="6834505" cy="8425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8425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217805</wp:posOffset>
            </wp:positionV>
            <wp:extent cx="6834505" cy="8416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8416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1."/>
      <w:numFmt w:val="decimal"/>
      <w:start w:val="4"/>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lowerRoman"/>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3"/>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2019-12-08T09:19:03Z</dcterms:created>
  <dcterms:modified xsi:type="dcterms:W3CDTF">2019-12-08T09:19:03Z</dcterms:modified>
</cp:coreProperties>
</file>