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6" w:lineRule="exact"/>
        <w:rPr>
          <w:sz w:val="24"/>
          <w:szCs w:val="24"/>
          <w:color w:val="auto"/>
        </w:rPr>
      </w:pPr>
    </w:p>
    <w:tbl>
      <w:tblPr>
        <w:tblLayout w:type="fixed"/>
        <w:tblInd w:w="20" w:type="dxa"/>
        <w:tblCellMar>
          <w:top w:w="0" w:type="dxa"/>
          <w:left w:w="0" w:type="dxa"/>
          <w:bottom w:w="0" w:type="dxa"/>
          <w:right w:w="0" w:type="dxa"/>
        </w:tblCellMar>
      </w:tblPr>
      <w:tr>
        <w:trPr>
          <w:trHeight w:val="216"/>
        </w:trPr>
        <w:tc>
          <w:tcPr>
            <w:tcW w:w="3380" w:type="dxa"/>
            <w:vAlign w:val="bottom"/>
          </w:tcPr>
          <w:p>
            <w:pPr>
              <w:spacing w:after="0"/>
              <w:rPr>
                <w:sz w:val="18"/>
                <w:szCs w:val="18"/>
                <w:color w:val="auto"/>
              </w:rPr>
            </w:pPr>
          </w:p>
        </w:tc>
        <w:tc>
          <w:tcPr>
            <w:tcW w:w="4160" w:type="dxa"/>
            <w:vAlign w:val="bottom"/>
          </w:tcPr>
          <w:p>
            <w:pPr>
              <w:jc w:val="center"/>
              <w:ind w:left="190"/>
              <w:spacing w:after="0"/>
              <w:rPr>
                <w:sz w:val="20"/>
                <w:szCs w:val="20"/>
                <w:color w:val="auto"/>
              </w:rPr>
            </w:pPr>
            <w:r>
              <w:rPr>
                <w:rFonts w:ascii="Arial" w:cs="Arial" w:eastAsia="Arial" w:hAnsi="Arial"/>
                <w:sz w:val="18"/>
                <w:szCs w:val="18"/>
                <w:b w:val="1"/>
                <w:bCs w:val="1"/>
                <w:color w:val="auto"/>
                <w:w w:val="97"/>
              </w:rPr>
              <w:t>UNITED STATES</w:t>
            </w:r>
          </w:p>
        </w:tc>
      </w:tr>
      <w:tr>
        <w:trPr>
          <w:trHeight w:val="216"/>
        </w:trPr>
        <w:tc>
          <w:tcPr>
            <w:tcW w:w="3380" w:type="dxa"/>
            <w:vAlign w:val="bottom"/>
          </w:tcPr>
          <w:p>
            <w:pPr>
              <w:spacing w:after="0"/>
              <w:rPr>
                <w:sz w:val="18"/>
                <w:szCs w:val="18"/>
                <w:color w:val="auto"/>
              </w:rPr>
            </w:pPr>
          </w:p>
        </w:tc>
        <w:tc>
          <w:tcPr>
            <w:tcW w:w="4160" w:type="dxa"/>
            <w:vAlign w:val="bottom"/>
          </w:tcPr>
          <w:p>
            <w:pPr>
              <w:jc w:val="center"/>
              <w:ind w:left="190"/>
              <w:spacing w:after="0"/>
              <w:rPr>
                <w:sz w:val="20"/>
                <w:szCs w:val="20"/>
                <w:color w:val="auto"/>
              </w:rPr>
            </w:pPr>
            <w:r>
              <w:rPr>
                <w:rFonts w:ascii="Arial" w:cs="Arial" w:eastAsia="Arial" w:hAnsi="Arial"/>
                <w:sz w:val="18"/>
                <w:szCs w:val="18"/>
                <w:b w:val="1"/>
                <w:bCs w:val="1"/>
                <w:color w:val="auto"/>
              </w:rPr>
              <w:t>SECURITIES AND EXCHANGE COMMISSION</w:t>
            </w:r>
          </w:p>
        </w:tc>
      </w:tr>
      <w:tr>
        <w:trPr>
          <w:trHeight w:val="216"/>
        </w:trPr>
        <w:tc>
          <w:tcPr>
            <w:tcW w:w="3380" w:type="dxa"/>
            <w:vAlign w:val="bottom"/>
          </w:tcPr>
          <w:p>
            <w:pPr>
              <w:spacing w:after="0"/>
              <w:rPr>
                <w:sz w:val="18"/>
                <w:szCs w:val="18"/>
                <w:color w:val="auto"/>
              </w:rPr>
            </w:pPr>
          </w:p>
        </w:tc>
        <w:tc>
          <w:tcPr>
            <w:tcW w:w="4160" w:type="dxa"/>
            <w:vAlign w:val="bottom"/>
          </w:tcPr>
          <w:p>
            <w:pPr>
              <w:jc w:val="center"/>
              <w:ind w:left="210"/>
              <w:spacing w:after="0"/>
              <w:rPr>
                <w:sz w:val="20"/>
                <w:szCs w:val="20"/>
                <w:color w:val="auto"/>
              </w:rPr>
            </w:pPr>
            <w:r>
              <w:rPr>
                <w:rFonts w:ascii="Arial" w:cs="Arial" w:eastAsia="Arial" w:hAnsi="Arial"/>
                <w:sz w:val="18"/>
                <w:szCs w:val="18"/>
                <w:b w:val="1"/>
                <w:bCs w:val="1"/>
                <w:color w:val="auto"/>
                <w:w w:val="97"/>
              </w:rPr>
              <w:t>WASHINGTON, DC 20549</w:t>
            </w:r>
          </w:p>
        </w:tc>
      </w:tr>
      <w:tr>
        <w:trPr>
          <w:trHeight w:val="234"/>
        </w:trPr>
        <w:tc>
          <w:tcPr>
            <w:tcW w:w="3380" w:type="dxa"/>
            <w:vAlign w:val="bottom"/>
          </w:tcPr>
          <w:p>
            <w:pPr>
              <w:spacing w:after="0"/>
              <w:rPr>
                <w:sz w:val="20"/>
                <w:szCs w:val="20"/>
                <w:color w:val="auto"/>
              </w:rPr>
            </w:pPr>
          </w:p>
        </w:tc>
        <w:tc>
          <w:tcPr>
            <w:tcW w:w="4160" w:type="dxa"/>
            <w:vAlign w:val="bottom"/>
          </w:tcPr>
          <w:p>
            <w:pPr>
              <w:jc w:val="center"/>
              <w:ind w:left="210"/>
              <w:spacing w:after="0"/>
              <w:rPr>
                <w:sz w:val="20"/>
                <w:szCs w:val="20"/>
                <w:color w:val="auto"/>
              </w:rPr>
            </w:pPr>
            <w:r>
              <w:rPr>
                <w:rFonts w:ascii="Arial" w:cs="Arial" w:eastAsia="Arial" w:hAnsi="Arial"/>
                <w:sz w:val="18"/>
                <w:szCs w:val="18"/>
                <w:b w:val="1"/>
                <w:bCs w:val="1"/>
                <w:color w:val="auto"/>
                <w:w w:val="89"/>
              </w:rPr>
              <w:t>__________________________</w:t>
            </w:r>
          </w:p>
        </w:tc>
      </w:tr>
      <w:tr>
        <w:trPr>
          <w:trHeight w:val="306"/>
        </w:trPr>
        <w:tc>
          <w:tcPr>
            <w:tcW w:w="3380" w:type="dxa"/>
            <w:vAlign w:val="bottom"/>
          </w:tcPr>
          <w:p>
            <w:pPr>
              <w:spacing w:after="0"/>
              <w:rPr>
                <w:sz w:val="24"/>
                <w:szCs w:val="24"/>
                <w:color w:val="auto"/>
              </w:rPr>
            </w:pPr>
          </w:p>
        </w:tc>
        <w:tc>
          <w:tcPr>
            <w:tcW w:w="4160" w:type="dxa"/>
            <w:vAlign w:val="bottom"/>
          </w:tcPr>
          <w:p>
            <w:pPr>
              <w:jc w:val="center"/>
              <w:ind w:left="210"/>
              <w:spacing w:after="0"/>
              <w:rPr>
                <w:sz w:val="20"/>
                <w:szCs w:val="20"/>
                <w:color w:val="auto"/>
              </w:rPr>
            </w:pPr>
            <w:r>
              <w:rPr>
                <w:rFonts w:ascii="Arial" w:cs="Arial" w:eastAsia="Arial" w:hAnsi="Arial"/>
                <w:sz w:val="18"/>
                <w:szCs w:val="18"/>
                <w:b w:val="1"/>
                <w:bCs w:val="1"/>
                <w:color w:val="auto"/>
                <w:w w:val="97"/>
              </w:rPr>
              <w:t>SCHEDULE 14A</w:t>
            </w:r>
          </w:p>
        </w:tc>
      </w:tr>
      <w:tr>
        <w:trPr>
          <w:trHeight w:val="216"/>
        </w:trPr>
        <w:tc>
          <w:tcPr>
            <w:tcW w:w="3380" w:type="dxa"/>
            <w:vAlign w:val="bottom"/>
          </w:tcPr>
          <w:p>
            <w:pPr>
              <w:spacing w:after="0"/>
              <w:rPr>
                <w:sz w:val="18"/>
                <w:szCs w:val="18"/>
                <w:color w:val="auto"/>
              </w:rPr>
            </w:pPr>
          </w:p>
        </w:tc>
        <w:tc>
          <w:tcPr>
            <w:tcW w:w="4160" w:type="dxa"/>
            <w:vAlign w:val="bottom"/>
          </w:tcPr>
          <w:p>
            <w:pPr>
              <w:jc w:val="center"/>
              <w:ind w:left="210"/>
              <w:spacing w:after="0"/>
              <w:rPr>
                <w:sz w:val="20"/>
                <w:szCs w:val="20"/>
                <w:color w:val="auto"/>
              </w:rPr>
            </w:pPr>
            <w:r>
              <w:rPr>
                <w:rFonts w:ascii="Arial" w:cs="Arial" w:eastAsia="Arial" w:hAnsi="Arial"/>
                <w:sz w:val="18"/>
                <w:szCs w:val="18"/>
                <w:b w:val="1"/>
                <w:bCs w:val="1"/>
                <w:color w:val="auto"/>
                <w:w w:val="95"/>
              </w:rPr>
              <w:t>(RULE 14a-101)</w:t>
            </w:r>
          </w:p>
        </w:tc>
      </w:tr>
      <w:tr>
        <w:trPr>
          <w:trHeight w:val="216"/>
        </w:trPr>
        <w:tc>
          <w:tcPr>
            <w:tcW w:w="3380" w:type="dxa"/>
            <w:vAlign w:val="bottom"/>
          </w:tcPr>
          <w:p>
            <w:pPr>
              <w:spacing w:after="0"/>
              <w:rPr>
                <w:sz w:val="18"/>
                <w:szCs w:val="18"/>
                <w:color w:val="auto"/>
              </w:rPr>
            </w:pPr>
          </w:p>
        </w:tc>
        <w:tc>
          <w:tcPr>
            <w:tcW w:w="4160" w:type="dxa"/>
            <w:vAlign w:val="bottom"/>
          </w:tcPr>
          <w:p>
            <w:pPr>
              <w:jc w:val="center"/>
              <w:ind w:left="210"/>
              <w:spacing w:after="0"/>
              <w:rPr>
                <w:sz w:val="20"/>
                <w:szCs w:val="20"/>
                <w:color w:val="auto"/>
              </w:rPr>
            </w:pPr>
            <w:r>
              <w:rPr>
                <w:rFonts w:ascii="Arial" w:cs="Arial" w:eastAsia="Arial" w:hAnsi="Arial"/>
                <w:sz w:val="18"/>
                <w:szCs w:val="18"/>
                <w:b w:val="1"/>
                <w:bCs w:val="1"/>
                <w:color w:val="auto"/>
                <w:w w:val="91"/>
              </w:rPr>
              <w:t>Information Required in Proxy Statement</w:t>
            </w:r>
          </w:p>
        </w:tc>
      </w:tr>
      <w:tr>
        <w:trPr>
          <w:trHeight w:val="234"/>
        </w:trPr>
        <w:tc>
          <w:tcPr>
            <w:tcW w:w="3380" w:type="dxa"/>
            <w:vAlign w:val="bottom"/>
          </w:tcPr>
          <w:p>
            <w:pPr>
              <w:spacing w:after="0"/>
              <w:rPr>
                <w:sz w:val="20"/>
                <w:szCs w:val="20"/>
                <w:color w:val="auto"/>
              </w:rPr>
            </w:pPr>
          </w:p>
        </w:tc>
        <w:tc>
          <w:tcPr>
            <w:tcW w:w="4160" w:type="dxa"/>
            <w:vAlign w:val="bottom"/>
          </w:tcPr>
          <w:p>
            <w:pPr>
              <w:jc w:val="center"/>
              <w:ind w:left="210"/>
              <w:spacing w:after="0"/>
              <w:rPr>
                <w:sz w:val="20"/>
                <w:szCs w:val="20"/>
                <w:color w:val="auto"/>
              </w:rPr>
            </w:pPr>
            <w:r>
              <w:rPr>
                <w:rFonts w:ascii="Arial" w:cs="Arial" w:eastAsia="Arial" w:hAnsi="Arial"/>
                <w:sz w:val="18"/>
                <w:szCs w:val="18"/>
                <w:b w:val="1"/>
                <w:bCs w:val="1"/>
                <w:color w:val="auto"/>
                <w:w w:val="89"/>
              </w:rPr>
              <w:t>__________________________</w:t>
            </w:r>
          </w:p>
        </w:tc>
      </w:tr>
      <w:tr>
        <w:trPr>
          <w:trHeight w:val="306"/>
        </w:trPr>
        <w:tc>
          <w:tcPr>
            <w:tcW w:w="3380" w:type="dxa"/>
            <w:vAlign w:val="bottom"/>
          </w:tcPr>
          <w:p>
            <w:pPr>
              <w:spacing w:after="0"/>
              <w:rPr>
                <w:sz w:val="24"/>
                <w:szCs w:val="24"/>
                <w:color w:val="auto"/>
              </w:rPr>
            </w:pPr>
          </w:p>
        </w:tc>
        <w:tc>
          <w:tcPr>
            <w:tcW w:w="4160" w:type="dxa"/>
            <w:vAlign w:val="bottom"/>
          </w:tcPr>
          <w:p>
            <w:pPr>
              <w:jc w:val="center"/>
              <w:ind w:left="190"/>
              <w:spacing w:after="0"/>
              <w:rPr>
                <w:sz w:val="20"/>
                <w:szCs w:val="20"/>
                <w:color w:val="auto"/>
              </w:rPr>
            </w:pPr>
            <w:r>
              <w:rPr>
                <w:rFonts w:ascii="Arial" w:cs="Arial" w:eastAsia="Arial" w:hAnsi="Arial"/>
                <w:sz w:val="18"/>
                <w:szCs w:val="18"/>
                <w:b w:val="1"/>
                <w:bCs w:val="1"/>
                <w:color w:val="auto"/>
              </w:rPr>
              <w:t>SCHEDULE 14A INFORMATION</w:t>
            </w:r>
          </w:p>
        </w:tc>
      </w:tr>
      <w:tr>
        <w:trPr>
          <w:trHeight w:val="216"/>
        </w:trPr>
        <w:tc>
          <w:tcPr>
            <w:tcW w:w="3380" w:type="dxa"/>
            <w:vAlign w:val="bottom"/>
          </w:tcPr>
          <w:p>
            <w:pPr>
              <w:spacing w:after="0"/>
              <w:rPr>
                <w:sz w:val="18"/>
                <w:szCs w:val="18"/>
                <w:color w:val="auto"/>
              </w:rPr>
            </w:pPr>
          </w:p>
        </w:tc>
        <w:tc>
          <w:tcPr>
            <w:tcW w:w="4160" w:type="dxa"/>
            <w:vAlign w:val="bottom"/>
          </w:tcPr>
          <w:p>
            <w:pPr>
              <w:jc w:val="center"/>
              <w:ind w:left="190"/>
              <w:spacing w:after="0"/>
              <w:rPr>
                <w:sz w:val="20"/>
                <w:szCs w:val="20"/>
                <w:color w:val="auto"/>
              </w:rPr>
            </w:pPr>
            <w:r>
              <w:rPr>
                <w:rFonts w:ascii="Arial" w:cs="Arial" w:eastAsia="Arial" w:hAnsi="Arial"/>
                <w:sz w:val="18"/>
                <w:szCs w:val="18"/>
                <w:b w:val="1"/>
                <w:bCs w:val="1"/>
                <w:color w:val="auto"/>
                <w:w w:val="89"/>
              </w:rPr>
              <w:t>Proxy Statement Pursuant to Section 14(a) of the</w:t>
            </w:r>
          </w:p>
        </w:tc>
      </w:tr>
      <w:tr>
        <w:trPr>
          <w:trHeight w:val="216"/>
        </w:trPr>
        <w:tc>
          <w:tcPr>
            <w:tcW w:w="3380" w:type="dxa"/>
            <w:vAlign w:val="bottom"/>
          </w:tcPr>
          <w:p>
            <w:pPr>
              <w:spacing w:after="0"/>
              <w:rPr>
                <w:sz w:val="18"/>
                <w:szCs w:val="18"/>
                <w:color w:val="auto"/>
              </w:rPr>
            </w:pPr>
          </w:p>
        </w:tc>
        <w:tc>
          <w:tcPr>
            <w:tcW w:w="4160" w:type="dxa"/>
            <w:vAlign w:val="bottom"/>
          </w:tcPr>
          <w:p>
            <w:pPr>
              <w:jc w:val="center"/>
              <w:ind w:left="210"/>
              <w:spacing w:after="0"/>
              <w:rPr>
                <w:sz w:val="20"/>
                <w:szCs w:val="20"/>
                <w:color w:val="auto"/>
              </w:rPr>
            </w:pPr>
            <w:r>
              <w:rPr>
                <w:rFonts w:ascii="Arial" w:cs="Arial" w:eastAsia="Arial" w:hAnsi="Arial"/>
                <w:sz w:val="18"/>
                <w:szCs w:val="18"/>
                <w:b w:val="1"/>
                <w:bCs w:val="1"/>
                <w:color w:val="auto"/>
                <w:w w:val="88"/>
              </w:rPr>
              <w:t>Securities Exchange Act of 1934</w:t>
            </w:r>
          </w:p>
        </w:tc>
      </w:tr>
      <w:tr>
        <w:trPr>
          <w:trHeight w:val="234"/>
        </w:trPr>
        <w:tc>
          <w:tcPr>
            <w:tcW w:w="3380" w:type="dxa"/>
            <w:vAlign w:val="bottom"/>
          </w:tcPr>
          <w:p>
            <w:pPr>
              <w:spacing w:after="0"/>
              <w:rPr>
                <w:sz w:val="20"/>
                <w:szCs w:val="20"/>
                <w:color w:val="auto"/>
              </w:rPr>
            </w:pPr>
          </w:p>
        </w:tc>
        <w:tc>
          <w:tcPr>
            <w:tcW w:w="4160" w:type="dxa"/>
            <w:vAlign w:val="bottom"/>
          </w:tcPr>
          <w:p>
            <w:pPr>
              <w:jc w:val="center"/>
              <w:ind w:left="210"/>
              <w:spacing w:after="0"/>
              <w:rPr>
                <w:sz w:val="20"/>
                <w:szCs w:val="20"/>
                <w:color w:val="auto"/>
              </w:rPr>
            </w:pPr>
            <w:r>
              <w:rPr>
                <w:rFonts w:ascii="Arial" w:cs="Arial" w:eastAsia="Arial" w:hAnsi="Arial"/>
                <w:sz w:val="18"/>
                <w:szCs w:val="18"/>
                <w:b w:val="1"/>
                <w:bCs w:val="1"/>
                <w:color w:val="auto"/>
                <w:w w:val="89"/>
              </w:rPr>
              <w:t>__________________________</w:t>
            </w:r>
          </w:p>
        </w:tc>
      </w:tr>
      <w:tr>
        <w:trPr>
          <w:trHeight w:val="297"/>
        </w:trPr>
        <w:tc>
          <w:tcPr>
            <w:tcW w:w="3380" w:type="dxa"/>
            <w:vAlign w:val="bottom"/>
          </w:tcPr>
          <w:p>
            <w:pPr>
              <w:spacing w:after="0"/>
              <w:rPr>
                <w:sz w:val="20"/>
                <w:szCs w:val="20"/>
                <w:color w:val="auto"/>
              </w:rPr>
            </w:pPr>
            <w:r>
              <w:rPr>
                <w:rFonts w:ascii="Arial" w:cs="Arial" w:eastAsia="Arial" w:hAnsi="Arial"/>
                <w:sz w:val="18"/>
                <w:szCs w:val="18"/>
                <w:color w:val="auto"/>
              </w:rPr>
              <w:t>Filed by the Registrant</w:t>
            </w:r>
          </w:p>
        </w:tc>
        <w:tc>
          <w:tcPr>
            <w:tcW w:w="4160" w:type="dxa"/>
            <w:vAlign w:val="bottom"/>
          </w:tcPr>
          <w:p>
            <w:pPr>
              <w:ind w:left="1740"/>
              <w:spacing w:after="0"/>
              <w:rPr>
                <w:sz w:val="20"/>
                <w:szCs w:val="20"/>
                <w:color w:val="auto"/>
              </w:rPr>
            </w:pPr>
            <w:r>
              <w:rPr>
                <w:rFonts w:ascii="Arial" w:cs="Arial" w:eastAsia="Arial" w:hAnsi="Arial"/>
                <w:sz w:val="18"/>
                <w:szCs w:val="18"/>
                <w:color w:val="auto"/>
              </w:rPr>
              <w:t>S</w:t>
            </w:r>
          </w:p>
        </w:tc>
      </w:tr>
      <w:tr>
        <w:trPr>
          <w:trHeight w:val="270"/>
        </w:trPr>
        <w:tc>
          <w:tcPr>
            <w:tcW w:w="3380" w:type="dxa"/>
            <w:vAlign w:val="bottom"/>
          </w:tcPr>
          <w:p>
            <w:pPr>
              <w:spacing w:after="0"/>
              <w:rPr>
                <w:sz w:val="20"/>
                <w:szCs w:val="20"/>
                <w:color w:val="auto"/>
              </w:rPr>
            </w:pPr>
            <w:r>
              <w:rPr>
                <w:rFonts w:ascii="Arial" w:cs="Arial" w:eastAsia="Arial" w:hAnsi="Arial"/>
                <w:sz w:val="18"/>
                <w:szCs w:val="18"/>
                <w:color w:val="auto"/>
                <w:w w:val="97"/>
              </w:rPr>
              <w:t>Filed by the Party other than the Registrant</w:t>
            </w:r>
          </w:p>
        </w:tc>
        <w:tc>
          <w:tcPr>
            <w:tcW w:w="4160" w:type="dxa"/>
            <w:vAlign w:val="bottom"/>
          </w:tcPr>
          <w:p>
            <w:pPr>
              <w:ind w:left="1740"/>
              <w:spacing w:after="0"/>
              <w:rPr>
                <w:sz w:val="20"/>
                <w:szCs w:val="20"/>
                <w:color w:val="auto"/>
              </w:rPr>
            </w:pPr>
            <w:r>
              <w:rPr>
                <w:rFonts w:ascii="Arial" w:cs="Arial" w:eastAsia="Arial" w:hAnsi="Arial"/>
                <w:sz w:val="18"/>
                <w:szCs w:val="18"/>
                <w:color w:val="auto"/>
              </w:rPr>
              <w:t>£</w:t>
            </w:r>
          </w:p>
        </w:tc>
      </w:tr>
    </w:tbl>
    <w:p>
      <w:pPr>
        <w:spacing w:after="0" w:line="188"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90" w:lineRule="exact"/>
        <w:rPr>
          <w:sz w:val="24"/>
          <w:szCs w:val="24"/>
          <w:color w:val="auto"/>
        </w:rPr>
      </w:pPr>
    </w:p>
    <w:p>
      <w:pPr>
        <w:ind w:left="520" w:hanging="494"/>
        <w:spacing w:after="0"/>
        <w:tabs>
          <w:tab w:leader="none" w:pos="5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Preliminary Proxy Statement</w:t>
      </w:r>
    </w:p>
    <w:p>
      <w:pPr>
        <w:spacing w:after="0" w:line="59" w:lineRule="exact"/>
        <w:rPr>
          <w:rFonts w:ascii="Arial" w:cs="Arial" w:eastAsia="Arial" w:hAnsi="Arial"/>
          <w:sz w:val="18"/>
          <w:szCs w:val="18"/>
          <w:color w:val="auto"/>
        </w:rPr>
      </w:pPr>
    </w:p>
    <w:p>
      <w:pPr>
        <w:ind w:left="20" w:right="4360" w:firstLine="6"/>
        <w:spacing w:after="0" w:line="315" w:lineRule="auto"/>
        <w:tabs>
          <w:tab w:leader="none" w:pos="519"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 xml:space="preserve">Confidential, for Use of the Commission Only (as permitted by Rule 14a-6(e)(2)) </w:t>
      </w:r>
      <w:r>
        <w:rPr>
          <w:rFonts w:ascii="Arial" w:cs="Arial" w:eastAsia="Arial" w:hAnsi="Arial"/>
          <w:sz w:val="18"/>
          <w:szCs w:val="18"/>
          <w:color w:val="auto"/>
        </w:rPr>
        <w:t>S Definitive Proxy Statement</w:t>
      </w:r>
    </w:p>
    <w:p>
      <w:pPr>
        <w:ind w:left="520" w:hanging="494"/>
        <w:spacing w:after="0"/>
        <w:tabs>
          <w:tab w:leader="none" w:pos="520" w:val="left"/>
        </w:tabs>
        <w:numPr>
          <w:ilvl w:val="0"/>
          <w:numId w:val="1"/>
        </w:numPr>
        <w:rPr>
          <w:rFonts w:ascii="Arial" w:cs="Arial" w:eastAsia="Arial" w:hAnsi="Arial"/>
          <w:sz w:val="18"/>
          <w:szCs w:val="18"/>
          <w:color w:val="auto"/>
        </w:rPr>
      </w:pPr>
      <w:r>
        <w:rPr>
          <w:rFonts w:ascii="Arial" w:cs="Arial" w:eastAsia="Arial" w:hAnsi="Arial"/>
          <w:sz w:val="18"/>
          <w:szCs w:val="18"/>
          <w:color w:val="auto"/>
        </w:rPr>
        <w:t>Definitive Additional Materials</w:t>
      </w:r>
    </w:p>
    <w:p>
      <w:pPr>
        <w:spacing w:after="0" w:line="63" w:lineRule="exact"/>
        <w:rPr>
          <w:rFonts w:ascii="Arial" w:cs="Arial" w:eastAsia="Arial" w:hAnsi="Arial"/>
          <w:sz w:val="18"/>
          <w:szCs w:val="18"/>
          <w:color w:val="auto"/>
        </w:rPr>
      </w:pPr>
    </w:p>
    <w:p>
      <w:pPr>
        <w:ind w:left="520" w:hanging="494"/>
        <w:spacing w:after="0"/>
        <w:tabs>
          <w:tab w:leader="none" w:pos="52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14a-11(c) or Rule 14a-12</w:t>
      </w:r>
    </w:p>
    <w:p>
      <w:pPr>
        <w:spacing w:after="0" w:line="180" w:lineRule="exact"/>
        <w:rPr>
          <w:sz w:val="24"/>
          <w:szCs w:val="24"/>
          <w:color w:val="auto"/>
        </w:rPr>
      </w:pPr>
    </w:p>
    <w:p>
      <w:pPr>
        <w:jc w:val="center"/>
        <w:ind w:right="-199"/>
        <w:spacing w:after="0"/>
        <w:rPr>
          <w:sz w:val="20"/>
          <w:szCs w:val="20"/>
          <w:color w:val="auto"/>
        </w:rPr>
      </w:pPr>
      <w:r>
        <w:rPr>
          <w:rFonts w:ascii="Arial" w:cs="Arial" w:eastAsia="Arial" w:hAnsi="Arial"/>
          <w:sz w:val="29"/>
          <w:szCs w:val="29"/>
          <w:b w:val="1"/>
          <w:bCs w:val="1"/>
          <w:color w:val="auto"/>
        </w:rPr>
        <w:t>NEWTEK BUSINESS SERVICES CORP.</w:t>
      </w:r>
    </w:p>
    <w:p>
      <w:pPr>
        <w:spacing w:after="0" w:line="38"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70" w:lineRule="exact"/>
        <w:rPr>
          <w:sz w:val="24"/>
          <w:szCs w:val="24"/>
          <w:color w:val="auto"/>
        </w:rPr>
      </w:pPr>
    </w:p>
    <w:p>
      <w:pPr>
        <w:ind w:left="2880"/>
        <w:spacing w:after="0"/>
        <w:rPr>
          <w:sz w:val="20"/>
          <w:szCs w:val="20"/>
          <w:color w:val="auto"/>
        </w:rPr>
      </w:pPr>
      <w:r>
        <w:rPr>
          <w:rFonts w:ascii="Arial" w:cs="Arial" w:eastAsia="Arial" w:hAnsi="Arial"/>
          <w:sz w:val="18"/>
          <w:szCs w:val="18"/>
          <w:b w:val="1"/>
          <w:bCs w:val="1"/>
          <w:color w:val="auto"/>
        </w:rPr>
        <w:t>_____________________________________________________________</w:t>
      </w:r>
    </w:p>
    <w:p>
      <w:pPr>
        <w:spacing w:after="0" w:line="27" w:lineRule="exact"/>
        <w:rPr>
          <w:sz w:val="24"/>
          <w:szCs w:val="24"/>
          <w:color w:val="auto"/>
        </w:rPr>
      </w:pPr>
    </w:p>
    <w:p>
      <w:pPr>
        <w:ind w:left="2860"/>
        <w:spacing w:after="0"/>
        <w:rPr>
          <w:sz w:val="20"/>
          <w:szCs w:val="20"/>
          <w:color w:val="auto"/>
        </w:rPr>
      </w:pPr>
      <w:r>
        <w:rPr>
          <w:rFonts w:ascii="Arial" w:cs="Arial" w:eastAsia="Arial" w:hAnsi="Arial"/>
          <w:sz w:val="18"/>
          <w:szCs w:val="18"/>
          <w:b w:val="1"/>
          <w:bCs w:val="1"/>
          <w:color w:val="auto"/>
        </w:rPr>
        <w:t>(Name of Person(s) Filing Proxy Statement, if other than the Registrant)</w:t>
      </w:r>
    </w:p>
    <w:p>
      <w:pPr>
        <w:spacing w:after="0" w:line="103"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50" w:lineRule="exact"/>
        <w:rPr>
          <w:sz w:val="24"/>
          <w:szCs w:val="24"/>
          <w:color w:val="auto"/>
        </w:rPr>
      </w:pPr>
    </w:p>
    <w:p>
      <w:pPr>
        <w:ind w:left="520" w:hanging="494"/>
        <w:spacing w:after="0"/>
        <w:tabs>
          <w:tab w:leader="none" w:pos="520" w:val="left"/>
        </w:tabs>
        <w:numPr>
          <w:ilvl w:val="0"/>
          <w:numId w:val="2"/>
        </w:numPr>
        <w:rPr>
          <w:rFonts w:ascii="Arial" w:cs="Arial" w:eastAsia="Arial" w:hAnsi="Arial"/>
          <w:sz w:val="18"/>
          <w:szCs w:val="18"/>
          <w:color w:val="auto"/>
        </w:rPr>
      </w:pPr>
      <w:r>
        <w:rPr>
          <w:rFonts w:ascii="Arial" w:cs="Arial" w:eastAsia="Arial" w:hAnsi="Arial"/>
          <w:sz w:val="18"/>
          <w:szCs w:val="18"/>
          <w:color w:val="auto"/>
        </w:rPr>
        <w:t>No fee required.</w:t>
      </w:r>
    </w:p>
    <w:p>
      <w:pPr>
        <w:spacing w:after="0" w:line="63" w:lineRule="exact"/>
        <w:rPr>
          <w:sz w:val="24"/>
          <w:szCs w:val="24"/>
          <w:color w:val="auto"/>
        </w:rPr>
      </w:pPr>
    </w:p>
    <w:p>
      <w:pPr>
        <w:ind w:left="520" w:hanging="494"/>
        <w:spacing w:after="0"/>
        <w:tabs>
          <w:tab w:leader="none" w:pos="520" w:val="left"/>
        </w:tabs>
        <w:numPr>
          <w:ilvl w:val="0"/>
          <w:numId w:val="3"/>
        </w:numPr>
        <w:rPr>
          <w:rFonts w:ascii="Arial" w:cs="Arial" w:eastAsia="Arial" w:hAnsi="Arial"/>
          <w:sz w:val="18"/>
          <w:szCs w:val="18"/>
          <w:color w:val="auto"/>
        </w:rPr>
      </w:pPr>
      <w:r>
        <w:rPr>
          <w:rFonts w:ascii="Arial" w:cs="Arial" w:eastAsia="Arial" w:hAnsi="Arial"/>
          <w:sz w:val="18"/>
          <w:szCs w:val="18"/>
          <w:color w:val="auto"/>
        </w:rPr>
        <w:t>Fee computed on table below per Exchange Act Rules 14a-6 (i) (1) and 0-11.</w:t>
      </w:r>
    </w:p>
    <w:p>
      <w:pPr>
        <w:spacing w:after="0" w:line="63" w:lineRule="exact"/>
        <w:rPr>
          <w:rFonts w:ascii="Arial" w:cs="Arial" w:eastAsia="Arial" w:hAnsi="Arial"/>
          <w:sz w:val="18"/>
          <w:szCs w:val="18"/>
          <w:color w:val="auto"/>
        </w:rPr>
      </w:pPr>
    </w:p>
    <w:p>
      <w:pPr>
        <w:ind w:left="1100" w:hanging="575"/>
        <w:spacing w:after="0"/>
        <w:tabs>
          <w:tab w:leader="none" w:pos="11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346" w:lineRule="exact"/>
        <w:rPr>
          <w:rFonts w:ascii="Arial" w:cs="Arial" w:eastAsia="Arial" w:hAnsi="Arial"/>
          <w:sz w:val="18"/>
          <w:szCs w:val="18"/>
          <w:color w:val="auto"/>
        </w:rPr>
      </w:pPr>
    </w:p>
    <w:p>
      <w:pPr>
        <w:ind w:left="1100" w:hanging="575"/>
        <w:spacing w:after="0"/>
        <w:tabs>
          <w:tab w:leader="none" w:pos="11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333" w:lineRule="exact"/>
        <w:rPr>
          <w:rFonts w:ascii="Arial" w:cs="Arial" w:eastAsia="Arial" w:hAnsi="Arial"/>
          <w:sz w:val="18"/>
          <w:szCs w:val="18"/>
          <w:color w:val="auto"/>
        </w:rPr>
      </w:pPr>
    </w:p>
    <w:p>
      <w:pPr>
        <w:ind w:left="1100" w:right="140" w:hanging="575"/>
        <w:spacing w:after="0" w:line="235" w:lineRule="auto"/>
        <w:tabs>
          <w:tab w:leader="none" w:pos="11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83" w:lineRule="exact"/>
        <w:rPr>
          <w:rFonts w:ascii="Arial" w:cs="Arial" w:eastAsia="Arial" w:hAnsi="Arial"/>
          <w:sz w:val="18"/>
          <w:szCs w:val="18"/>
          <w:color w:val="auto"/>
        </w:rPr>
      </w:pPr>
    </w:p>
    <w:p>
      <w:pPr>
        <w:ind w:left="1100" w:hanging="575"/>
        <w:spacing w:after="0"/>
        <w:tabs>
          <w:tab w:leader="none" w:pos="11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333" w:lineRule="exact"/>
        <w:rPr>
          <w:rFonts w:ascii="Arial" w:cs="Arial" w:eastAsia="Arial" w:hAnsi="Arial"/>
          <w:sz w:val="18"/>
          <w:szCs w:val="18"/>
          <w:color w:val="auto"/>
        </w:rPr>
      </w:pPr>
    </w:p>
    <w:p>
      <w:pPr>
        <w:ind w:left="1100" w:hanging="575"/>
        <w:spacing w:after="0"/>
        <w:tabs>
          <w:tab w:leader="none" w:pos="11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319" w:lineRule="exact"/>
        <w:rPr>
          <w:rFonts w:ascii="Arial" w:cs="Arial" w:eastAsia="Arial" w:hAnsi="Arial"/>
          <w:sz w:val="18"/>
          <w:szCs w:val="18"/>
          <w:color w:val="auto"/>
        </w:rPr>
      </w:pPr>
    </w:p>
    <w:p>
      <w:pPr>
        <w:ind w:left="520" w:hanging="494"/>
        <w:spacing w:after="0"/>
        <w:tabs>
          <w:tab w:leader="none" w:pos="520" w:val="left"/>
        </w:tabs>
        <w:numPr>
          <w:ilvl w:val="0"/>
          <w:numId w:val="3"/>
        </w:numPr>
        <w:rPr>
          <w:rFonts w:ascii="Arial" w:cs="Arial" w:eastAsia="Arial" w:hAnsi="Arial"/>
          <w:sz w:val="18"/>
          <w:szCs w:val="18"/>
          <w:color w:val="auto"/>
        </w:rPr>
      </w:pPr>
      <w:r>
        <w:rPr>
          <w:rFonts w:ascii="Arial" w:cs="Arial" w:eastAsia="Arial" w:hAnsi="Arial"/>
          <w:sz w:val="18"/>
          <w:szCs w:val="18"/>
          <w:color w:val="auto"/>
        </w:rPr>
        <w:t>Fee paid previously with preliminary materials:</w:t>
      </w:r>
    </w:p>
    <w:p>
      <w:pPr>
        <w:spacing w:after="0" w:line="63" w:lineRule="exact"/>
        <w:rPr>
          <w:rFonts w:ascii="Arial" w:cs="Arial" w:eastAsia="Arial" w:hAnsi="Arial"/>
          <w:sz w:val="18"/>
          <w:szCs w:val="18"/>
          <w:color w:val="auto"/>
        </w:rPr>
      </w:pPr>
    </w:p>
    <w:p>
      <w:pPr>
        <w:ind w:left="520" w:hanging="494"/>
        <w:spacing w:after="0" w:line="249" w:lineRule="auto"/>
        <w:tabs>
          <w:tab w:leader="none" w:pos="520" w:val="left"/>
        </w:tabs>
        <w:numPr>
          <w:ilvl w:val="0"/>
          <w:numId w:val="3"/>
        </w:numPr>
        <w:rPr>
          <w:rFonts w:ascii="Arial" w:cs="Arial" w:eastAsia="Arial" w:hAnsi="Arial"/>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ind w:left="1100" w:hanging="575"/>
        <w:spacing w:after="0"/>
        <w:tabs>
          <w:tab w:leader="none" w:pos="11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681990</wp:posOffset>
            </wp:positionH>
            <wp:positionV relativeFrom="paragraph">
              <wp:posOffset>-559435</wp:posOffset>
            </wp:positionV>
            <wp:extent cx="634365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343650" cy="8255"/>
                    </a:xfrm>
                    <a:prstGeom prst="rect">
                      <a:avLst/>
                    </a:prstGeom>
                    <a:noFill/>
                  </pic:spPr>
                </pic:pic>
              </a:graphicData>
            </a:graphic>
          </wp:anchor>
        </w:drawing>
        <w:drawing>
          <wp:anchor simplePos="0" relativeHeight="251657728" behindDoc="1" locked="0" layoutInCell="0" allowOverlap="1">
            <wp:simplePos x="0" y="0"/>
            <wp:positionH relativeFrom="column">
              <wp:posOffset>681990</wp:posOffset>
            </wp:positionH>
            <wp:positionV relativeFrom="paragraph">
              <wp:posOffset>-902335</wp:posOffset>
            </wp:positionV>
            <wp:extent cx="63436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343650" cy="8255"/>
                    </a:xfrm>
                    <a:prstGeom prst="rect">
                      <a:avLst/>
                    </a:prstGeom>
                    <a:noFill/>
                  </pic:spPr>
                </pic:pic>
              </a:graphicData>
            </a:graphic>
          </wp:anchor>
        </w:drawing>
        <w:drawing>
          <wp:anchor simplePos="0" relativeHeight="251657728" behindDoc="1" locked="0" layoutInCell="0" allowOverlap="1">
            <wp:simplePos x="0" y="0"/>
            <wp:positionH relativeFrom="column">
              <wp:posOffset>681990</wp:posOffset>
            </wp:positionH>
            <wp:positionV relativeFrom="paragraph">
              <wp:posOffset>-1245235</wp:posOffset>
            </wp:positionV>
            <wp:extent cx="634365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343650" cy="8255"/>
                    </a:xfrm>
                    <a:prstGeom prst="rect">
                      <a:avLst/>
                    </a:prstGeom>
                    <a:noFill/>
                  </pic:spPr>
                </pic:pic>
              </a:graphicData>
            </a:graphic>
          </wp:anchor>
        </w:drawing>
        <w:drawing>
          <wp:anchor simplePos="0" relativeHeight="251657728" behindDoc="1" locked="0" layoutInCell="0" allowOverlap="1">
            <wp:simplePos x="0" y="0"/>
            <wp:positionH relativeFrom="column">
              <wp:posOffset>681990</wp:posOffset>
            </wp:positionH>
            <wp:positionV relativeFrom="paragraph">
              <wp:posOffset>-1682115</wp:posOffset>
            </wp:positionV>
            <wp:extent cx="634365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343650" cy="8255"/>
                    </a:xfrm>
                    <a:prstGeom prst="rect">
                      <a:avLst/>
                    </a:prstGeom>
                    <a:noFill/>
                  </pic:spPr>
                </pic:pic>
              </a:graphicData>
            </a:graphic>
          </wp:anchor>
        </w:drawing>
        <w:drawing>
          <wp:anchor simplePos="0" relativeHeight="251657728" behindDoc="1" locked="0" layoutInCell="0" allowOverlap="1">
            <wp:simplePos x="0" y="0"/>
            <wp:positionH relativeFrom="column">
              <wp:posOffset>681990</wp:posOffset>
            </wp:positionH>
            <wp:positionV relativeFrom="paragraph">
              <wp:posOffset>-2025015</wp:posOffset>
            </wp:positionV>
            <wp:extent cx="634365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343650" cy="8255"/>
                    </a:xfrm>
                    <a:prstGeom prst="rect">
                      <a:avLst/>
                    </a:prstGeom>
                    <a:noFill/>
                  </pic:spPr>
                </pic:pic>
              </a:graphicData>
            </a:graphic>
          </wp:anchor>
        </w:drawing>
      </w:r>
    </w:p>
    <w:p>
      <w:pPr>
        <w:sectPr>
          <w:pgSz w:w="11900" w:h="16838" w:orient="portrait"/>
          <w:cols w:equalWidth="0" w:num="1">
            <w:col w:w="11040"/>
          </w:cols>
          <w:pgMar w:left="320" w:top="1440" w:right="539" w:bottom="1440" w:gutter="0" w:footer="0" w:header="0"/>
        </w:sectPr>
      </w:pPr>
    </w:p>
    <w:bookmarkStart w:id="1" w:name="page2"/>
    <w:bookmarkEnd w:id="1"/>
    <w:p>
      <w:pPr>
        <w:spacing w:after="0" w:line="306" w:lineRule="exact"/>
        <w:rPr>
          <w:sz w:val="20"/>
          <w:szCs w:val="20"/>
          <w:color w:val="auto"/>
        </w:rPr>
      </w:pPr>
    </w:p>
    <w:p>
      <w:pPr>
        <w:ind w:left="575" w:hanging="575"/>
        <w:spacing w:after="0"/>
        <w:tabs>
          <w:tab w:leader="none" w:pos="575" w:val="left"/>
        </w:tabs>
        <w:numPr>
          <w:ilvl w:val="0"/>
          <w:numId w:val="4"/>
        </w:numPr>
        <w:rPr>
          <w:rFonts w:ascii="Arial" w:cs="Arial" w:eastAsia="Arial" w:hAnsi="Arial"/>
          <w:sz w:val="16"/>
          <w:szCs w:val="16"/>
          <w:color w:val="auto"/>
        </w:rPr>
      </w:pPr>
      <w:r>
        <w:rPr>
          <w:rFonts w:ascii="Arial" w:cs="Arial" w:eastAsia="Arial" w:hAnsi="Arial"/>
          <w:sz w:val="16"/>
          <w:szCs w:val="16"/>
          <w:color w:val="auto"/>
        </w:rPr>
        <w:t>Form, Schedule or Registration Statement No.:</w:t>
      </w:r>
    </w:p>
    <w:p>
      <w:pPr>
        <w:spacing w:after="0" w:line="356" w:lineRule="exact"/>
        <w:rPr>
          <w:rFonts w:ascii="Arial" w:cs="Arial" w:eastAsia="Arial" w:hAnsi="Arial"/>
          <w:sz w:val="16"/>
          <w:szCs w:val="16"/>
          <w:color w:val="auto"/>
        </w:rPr>
      </w:pPr>
    </w:p>
    <w:p>
      <w:pPr>
        <w:ind w:left="575" w:hanging="575"/>
        <w:spacing w:after="0"/>
        <w:tabs>
          <w:tab w:leader="none" w:pos="575" w:val="left"/>
        </w:tabs>
        <w:numPr>
          <w:ilvl w:val="0"/>
          <w:numId w:val="4"/>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333" w:lineRule="exact"/>
        <w:rPr>
          <w:rFonts w:ascii="Arial" w:cs="Arial" w:eastAsia="Arial" w:hAnsi="Arial"/>
          <w:sz w:val="18"/>
          <w:szCs w:val="18"/>
          <w:color w:val="auto"/>
        </w:rPr>
      </w:pPr>
    </w:p>
    <w:p>
      <w:pPr>
        <w:ind w:left="575" w:hanging="575"/>
        <w:spacing w:after="0"/>
        <w:tabs>
          <w:tab w:leader="none" w:pos="575" w:val="left"/>
        </w:tabs>
        <w:numPr>
          <w:ilvl w:val="0"/>
          <w:numId w:val="4"/>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348615</wp:posOffset>
            </wp:positionH>
            <wp:positionV relativeFrom="paragraph">
              <wp:posOffset>203200</wp:posOffset>
            </wp:positionV>
            <wp:extent cx="634365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343650" cy="8255"/>
                    </a:xfrm>
                    <a:prstGeom prst="rect">
                      <a:avLst/>
                    </a:prstGeom>
                    <a:noFill/>
                  </pic:spPr>
                </pic:pic>
              </a:graphicData>
            </a:graphic>
          </wp:anchor>
        </w:drawing>
        <w:drawing>
          <wp:anchor simplePos="0" relativeHeight="251657728" behindDoc="1" locked="0" layoutInCell="0" allowOverlap="1">
            <wp:simplePos x="0" y="0"/>
            <wp:positionH relativeFrom="column">
              <wp:posOffset>348615</wp:posOffset>
            </wp:positionH>
            <wp:positionV relativeFrom="paragraph">
              <wp:posOffset>-139065</wp:posOffset>
            </wp:positionV>
            <wp:extent cx="634365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343650" cy="8255"/>
                    </a:xfrm>
                    <a:prstGeom prst="rect">
                      <a:avLst/>
                    </a:prstGeom>
                    <a:noFill/>
                  </pic:spPr>
                </pic:pic>
              </a:graphicData>
            </a:graphic>
          </wp:anchor>
        </w:drawing>
        <w:drawing>
          <wp:anchor simplePos="0" relativeHeight="251657728" behindDoc="1" locked="0" layoutInCell="0" allowOverlap="1">
            <wp:simplePos x="0" y="0"/>
            <wp:positionH relativeFrom="column">
              <wp:posOffset>348615</wp:posOffset>
            </wp:positionH>
            <wp:positionV relativeFrom="paragraph">
              <wp:posOffset>-481965</wp:posOffset>
            </wp:positionV>
            <wp:extent cx="634365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343650" cy="8255"/>
                    </a:xfrm>
                    <a:prstGeom prst="rect">
                      <a:avLst/>
                    </a:prstGeom>
                    <a:noFill/>
                  </pic:spPr>
                </pic:pic>
              </a:graphicData>
            </a:graphic>
          </wp:anchor>
        </w:drawing>
        <w:drawing>
          <wp:anchor simplePos="0" relativeHeight="251657728" behindDoc="1" locked="0" layoutInCell="0" allowOverlap="1">
            <wp:simplePos x="0" y="0"/>
            <wp:positionH relativeFrom="column">
              <wp:posOffset>348615</wp:posOffset>
            </wp:positionH>
            <wp:positionV relativeFrom="paragraph">
              <wp:posOffset>-824865</wp:posOffset>
            </wp:positionV>
            <wp:extent cx="634365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343650" cy="8255"/>
                    </a:xfrm>
                    <a:prstGeom prst="rect">
                      <a:avLst/>
                    </a:prstGeom>
                    <a:noFill/>
                  </pic:spPr>
                </pic:pic>
              </a:graphicData>
            </a:graphic>
          </wp:anchor>
        </w:drawing>
      </w:r>
    </w:p>
    <w:p>
      <w:pPr>
        <w:sectPr>
          <w:pgSz w:w="11900" w:h="16838" w:orient="portrait"/>
          <w:cols w:equalWidth="0" w:num="1">
            <w:col w:w="9614"/>
          </w:cols>
          <w:pgMar w:left="845" w:top="1440" w:right="1440" w:bottom="1440" w:gutter="0" w:footer="0" w:header="0"/>
        </w:sectPr>
      </w:pPr>
    </w:p>
    <w:bookmarkStart w:id="2" w:name="page3"/>
    <w:bookmarkEnd w:id="2"/>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NEWTEK BUSINESS SERVICES CORP.</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4800 T-Rex Avenue, Suite 120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Boca Raton, FL 33431</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(212) 356-9500</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June 11,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Shareholder:</w:t>
      </w:r>
    </w:p>
    <w:p>
      <w:pPr>
        <w:spacing w:after="0" w:line="225" w:lineRule="exact"/>
        <w:rPr>
          <w:sz w:val="20"/>
          <w:szCs w:val="20"/>
          <w:color w:val="auto"/>
        </w:rPr>
      </w:pPr>
    </w:p>
    <w:p>
      <w:pPr>
        <w:ind w:firstLine="432"/>
        <w:spacing w:after="0" w:line="254" w:lineRule="auto"/>
        <w:rPr>
          <w:sz w:val="20"/>
          <w:szCs w:val="20"/>
          <w:color w:val="auto"/>
        </w:rPr>
      </w:pPr>
      <w:r>
        <w:rPr>
          <w:rFonts w:ascii="Arial" w:cs="Arial" w:eastAsia="Arial" w:hAnsi="Arial"/>
          <w:sz w:val="18"/>
          <w:szCs w:val="18"/>
          <w:color w:val="auto"/>
        </w:rPr>
        <w:t xml:space="preserve">We invite you to attend the Special Meeting of Shareholders (the “Meeting”) of Newtek Business Services Corp. (the “Company”) to be held electronically via live webcast on July 12, 2021 at 9:00 a.m., Eastern Daylight Time. Due to the public health impact of the coronavirus, or COVID-19, pandemic, and to support the health and well-being of our shareholders, service providers, personnel and other stakeholders, the Meeting will be held solely on the internet by virtual means. The live webcast will be accessible over the internet at </w:t>
      </w:r>
      <w:r>
        <w:rPr>
          <w:rFonts w:ascii="Arial" w:cs="Arial" w:eastAsia="Arial" w:hAnsi="Arial"/>
          <w:sz w:val="18"/>
          <w:szCs w:val="18"/>
          <w:i w:val="1"/>
          <w:iCs w:val="1"/>
          <w:color w:val="auto"/>
        </w:rPr>
        <w:t>https://web.lumiagm.com/220440912</w:t>
      </w:r>
      <w:r>
        <w:rPr>
          <w:rFonts w:ascii="Arial" w:cs="Arial" w:eastAsia="Arial" w:hAnsi="Arial"/>
          <w:sz w:val="18"/>
          <w:szCs w:val="18"/>
          <w:color w:val="auto"/>
        </w:rPr>
        <w:t>. Shareholders will NOT be able to attend the Meeting in-person. However, a shareholder may request the Company to provide a physical location from which to access the virtual meeting, subject to any restrictions in effect under federal or state law. Shareholders must submit their request for a physical location to the Company by close of business on July 5, 2021.</w:t>
      </w:r>
    </w:p>
    <w:p>
      <w:pPr>
        <w:spacing w:after="0" w:line="195" w:lineRule="exact"/>
        <w:rPr>
          <w:sz w:val="20"/>
          <w:szCs w:val="20"/>
          <w:color w:val="auto"/>
        </w:rPr>
      </w:pPr>
    </w:p>
    <w:p>
      <w:pPr>
        <w:ind w:right="480" w:firstLine="432"/>
        <w:spacing w:after="0" w:line="258" w:lineRule="auto"/>
        <w:rPr>
          <w:sz w:val="20"/>
          <w:szCs w:val="20"/>
          <w:color w:val="auto"/>
        </w:rPr>
      </w:pPr>
      <w:r>
        <w:rPr>
          <w:rFonts w:ascii="Arial" w:cs="Arial" w:eastAsia="Arial" w:hAnsi="Arial"/>
          <w:sz w:val="18"/>
          <w:szCs w:val="18"/>
          <w:color w:val="auto"/>
        </w:rPr>
        <w:t>The attached Notice of Special Meeting and Proxy Statement accompanying this letter provide an outline of the business to be conducted at the meeting. At the Meeting, you will be asked to consider and vote upon the following proposals:</w:t>
      </w:r>
    </w:p>
    <w:p>
      <w:pPr>
        <w:spacing w:after="0" w:line="1" w:lineRule="exact"/>
        <w:rPr>
          <w:sz w:val="20"/>
          <w:szCs w:val="20"/>
          <w:color w:val="auto"/>
        </w:rPr>
      </w:pPr>
    </w:p>
    <w:p>
      <w:pPr>
        <w:ind w:left="660" w:right="40" w:hanging="328"/>
        <w:spacing w:after="0" w:line="255" w:lineRule="auto"/>
        <w:tabs>
          <w:tab w:leader="none" w:pos="705"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approve a proposal to authorize flexibility for the Company, with approval of its Board of Directors, to sell shares of its common stock (during the next 12 months) at a price below its then current net asset value per share subject to certain conditions as set forth in the accompanying Proxy Statement;</w:t>
      </w:r>
    </w:p>
    <w:p>
      <w:pPr>
        <w:spacing w:after="0" w:line="216"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approve a proposal to adjourn the Meeting, if necessary or appropriate, to solicit additional proxies; and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meeting, or any postponement of adjournment thereof.</w:t>
      </w:r>
    </w:p>
    <w:p>
      <w:pPr>
        <w:spacing w:after="0" w:line="23" w:lineRule="exact"/>
        <w:rPr>
          <w:sz w:val="20"/>
          <w:szCs w:val="20"/>
          <w:color w:val="auto"/>
        </w:rPr>
      </w:pPr>
    </w:p>
    <w:p>
      <w:pPr>
        <w:ind w:right="40" w:firstLine="405"/>
        <w:spacing w:after="0" w:line="271" w:lineRule="auto"/>
        <w:rPr>
          <w:sz w:val="20"/>
          <w:szCs w:val="20"/>
          <w:color w:val="auto"/>
        </w:rPr>
      </w:pPr>
      <w:r>
        <w:rPr>
          <w:rFonts w:ascii="Arial" w:cs="Arial" w:eastAsia="Arial" w:hAnsi="Arial"/>
          <w:sz w:val="17"/>
          <w:szCs w:val="17"/>
          <w:b w:val="1"/>
          <w:bCs w:val="1"/>
          <w:color w:val="auto"/>
        </w:rPr>
        <w:t xml:space="preserve">YOUR VOTE IS IMPORTANT, REGARDLESS OF THE NUMBER OF SHARES YOU OWN. </w:t>
      </w:r>
      <w:r>
        <w:rPr>
          <w:rFonts w:ascii="Arial" w:cs="Arial" w:eastAsia="Arial" w:hAnsi="Arial"/>
          <w:sz w:val="17"/>
          <w:szCs w:val="17"/>
          <w:color w:val="auto"/>
        </w:rPr>
        <w:t>On behalf of the Company’s Board of</w:t>
      </w:r>
      <w:r>
        <w:rPr>
          <w:rFonts w:ascii="Arial" w:cs="Arial" w:eastAsia="Arial" w:hAnsi="Arial"/>
          <w:sz w:val="17"/>
          <w:szCs w:val="17"/>
          <w:b w:val="1"/>
          <w:bCs w:val="1"/>
          <w:color w:val="auto"/>
        </w:rPr>
        <w:t xml:space="preserve"> </w:t>
      </w:r>
      <w:r>
        <w:rPr>
          <w:rFonts w:ascii="Arial" w:cs="Arial" w:eastAsia="Arial" w:hAnsi="Arial"/>
          <w:sz w:val="17"/>
          <w:szCs w:val="17"/>
          <w:color w:val="auto"/>
        </w:rPr>
        <w:t>Directors, we urge you even if you plan to attend the Meeting virtually, to complete, date and sign the enclosed Proxy Card and promptly return it in the envelope provided. If you prefer, you can save time by authorizing your proxy through the Internet or by telephone as described in the Proxy Statement and on the enclosed Proxy Card. This will not prevent you from voting during the Meeting, but will assure that your vote is counted if you are unable to attend the Meeting. Your vote and participation in the governance of the Company is very important to us.</w:t>
      </w:r>
    </w:p>
    <w:p>
      <w:pPr>
        <w:spacing w:after="0" w:line="3"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Sincerely yours,</w:t>
      </w:r>
    </w:p>
    <w:p>
      <w:pPr>
        <w:spacing w:after="0" w:line="23"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/s/ Barry Sloane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3519805</wp:posOffset>
            </wp:positionH>
            <wp:positionV relativeFrom="paragraph">
              <wp:posOffset>14605</wp:posOffset>
            </wp:positionV>
            <wp:extent cx="361759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617595" cy="8890"/>
                    </a:xfrm>
                    <a:prstGeom prst="rect">
                      <a:avLst/>
                    </a:prstGeom>
                    <a:noFill/>
                  </pic:spPr>
                </pic:pic>
              </a:graphicData>
            </a:graphic>
          </wp:anchor>
        </w:drawing>
      </w:r>
    </w:p>
    <w:p>
      <w:pPr>
        <w:spacing w:after="0" w:line="15"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Barry Sloane</w:t>
      </w:r>
    </w:p>
    <w:p>
      <w:pPr>
        <w:spacing w:after="0" w:line="23"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Chairman, President and Chief Executive Officer</w:t>
      </w:r>
    </w:p>
    <w:p>
      <w:pPr>
        <w:sectPr>
          <w:pgSz w:w="11900" w:h="16838" w:orient="portrait"/>
          <w:cols w:equalWidth="0" w:num="1">
            <w:col w:w="11240"/>
          </w:cols>
          <w:pgMar w:left="320" w:top="1440" w:right="339" w:bottom="1440" w:gutter="0" w:footer="0" w:header="0"/>
        </w:sectPr>
      </w:pPr>
    </w:p>
    <w:bookmarkStart w:id="3" w:name="page4"/>
    <w:bookmarkEnd w:id="3"/>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NEWTEK BUSINESS SERVICES CORP.</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4800 T-Rex Avenue, Suite 120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Boca Raton, FL 33431</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(212) 356-9500</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NOTICE OF SPECIAL MEETING OF SHAREHOLDERS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To Be Held on July 12, 2021</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the Shareholders of Newtek Business Services Corp.:</w:t>
      </w:r>
    </w:p>
    <w:p>
      <w:pPr>
        <w:spacing w:after="0" w:line="252" w:lineRule="exact"/>
        <w:rPr>
          <w:sz w:val="20"/>
          <w:szCs w:val="20"/>
          <w:color w:val="auto"/>
        </w:rPr>
      </w:pPr>
    </w:p>
    <w:p>
      <w:pPr>
        <w:ind w:right="120" w:firstLine="432"/>
        <w:spacing w:after="0" w:line="255" w:lineRule="auto"/>
        <w:rPr>
          <w:sz w:val="20"/>
          <w:szCs w:val="20"/>
          <w:color w:val="auto"/>
        </w:rPr>
      </w:pPr>
      <w:r>
        <w:rPr>
          <w:rFonts w:ascii="Arial" w:cs="Arial" w:eastAsia="Arial" w:hAnsi="Arial"/>
          <w:sz w:val="18"/>
          <w:szCs w:val="18"/>
          <w:b w:val="1"/>
          <w:bCs w:val="1"/>
          <w:color w:val="auto"/>
        </w:rPr>
        <w:t xml:space="preserve">NOTICE IS HEREBY GIVEN </w:t>
      </w:r>
      <w:r>
        <w:rPr>
          <w:rFonts w:ascii="Arial" w:cs="Arial" w:eastAsia="Arial" w:hAnsi="Arial"/>
          <w:sz w:val="18"/>
          <w:szCs w:val="18"/>
          <w:color w:val="auto"/>
        </w:rPr>
        <w:t>that a Special Meeting of Shareholders (the “Meeting”) of Newtek Business Services Corp. (the “Company”) will</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be held electronically via live webcast on July 12, 2021 at 9:00 a.m., Eastern Daylight Time. Due to the public health impact of the coronavirus, or COVID-19, pandemic, and to support the health and well-being of our shareholders, service providers, personnel and other stakeholders, the Meeting will be held solely on the internet by virtual means. The live webcast will be accessible over the internet at </w:t>
      </w:r>
      <w:r>
        <w:rPr>
          <w:rFonts w:ascii="Arial" w:cs="Arial" w:eastAsia="Arial" w:hAnsi="Arial"/>
          <w:sz w:val="18"/>
          <w:szCs w:val="18"/>
          <w:i w:val="1"/>
          <w:iCs w:val="1"/>
          <w:color w:val="auto"/>
        </w:rPr>
        <w:t>https://web.lumiagm.com/220440912</w:t>
      </w:r>
      <w:r>
        <w:rPr>
          <w:rFonts w:ascii="Arial" w:cs="Arial" w:eastAsia="Arial" w:hAnsi="Arial"/>
          <w:sz w:val="18"/>
          <w:szCs w:val="18"/>
          <w:color w:val="auto"/>
        </w:rPr>
        <w:t>. Shareholders will NOT be able to attend the Meeting in-person. However, a shareholder may request the Company to provide a physical location from which to access the virtual Meeting, subject to any restrictions in effect under federal or state law. Shareholders must submit their request for a physical location to the Company by close of business on July 5, 2021.</w:t>
      </w:r>
    </w:p>
    <w:p>
      <w:pPr>
        <w:spacing w:after="0" w:line="1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Meeting is for the following purposes, which are more completely described in the accompanying Proxy Statement:</w:t>
      </w:r>
    </w:p>
    <w:p>
      <w:pPr>
        <w:spacing w:after="0" w:line="117" w:lineRule="exact"/>
        <w:rPr>
          <w:sz w:val="20"/>
          <w:szCs w:val="20"/>
          <w:color w:val="auto"/>
        </w:rPr>
      </w:pPr>
    </w:p>
    <w:p>
      <w:pPr>
        <w:ind w:left="660" w:right="20" w:hanging="247"/>
        <w:spacing w:after="0" w:line="263"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approve a proposal to authorize the Company to sell shares of its common stock, par value $0.02 per share, at a price below the then current net asset value per share of such common stock in one or multiple offerings (subject to certain limitations described in the accompanying Proxy Statement) (“Proposal 1”);</w:t>
      </w:r>
    </w:p>
    <w:p>
      <w:pPr>
        <w:spacing w:after="0" w:line="75" w:lineRule="exact"/>
        <w:rPr>
          <w:rFonts w:ascii="Arial" w:cs="Arial" w:eastAsia="Arial" w:hAnsi="Arial"/>
          <w:sz w:val="18"/>
          <w:szCs w:val="18"/>
          <w:color w:val="auto"/>
        </w:rPr>
      </w:pPr>
    </w:p>
    <w:p>
      <w:pPr>
        <w:ind w:left="660" w:hanging="247"/>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approve a proposal to adjourn the Meeting, if necessary or appropriate, to solicit additional proxies (“Proposal 2,” and together with Proposal 1, the “Proposals”); and</w:t>
      </w:r>
    </w:p>
    <w:p>
      <w:pPr>
        <w:spacing w:after="0" w:line="62" w:lineRule="exact"/>
        <w:rPr>
          <w:rFonts w:ascii="Arial" w:cs="Arial" w:eastAsia="Arial" w:hAnsi="Arial"/>
          <w:sz w:val="18"/>
          <w:szCs w:val="18"/>
          <w:color w:val="auto"/>
        </w:rPr>
      </w:pPr>
    </w:p>
    <w:p>
      <w:pPr>
        <w:ind w:left="660" w:hanging="247"/>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meeting, or any postponement of adjournment thereof.</w:t>
      </w:r>
    </w:p>
    <w:p>
      <w:pPr>
        <w:spacing w:after="0" w:line="252" w:lineRule="exact"/>
        <w:rPr>
          <w:sz w:val="20"/>
          <w:szCs w:val="20"/>
          <w:color w:val="auto"/>
        </w:rPr>
      </w:pPr>
    </w:p>
    <w:p>
      <w:pPr>
        <w:ind w:left="440"/>
        <w:spacing w:after="0"/>
        <w:rPr>
          <w:sz w:val="20"/>
          <w:szCs w:val="20"/>
          <w:color w:val="auto"/>
        </w:rPr>
      </w:pPr>
      <w:r>
        <w:rPr>
          <w:rFonts w:ascii="Arial" w:cs="Arial" w:eastAsia="Arial" w:hAnsi="Arial"/>
          <w:sz w:val="17"/>
          <w:szCs w:val="17"/>
          <w:color w:val="auto"/>
        </w:rPr>
        <w:t>Shareholders of record at the close of business on May 28, 2021 are entitled to vote on-line during the Meeting and any adjournment thereof.</w:t>
      </w:r>
    </w:p>
    <w:p>
      <w:pPr>
        <w:spacing w:after="0" w:line="264" w:lineRule="exact"/>
        <w:rPr>
          <w:sz w:val="20"/>
          <w:szCs w:val="20"/>
          <w:color w:val="auto"/>
        </w:rPr>
      </w:pPr>
    </w:p>
    <w:p>
      <w:pPr>
        <w:jc w:val="both"/>
        <w:ind w:right="420" w:firstLine="432"/>
        <w:spacing w:after="0" w:line="263" w:lineRule="auto"/>
        <w:rPr>
          <w:sz w:val="20"/>
          <w:szCs w:val="20"/>
          <w:color w:val="auto"/>
        </w:rPr>
      </w:pPr>
      <w:r>
        <w:rPr>
          <w:rFonts w:ascii="Arial" w:cs="Arial" w:eastAsia="Arial" w:hAnsi="Arial"/>
          <w:sz w:val="18"/>
          <w:szCs w:val="18"/>
          <w:color w:val="auto"/>
        </w:rPr>
        <w:t>We ask that you complete and sign the enclosed Proxy Card which is solicited by the Board of Directors and to mail it promptly in the enclosed envelope. You may also cast your vote by telephone or Internet as shown on the Proxy Card. The proxy will not be used if you attend and vote on-line during the Meeting.</w:t>
      </w:r>
    </w:p>
    <w:p>
      <w:pPr>
        <w:spacing w:after="0" w:line="251"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BY ORDER OF THE BOARD OF DIRECTORS</w:t>
      </w:r>
    </w:p>
    <w:p>
      <w:pPr>
        <w:spacing w:after="0" w:line="23"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/s/ BARRY SLOANE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2902585</wp:posOffset>
            </wp:positionH>
            <wp:positionV relativeFrom="paragraph">
              <wp:posOffset>14605</wp:posOffset>
            </wp:positionV>
            <wp:extent cx="423481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234815" cy="8255"/>
                    </a:xfrm>
                    <a:prstGeom prst="rect">
                      <a:avLst/>
                    </a:prstGeom>
                    <a:noFill/>
                  </pic:spPr>
                </pic:pic>
              </a:graphicData>
            </a:graphic>
          </wp:anchor>
        </w:drawing>
      </w:r>
    </w:p>
    <w:p>
      <w:pPr>
        <w:spacing w:after="0" w:line="15"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BARRY SLOANE</w:t>
      </w:r>
    </w:p>
    <w:p>
      <w:pPr>
        <w:spacing w:after="0" w:line="23"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CHAIRMAN, CHIEF EXECUTIVE OFFICER and PRESIDENT</w:t>
      </w:r>
    </w:p>
    <w:p>
      <w:pPr>
        <w:spacing w:after="0" w:line="332"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Boca Raton, Florida</w:t>
      </w:r>
    </w:p>
    <w:p>
      <w:pPr>
        <w:spacing w:after="0" w:line="77"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June 11,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089140" cy="8743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089140" cy="874395"/>
                    </a:xfrm>
                    <a:prstGeom prst="rect">
                      <a:avLst/>
                    </a:prstGeom>
                    <a:noFill/>
                  </pic:spPr>
                </pic:pic>
              </a:graphicData>
            </a:graphic>
          </wp:anchor>
        </w:drawing>
      </w:r>
    </w:p>
    <w:p>
      <w:pPr>
        <w:spacing w:after="0" w:line="200" w:lineRule="exact"/>
        <w:rPr>
          <w:sz w:val="20"/>
          <w:szCs w:val="20"/>
          <w:color w:val="auto"/>
        </w:rPr>
      </w:pPr>
    </w:p>
    <w:p>
      <w:pPr>
        <w:spacing w:after="0" w:line="393" w:lineRule="exact"/>
        <w:rPr>
          <w:sz w:val="20"/>
          <w:szCs w:val="20"/>
          <w:color w:val="auto"/>
        </w:rPr>
      </w:pPr>
    </w:p>
    <w:p>
      <w:pPr>
        <w:ind w:left="40" w:right="180"/>
        <w:spacing w:after="0" w:line="258" w:lineRule="auto"/>
        <w:rPr>
          <w:sz w:val="20"/>
          <w:szCs w:val="20"/>
          <w:color w:val="auto"/>
        </w:rPr>
      </w:pPr>
      <w:r>
        <w:rPr>
          <w:rFonts w:ascii="Arial" w:cs="Arial" w:eastAsia="Arial" w:hAnsi="Arial"/>
          <w:sz w:val="18"/>
          <w:szCs w:val="18"/>
          <w:b w:val="1"/>
          <w:bCs w:val="1"/>
          <w:color w:val="auto"/>
        </w:rPr>
        <w:t xml:space="preserve">IMPORTANT: </w:t>
      </w:r>
      <w:r>
        <w:rPr>
          <w:rFonts w:ascii="Arial" w:cs="Arial" w:eastAsia="Arial" w:hAnsi="Arial"/>
          <w:sz w:val="18"/>
          <w:szCs w:val="18"/>
          <w:color w:val="auto"/>
        </w:rPr>
        <w:t>THE PROMPT RETURN OF PROXIES WILL SAVE THE COMPANY THE EXPENSE OF A FURTHER REQUEST FOR PROXIES</w:t>
      </w:r>
      <w:r>
        <w:rPr>
          <w:rFonts w:ascii="Arial" w:cs="Arial" w:eastAsia="Arial" w:hAnsi="Arial"/>
          <w:sz w:val="18"/>
          <w:szCs w:val="18"/>
          <w:b w:val="1"/>
          <w:bCs w:val="1"/>
          <w:color w:val="auto"/>
        </w:rPr>
        <w:t xml:space="preserve"> </w:t>
      </w:r>
      <w:r>
        <w:rPr>
          <w:rFonts w:ascii="Arial" w:cs="Arial" w:eastAsia="Arial" w:hAnsi="Arial"/>
          <w:sz w:val="18"/>
          <w:szCs w:val="18"/>
          <w:color w:val="auto"/>
        </w:rPr>
        <w:t>IN ORDER TO ENSURE A QUORUM. A SELF-ADDRESSED ENVELOPE IS ENCLOSED FOR YOUR CONVENIENCE. NO POSTAGE IS REQUIRED IF MAILED WITHIN THE UNITED STATES. EVEN IF YOU VOTE YOUR SHARES PRIOR TO THE MEETING, YOU STILL MAY VIRTUALLY ATTEND THE MEETING AND VOTE YOUR SHARES ELECTRONICALLY DURING THE LIVE WEBCAST IF YOU WISH TO CHANGE YOUR VOTE.</w:t>
      </w:r>
    </w:p>
    <w:p>
      <w:pPr>
        <w:sectPr>
          <w:pgSz w:w="11900" w:h="16838" w:orient="portrait"/>
          <w:cols w:equalWidth="0" w:num="1">
            <w:col w:w="11240"/>
          </w:cols>
          <w:pgMar w:left="320" w:top="1440" w:right="33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8"/>
          <w:szCs w:val="18"/>
          <w:b w:val="1"/>
          <w:bCs w:val="1"/>
          <w:color w:val="auto"/>
        </w:rPr>
        <w:t>PROXY STATEMENT</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NEWTEK BUSINESS SERVICES CORP.</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4800 T-Rex Avenue, Suite 120</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Boca Raton, FL 33431 (212) 356-9500</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SPECIAL MEETING OF SHAREHOLDERS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TO BE HELD JULY 12, 2021</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INTRODUCTION</w:t>
      </w:r>
    </w:p>
    <w:p>
      <w:pPr>
        <w:spacing w:after="0" w:line="162" w:lineRule="exact"/>
        <w:rPr>
          <w:sz w:val="20"/>
          <w:szCs w:val="20"/>
          <w:color w:val="auto"/>
        </w:rPr>
      </w:pPr>
    </w:p>
    <w:p>
      <w:pPr>
        <w:ind w:right="40" w:firstLine="324"/>
        <w:spacing w:after="0" w:line="291" w:lineRule="auto"/>
        <w:rPr>
          <w:sz w:val="20"/>
          <w:szCs w:val="20"/>
          <w:color w:val="auto"/>
        </w:rPr>
      </w:pPr>
      <w:r>
        <w:rPr>
          <w:rFonts w:ascii="Arial" w:cs="Arial" w:eastAsia="Arial" w:hAnsi="Arial"/>
          <w:sz w:val="16"/>
          <w:szCs w:val="16"/>
          <w:color w:val="auto"/>
        </w:rPr>
        <w:t xml:space="preserve">This Proxy Statement is furnished in connection with the solicitation of proxies by the Board of Directors of Newtek Business Services Corp. (the “Company”) for the Special Meeting of Shareholders (the “Meeting”) to be held electronically via live webcast on July 12, 2021 at 9:00 a.m., Eastern Daylight Time. Due to the public health impact of the coronavirus, or COVID-19, pandemic, and to support the health and well-being of the Company’s shareholders, service providers, personnel and other stakeholders, the Meeting will be held solely on the internet by virtual means. The live webcast will be accessible over the internet at </w:t>
      </w:r>
      <w:r>
        <w:rPr>
          <w:rFonts w:ascii="Arial" w:cs="Arial" w:eastAsia="Arial" w:hAnsi="Arial"/>
          <w:sz w:val="16"/>
          <w:szCs w:val="16"/>
          <w:i w:val="1"/>
          <w:iCs w:val="1"/>
          <w:color w:val="auto"/>
        </w:rPr>
        <w:t>https://web.lumiagm.com/220440912</w:t>
      </w:r>
      <w:r>
        <w:rPr>
          <w:rFonts w:ascii="Arial" w:cs="Arial" w:eastAsia="Arial" w:hAnsi="Arial"/>
          <w:sz w:val="16"/>
          <w:szCs w:val="16"/>
          <w:color w:val="auto"/>
        </w:rPr>
        <w:t>. Shareholders will NOT be able to attend the Meeting in-person. However, a shareholder may request the Company to provide a physical location from which to access the virtual meeting, subject to any restrictions in effect under federal or state law. Shareholders must submit their request for a physical location to the Company by close of business on July 5, 2021.</w:t>
      </w:r>
    </w:p>
    <w:p>
      <w:pPr>
        <w:spacing w:after="0" w:line="85"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The accompanying Notice of Special Meeting and this Proxy Statement, together with the enclosed Proxy Card (collectively, the “Proxy Statement”), are first being mailed to shareholders on or about June 11, 2021.</w:t>
      </w:r>
    </w:p>
    <w:p>
      <w:pPr>
        <w:spacing w:after="0" w:line="166" w:lineRule="exact"/>
        <w:rPr>
          <w:sz w:val="20"/>
          <w:szCs w:val="20"/>
          <w:color w:val="auto"/>
        </w:rPr>
      </w:pPr>
    </w:p>
    <w:p>
      <w:pPr>
        <w:ind w:left="2060"/>
        <w:spacing w:after="0"/>
        <w:rPr>
          <w:sz w:val="20"/>
          <w:szCs w:val="20"/>
          <w:color w:val="auto"/>
        </w:rPr>
      </w:pPr>
      <w:r>
        <w:rPr>
          <w:rFonts w:ascii="Arial" w:cs="Arial" w:eastAsia="Arial" w:hAnsi="Arial"/>
          <w:sz w:val="18"/>
          <w:szCs w:val="18"/>
          <w:b w:val="1"/>
          <w:bCs w:val="1"/>
          <w:color w:val="auto"/>
        </w:rPr>
        <w:t>BELOW IS IMPORTANT INFORMATION ABOUT HOW YOU MAY OBTAIN VIRTUAL</w:t>
      </w:r>
    </w:p>
    <w:p>
      <w:pPr>
        <w:spacing w:after="0" w:line="27"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ACCESS TO THE MEETING AND VOTE YOUR SHARES.</w:t>
      </w:r>
    </w:p>
    <w:p>
      <w:pPr>
        <w:spacing w:after="0" w:line="20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Attending the Meeting Virtually</w:t>
      </w:r>
    </w:p>
    <w:p>
      <w:pPr>
        <w:spacing w:after="0" w:line="162"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color w:val="auto"/>
        </w:rPr>
        <w:t xml:space="preserve">Only record or beneficial owners of the Company’s common stock as of the close of business on May 28, 2021 (the “Record Date”) or their proxies may virtually attend the Meeting. To participate in the virtual Meeting, go to </w:t>
      </w:r>
      <w:r>
        <w:rPr>
          <w:rFonts w:ascii="Arial" w:cs="Arial" w:eastAsia="Arial" w:hAnsi="Arial"/>
          <w:sz w:val="18"/>
          <w:szCs w:val="18"/>
          <w:i w:val="1"/>
          <w:iCs w:val="1"/>
          <w:color w:val="auto"/>
        </w:rPr>
        <w:t>https://web.lumiagm.com/220440912</w:t>
      </w:r>
      <w:r>
        <w:rPr>
          <w:rFonts w:ascii="Arial" w:cs="Arial" w:eastAsia="Arial" w:hAnsi="Arial"/>
          <w:sz w:val="18"/>
          <w:szCs w:val="18"/>
          <w:color w:val="auto"/>
        </w:rPr>
        <w:t>.</w:t>
      </w:r>
    </w:p>
    <w:p>
      <w:pPr>
        <w:spacing w:after="0" w:line="99" w:lineRule="exact"/>
        <w:rPr>
          <w:sz w:val="20"/>
          <w:szCs w:val="20"/>
          <w:color w:val="auto"/>
        </w:rPr>
      </w:pPr>
    </w:p>
    <w:p>
      <w:pPr>
        <w:ind w:right="100" w:firstLine="324"/>
        <w:spacing w:after="0" w:line="314" w:lineRule="auto"/>
        <w:rPr>
          <w:sz w:val="20"/>
          <w:szCs w:val="20"/>
          <w:color w:val="auto"/>
        </w:rPr>
      </w:pPr>
      <w:r>
        <w:rPr>
          <w:rFonts w:ascii="Arial" w:cs="Arial" w:eastAsia="Arial" w:hAnsi="Arial"/>
          <w:sz w:val="16"/>
          <w:szCs w:val="16"/>
          <w:color w:val="auto"/>
        </w:rPr>
        <w:t xml:space="preserve">If you are a </w:t>
      </w:r>
      <w:r>
        <w:rPr>
          <w:rFonts w:ascii="Arial" w:cs="Arial" w:eastAsia="Arial" w:hAnsi="Arial"/>
          <w:sz w:val="16"/>
          <w:szCs w:val="16"/>
          <w:b w:val="1"/>
          <w:bCs w:val="1"/>
          <w:color w:val="auto"/>
        </w:rPr>
        <w:t>shareholder of record</w:t>
      </w:r>
      <w:r>
        <w:rPr>
          <w:rFonts w:ascii="Arial" w:cs="Arial" w:eastAsia="Arial" w:hAnsi="Arial"/>
          <w:sz w:val="16"/>
          <w:szCs w:val="16"/>
          <w:color w:val="auto"/>
        </w:rPr>
        <w:t xml:space="preserve"> as of May 28, 2021, the Record Date for the Meeting, you should go to </w:t>
      </w:r>
      <w:r>
        <w:rPr>
          <w:rFonts w:ascii="Arial" w:cs="Arial" w:eastAsia="Arial" w:hAnsi="Arial"/>
          <w:sz w:val="16"/>
          <w:szCs w:val="16"/>
          <w:i w:val="1"/>
          <w:iCs w:val="1"/>
          <w:color w:val="auto"/>
        </w:rPr>
        <w:t>https://web.lumiagm.com/220440912</w:t>
      </w:r>
      <w:r>
        <w:rPr>
          <w:rFonts w:ascii="Arial" w:cs="Arial" w:eastAsia="Arial" w:hAnsi="Arial"/>
          <w:sz w:val="16"/>
          <w:szCs w:val="16"/>
          <w:color w:val="auto"/>
        </w:rPr>
        <w:t xml:space="preserve"> prior to the start of the Meeting at 9:00 a.m., Eastern Daylight Time, on July 12, 2021, click on “I have a login,” enter the control number found on your Proxy Card or Notice of Internet Availability of Proxy Materials you previously received, and enter the password “newtek2021” (the password is case sensitive).</w:t>
      </w:r>
    </w:p>
    <w:p>
      <w:pPr>
        <w:spacing w:after="0" w:line="61" w:lineRule="exact"/>
        <w:rPr>
          <w:sz w:val="20"/>
          <w:szCs w:val="20"/>
          <w:color w:val="auto"/>
        </w:rPr>
      </w:pPr>
    </w:p>
    <w:p>
      <w:pPr>
        <w:ind w:firstLine="324"/>
        <w:spacing w:after="0" w:line="274" w:lineRule="auto"/>
        <w:rPr>
          <w:sz w:val="20"/>
          <w:szCs w:val="20"/>
          <w:color w:val="auto"/>
        </w:rPr>
      </w:pPr>
      <w:r>
        <w:rPr>
          <w:rFonts w:ascii="Arial" w:cs="Arial" w:eastAsia="Arial" w:hAnsi="Arial"/>
          <w:sz w:val="17"/>
          <w:szCs w:val="17"/>
          <w:color w:val="auto"/>
        </w:rPr>
        <w:t>If your shares are held in “</w:t>
      </w:r>
      <w:r>
        <w:rPr>
          <w:rFonts w:ascii="Arial" w:cs="Arial" w:eastAsia="Arial" w:hAnsi="Arial"/>
          <w:sz w:val="17"/>
          <w:szCs w:val="17"/>
          <w:b w:val="1"/>
          <w:bCs w:val="1"/>
          <w:color w:val="auto"/>
        </w:rPr>
        <w:t>street name</w:t>
      </w:r>
      <w:r>
        <w:rPr>
          <w:rFonts w:ascii="Arial" w:cs="Arial" w:eastAsia="Arial" w:hAnsi="Arial"/>
          <w:sz w:val="17"/>
          <w:szCs w:val="17"/>
          <w:color w:val="auto"/>
        </w:rPr>
        <w:t xml:space="preserve">” through a broker, bank or other nominee, </w:t>
      </w:r>
      <w:r>
        <w:rPr>
          <w:rFonts w:ascii="Arial" w:cs="Arial" w:eastAsia="Arial" w:hAnsi="Arial"/>
          <w:sz w:val="17"/>
          <w:szCs w:val="17"/>
          <w:b w:val="1"/>
          <w:bCs w:val="1"/>
          <w:color w:val="auto"/>
        </w:rPr>
        <w:t>in order to participate in the virtual Meeting you must first</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obtain a legal proxy from your broker, bank or other nominee </w:t>
      </w:r>
      <w:r>
        <w:rPr>
          <w:rFonts w:ascii="Arial" w:cs="Arial" w:eastAsia="Arial" w:hAnsi="Arial"/>
          <w:sz w:val="17"/>
          <w:szCs w:val="17"/>
          <w:color w:val="auto"/>
        </w:rPr>
        <w:t>reflecting the number of shares of Company common stock you held as of the Record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Date, your name and email address. You </w:t>
      </w:r>
      <w:r>
        <w:rPr>
          <w:rFonts w:ascii="Arial" w:cs="Arial" w:eastAsia="Arial" w:hAnsi="Arial"/>
          <w:sz w:val="17"/>
          <w:szCs w:val="17"/>
          <w:b w:val="1"/>
          <w:bCs w:val="1"/>
          <w:color w:val="auto"/>
        </w:rPr>
        <w:t>then must submit a request for registration</w:t>
      </w:r>
      <w:r>
        <w:rPr>
          <w:rFonts w:ascii="Arial" w:cs="Arial" w:eastAsia="Arial" w:hAnsi="Arial"/>
          <w:sz w:val="17"/>
          <w:szCs w:val="17"/>
          <w:color w:val="auto"/>
        </w:rPr>
        <w:t xml:space="preserve"> to American Stock Transfer &amp; Trust Company, LLC: (1) by email to proxy@astfinancial.com; (2) by facsimile to 718-765-8730 or (3) by mail to American Stock Transfer &amp; Trust Company, LLC, Attn: Proxy Tabulation Department, 6201 15</w:t>
      </w:r>
      <w:r>
        <w:rPr>
          <w:rFonts w:ascii="Arial" w:cs="Arial" w:eastAsia="Arial" w:hAnsi="Arial"/>
          <w:sz w:val="9"/>
          <w:szCs w:val="9"/>
          <w:color w:val="auto"/>
        </w:rPr>
        <w:t>th</w:t>
      </w:r>
      <w:r>
        <w:rPr>
          <w:rFonts w:ascii="Arial" w:cs="Arial" w:eastAsia="Arial" w:hAnsi="Arial"/>
          <w:sz w:val="17"/>
          <w:szCs w:val="17"/>
          <w:color w:val="auto"/>
        </w:rPr>
        <w:t xml:space="preserve"> Avenue, Brooklyn, NY 11219. Requests for registration must be labeled as “Legal Proxy” and be received by American Stock Transfer &amp; Trust Company, LLC by no later than 5:00 p.m. Eastern time on July 5, 2021.</w:t>
      </w:r>
    </w:p>
    <w:p>
      <w:pPr>
        <w:spacing w:after="0" w:line="200" w:lineRule="exact"/>
        <w:rPr>
          <w:sz w:val="20"/>
          <w:szCs w:val="20"/>
          <w:color w:val="auto"/>
        </w:rPr>
      </w:pPr>
    </w:p>
    <w:p>
      <w:pPr>
        <w:ind w:right="120" w:firstLine="324"/>
        <w:spacing w:after="0" w:line="282" w:lineRule="auto"/>
        <w:rPr>
          <w:sz w:val="20"/>
          <w:szCs w:val="20"/>
          <w:color w:val="auto"/>
        </w:rPr>
      </w:pPr>
      <w:r>
        <w:rPr>
          <w:rFonts w:ascii="Arial" w:cs="Arial" w:eastAsia="Arial" w:hAnsi="Arial"/>
          <w:sz w:val="18"/>
          <w:szCs w:val="18"/>
          <w:b w:val="1"/>
          <w:bCs w:val="1"/>
          <w:color w:val="auto"/>
        </w:rPr>
        <w:t>The Company encourages you to vote your shares</w:t>
      </w:r>
      <w:r>
        <w:rPr>
          <w:rFonts w:ascii="Arial" w:cs="Arial" w:eastAsia="Arial" w:hAnsi="Arial"/>
          <w:sz w:val="18"/>
          <w:szCs w:val="18"/>
          <w:color w:val="auto"/>
        </w:rPr>
        <w:t>, either by voting on-line during the Meeting or by granting a proxy (i.e., authorizing someone to</w:t>
      </w:r>
      <w:r>
        <w:rPr>
          <w:rFonts w:ascii="Arial" w:cs="Arial" w:eastAsia="Arial" w:hAnsi="Arial"/>
          <w:sz w:val="18"/>
          <w:szCs w:val="18"/>
          <w:b w:val="1"/>
          <w:bCs w:val="1"/>
          <w:color w:val="auto"/>
        </w:rPr>
        <w:t xml:space="preserve"> </w:t>
      </w:r>
      <w:r>
        <w:rPr>
          <w:rFonts w:ascii="Arial" w:cs="Arial" w:eastAsia="Arial" w:hAnsi="Arial"/>
          <w:sz w:val="18"/>
          <w:szCs w:val="18"/>
          <w:color w:val="auto"/>
        </w:rPr>
        <w:t>vote your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417" w:right="339" w:bottom="1440" w:gutter="0" w:footer="0" w:header="0"/>
        </w:sectPr>
      </w:pPr>
    </w:p>
    <w:bookmarkStart w:id="5" w:name="page6"/>
    <w:bookmarkEnd w:id="5"/>
    <w:p>
      <w:pPr>
        <w:spacing w:after="0" w:line="19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How Do You Exercise Your Rights to Vote on the Proposals?</w:t>
      </w:r>
    </w:p>
    <w:p>
      <w:pPr>
        <w:spacing w:after="0" w:line="1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You may vote using any of the following methods:</w:t>
      </w:r>
    </w:p>
    <w:p>
      <w:pPr>
        <w:spacing w:after="0" w:line="140" w:lineRule="exact"/>
        <w:rPr>
          <w:sz w:val="20"/>
          <w:szCs w:val="20"/>
          <w:color w:val="auto"/>
        </w:rPr>
      </w:pPr>
    </w:p>
    <w:p>
      <w:pPr>
        <w:ind w:right="40" w:firstLine="324"/>
        <w:spacing w:after="0" w:line="303" w:lineRule="auto"/>
        <w:rPr>
          <w:sz w:val="20"/>
          <w:szCs w:val="20"/>
          <w:color w:val="auto"/>
        </w:rPr>
      </w:pPr>
      <w:r>
        <w:rPr>
          <w:rFonts w:ascii="Arial" w:cs="Arial" w:eastAsia="Arial" w:hAnsi="Arial"/>
          <w:sz w:val="16"/>
          <w:szCs w:val="16"/>
          <w:b w:val="1"/>
          <w:bCs w:val="1"/>
          <w:color w:val="auto"/>
        </w:rPr>
        <w:t xml:space="preserve">By Mail </w:t>
      </w:r>
      <w:r>
        <w:rPr>
          <w:rFonts w:ascii="Arial" w:cs="Arial" w:eastAsia="Arial" w:hAnsi="Arial"/>
          <w:sz w:val="16"/>
          <w:szCs w:val="16"/>
          <w:color w:val="auto"/>
        </w:rPr>
        <w:t>— Shareholders of record may submit proxies by completing, signing and dating each Proxy Card received and returning it in the prepaid</w:t>
      </w:r>
      <w:r>
        <w:rPr>
          <w:rFonts w:ascii="Arial" w:cs="Arial" w:eastAsia="Arial" w:hAnsi="Arial"/>
          <w:sz w:val="16"/>
          <w:szCs w:val="16"/>
          <w:b w:val="1"/>
          <w:bCs w:val="1"/>
          <w:color w:val="auto"/>
        </w:rPr>
        <w:t xml:space="preserve"> </w:t>
      </w:r>
      <w:r>
        <w:rPr>
          <w:rFonts w:ascii="Arial" w:cs="Arial" w:eastAsia="Arial" w:hAnsi="Arial"/>
          <w:sz w:val="16"/>
          <w:szCs w:val="16"/>
          <w:color w:val="auto"/>
        </w:rPr>
        <w:t>envelope. Sign your name exactly as it appears on the proxy. If you return your signed proxy but do not indicate your voting preferences, your shares will be voted on your behalf “FOR” each of the Proposals listed in this Proxy Statement. Shareholders who hold shares beneficially in street name may provide voting instructions by mail by completing, signing and dating the voting instruction forms provided by their brokers, banks or other nominees.</w:t>
      </w:r>
    </w:p>
    <w:p>
      <w:pPr>
        <w:spacing w:after="0" w:line="83" w:lineRule="exact"/>
        <w:rPr>
          <w:sz w:val="20"/>
          <w:szCs w:val="20"/>
          <w:color w:val="auto"/>
        </w:rPr>
      </w:pPr>
    </w:p>
    <w:p>
      <w:pPr>
        <w:ind w:right="40" w:firstLine="324"/>
        <w:spacing w:after="0" w:line="277" w:lineRule="auto"/>
        <w:rPr>
          <w:sz w:val="20"/>
          <w:szCs w:val="20"/>
          <w:color w:val="auto"/>
        </w:rPr>
      </w:pPr>
      <w:r>
        <w:rPr>
          <w:rFonts w:ascii="Arial" w:cs="Arial" w:eastAsia="Arial" w:hAnsi="Arial"/>
          <w:sz w:val="17"/>
          <w:szCs w:val="17"/>
          <w:b w:val="1"/>
          <w:bCs w:val="1"/>
          <w:color w:val="auto"/>
        </w:rPr>
        <w:t xml:space="preserve">By Telephone </w:t>
      </w:r>
      <w:r>
        <w:rPr>
          <w:rFonts w:ascii="Arial" w:cs="Arial" w:eastAsia="Arial" w:hAnsi="Arial"/>
          <w:sz w:val="17"/>
          <w:szCs w:val="17"/>
          <w:color w:val="auto"/>
        </w:rPr>
        <w:t>— Shareholders of record may submit proxies by following the telephone voting instructions on each Proxy Card. Most shareholders</w:t>
      </w:r>
      <w:r>
        <w:rPr>
          <w:rFonts w:ascii="Arial" w:cs="Arial" w:eastAsia="Arial" w:hAnsi="Arial"/>
          <w:sz w:val="17"/>
          <w:szCs w:val="17"/>
          <w:b w:val="1"/>
          <w:bCs w:val="1"/>
          <w:color w:val="auto"/>
        </w:rPr>
        <w:t xml:space="preserve"> </w:t>
      </w:r>
      <w:r>
        <w:rPr>
          <w:rFonts w:ascii="Arial" w:cs="Arial" w:eastAsia="Arial" w:hAnsi="Arial"/>
          <w:sz w:val="17"/>
          <w:szCs w:val="17"/>
          <w:color w:val="auto"/>
        </w:rPr>
        <w:t>who hold shares beneficially in street name may provide voting instructions by telephone by calling the number specified on the voting instruction form provided by their brokers, banks or nominees. Please check the voting instruction form for telephone voting availability. Please be aware that if you submit voting instructions by telephone, you may incur costs such as telephone access charges for which you will be responsible. The telephone voting facilities will close at 11:59 p.m., Eastern Daylight Time, the day before the meeting date.</w:t>
      </w:r>
    </w:p>
    <w:p>
      <w:pPr>
        <w:spacing w:after="0" w:line="100" w:lineRule="exact"/>
        <w:rPr>
          <w:sz w:val="20"/>
          <w:szCs w:val="20"/>
          <w:color w:val="auto"/>
        </w:rPr>
      </w:pPr>
    </w:p>
    <w:p>
      <w:pPr>
        <w:ind w:right="40" w:firstLine="324"/>
        <w:spacing w:after="0" w:line="266" w:lineRule="auto"/>
        <w:rPr>
          <w:sz w:val="20"/>
          <w:szCs w:val="20"/>
          <w:color w:val="auto"/>
        </w:rPr>
      </w:pPr>
      <w:r>
        <w:rPr>
          <w:rFonts w:ascii="Arial" w:cs="Arial" w:eastAsia="Arial" w:hAnsi="Arial"/>
          <w:sz w:val="18"/>
          <w:szCs w:val="18"/>
          <w:b w:val="1"/>
          <w:bCs w:val="1"/>
          <w:color w:val="auto"/>
        </w:rPr>
        <w:t xml:space="preserve">By Internet </w:t>
      </w:r>
      <w:r>
        <w:rPr>
          <w:rFonts w:ascii="Arial" w:cs="Arial" w:eastAsia="Arial" w:hAnsi="Arial"/>
          <w:sz w:val="18"/>
          <w:szCs w:val="18"/>
          <w:color w:val="auto"/>
        </w:rPr>
        <w:t>— Shareholders of record with internet access may submit proxies by following the internet voting instructions on their Proxy Cards.</w:t>
      </w:r>
      <w:r>
        <w:rPr>
          <w:rFonts w:ascii="Arial" w:cs="Arial" w:eastAsia="Arial" w:hAnsi="Arial"/>
          <w:sz w:val="18"/>
          <w:szCs w:val="18"/>
          <w:b w:val="1"/>
          <w:bCs w:val="1"/>
          <w:color w:val="auto"/>
        </w:rPr>
        <w:t xml:space="preserve"> </w:t>
      </w:r>
      <w:r>
        <w:rPr>
          <w:rFonts w:ascii="Arial" w:cs="Arial" w:eastAsia="Arial" w:hAnsi="Arial"/>
          <w:sz w:val="18"/>
          <w:szCs w:val="18"/>
          <w:color w:val="auto"/>
        </w:rPr>
        <w:t>Most shareholders who hold shares beneficially in street name may provide voting instructions by accessing the website specified on the voting instruction form provided by their brokers, banks or nominees.</w:t>
      </w:r>
    </w:p>
    <w:p>
      <w:pPr>
        <w:spacing w:after="0" w:line="207" w:lineRule="exact"/>
        <w:rPr>
          <w:sz w:val="20"/>
          <w:szCs w:val="20"/>
          <w:color w:val="auto"/>
        </w:rPr>
      </w:pPr>
    </w:p>
    <w:p>
      <w:pPr>
        <w:jc w:val="both"/>
        <w:ind w:right="60" w:firstLine="324"/>
        <w:spacing w:after="0" w:line="263" w:lineRule="auto"/>
        <w:rPr>
          <w:sz w:val="20"/>
          <w:szCs w:val="20"/>
          <w:color w:val="auto"/>
        </w:rPr>
      </w:pPr>
      <w:r>
        <w:rPr>
          <w:rFonts w:ascii="Arial" w:cs="Arial" w:eastAsia="Arial" w:hAnsi="Arial"/>
          <w:sz w:val="18"/>
          <w:szCs w:val="18"/>
          <w:color w:val="auto"/>
        </w:rPr>
        <w:t>Please check the voting instruction form for internet voting availability. Please be aware that if you vote over the internet, you may incur costs such as internet access charges for which you will be responsible. The internet voting facilities will close at 11:59 p.m., Eastern Daylight Time, the day before the meeting date.</w:t>
      </w:r>
    </w:p>
    <w:p>
      <w:pPr>
        <w:spacing w:after="0" w:line="99" w:lineRule="exact"/>
        <w:rPr>
          <w:sz w:val="20"/>
          <w:szCs w:val="20"/>
          <w:color w:val="auto"/>
        </w:rPr>
      </w:pPr>
    </w:p>
    <w:p>
      <w:pPr>
        <w:ind w:right="200" w:firstLine="324"/>
        <w:spacing w:after="0" w:line="258" w:lineRule="auto"/>
        <w:rPr>
          <w:sz w:val="20"/>
          <w:szCs w:val="20"/>
          <w:color w:val="auto"/>
        </w:rPr>
      </w:pPr>
      <w:r>
        <w:rPr>
          <w:rFonts w:ascii="Arial" w:cs="Arial" w:eastAsia="Arial" w:hAnsi="Arial"/>
          <w:sz w:val="18"/>
          <w:szCs w:val="18"/>
          <w:b w:val="1"/>
          <w:bCs w:val="1"/>
          <w:color w:val="auto"/>
        </w:rPr>
        <w:t xml:space="preserve">Virtually During the Meeting </w:t>
      </w:r>
      <w:r>
        <w:rPr>
          <w:rFonts w:ascii="Arial" w:cs="Arial" w:eastAsia="Arial" w:hAnsi="Arial"/>
          <w:sz w:val="18"/>
          <w:szCs w:val="18"/>
          <w:color w:val="auto"/>
        </w:rPr>
        <w:t>— If you are a shareholder of record as of May 28, 2021, the Record Date for the Meeting, you may vote during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virtual Meeting by (a) visiting </w:t>
      </w:r>
      <w:r>
        <w:rPr>
          <w:rFonts w:ascii="Arial" w:cs="Arial" w:eastAsia="Arial" w:hAnsi="Arial"/>
          <w:sz w:val="18"/>
          <w:szCs w:val="18"/>
          <w:i w:val="1"/>
          <w:iCs w:val="1"/>
          <w:color w:val="auto"/>
        </w:rPr>
        <w:t>www.voteproxy.com</w:t>
      </w:r>
      <w:r>
        <w:rPr>
          <w:rFonts w:ascii="Arial" w:cs="Arial" w:eastAsia="Arial" w:hAnsi="Arial"/>
          <w:sz w:val="18"/>
          <w:szCs w:val="18"/>
          <w:color w:val="auto"/>
        </w:rPr>
        <w:t xml:space="preserve"> and following the on screen instructions (have your proxy card or Notice of Internet Availability of Proxy Materials available when you access the webpage), or (b) calling toll-free 1-800-PROXIES (1-800-776-9437) in the U.S. or 1-718-921-8500 from foreign countries from any touch-tone phone and follow the instructions (have your proxy card or Notice of Internet Availability of Proxy Materials available when you call).</w:t>
      </w:r>
    </w:p>
    <w:p>
      <w:pPr>
        <w:spacing w:after="0" w:line="120"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 xml:space="preserve">Whether or not you expect to participate in the virtual Meeting, the Board of Directors urges shareholders to submit a proxy to vote your shares in advance of the Meeting by (a) visiting </w:t>
      </w:r>
      <w:r>
        <w:rPr>
          <w:rFonts w:ascii="Arial" w:cs="Arial" w:eastAsia="Arial" w:hAnsi="Arial"/>
          <w:sz w:val="18"/>
          <w:szCs w:val="18"/>
          <w:i w:val="1"/>
          <w:iCs w:val="1"/>
          <w:color w:val="auto"/>
        </w:rPr>
        <w:t>www.voteproxy.com</w:t>
      </w:r>
      <w:r>
        <w:rPr>
          <w:rFonts w:ascii="Arial" w:cs="Arial" w:eastAsia="Arial" w:hAnsi="Arial"/>
          <w:sz w:val="18"/>
          <w:szCs w:val="18"/>
          <w:color w:val="auto"/>
        </w:rPr>
        <w:t xml:space="preserve"> and following the on screen instructions (have your proxy card or Notice of Internet Availability of Proxy Materials available when you access the webpage), or (b) calling toll-free 1-800-PROXIES (1-800-776-9437) in the U.S. or 1-718-921-8500 from foreign countries from any touch-tone phone and follow the instructions (have your proxy card or Notice of Internet Availability of Proxy Materials available when you call), or (c) submitting your proxy card by mail by using the previously provided self-addressed, stamped envelope. Submitting a proxy will not prevent you from revoking a previously submitted proxy or changing your vote as described above, but it will help to secure a quorum and avoid added solicitation costs.</w:t>
      </w:r>
    </w:p>
    <w:p>
      <w:pPr>
        <w:spacing w:after="0" w:line="127" w:lineRule="exact"/>
        <w:rPr>
          <w:sz w:val="20"/>
          <w:szCs w:val="20"/>
          <w:color w:val="auto"/>
        </w:rPr>
      </w:pPr>
    </w:p>
    <w:p>
      <w:pPr>
        <w:ind w:right="160" w:firstLine="324"/>
        <w:spacing w:after="0" w:line="275" w:lineRule="auto"/>
        <w:rPr>
          <w:sz w:val="20"/>
          <w:szCs w:val="20"/>
          <w:color w:val="auto"/>
        </w:rPr>
      </w:pPr>
      <w:r>
        <w:rPr>
          <w:rFonts w:ascii="Arial" w:cs="Arial" w:eastAsia="Arial" w:hAnsi="Arial"/>
          <w:sz w:val="17"/>
          <w:szCs w:val="17"/>
          <w:color w:val="auto"/>
        </w:rPr>
        <w:t>Shareholders who execute the enclosed Proxy Card retain the right to revoke such proxies at any time prior to voting. Unless so revoked, the shares represented by properly executed proxies will be voted at the Meeting and all adjournments thereof. Proxies may be revoked at any time prior to exercise by written notice to the Corporate Secretary of the Company or by the filing of a properly executed, later-dated proxy. A proxy will not be voted if a shareholder attends the Meeting and votes on-line during the Meeting. The presence of a shareholder at the Meeting alone will not revoke such shareholder’s proxy. Shareholders have no dissenters’ or appraisal rights in connection with the Proposals described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00"/>
          </w:cols>
          <w:pgMar w:left="320" w:top="1440" w:right="379" w:bottom="1440" w:gutter="0" w:footer="0" w:header="0"/>
        </w:sectPr>
      </w:pPr>
    </w:p>
    <w:bookmarkStart w:id="6" w:name="page7"/>
    <w:bookmarkEnd w:id="6"/>
    <w:p>
      <w:pPr>
        <w:ind w:left="4600"/>
        <w:spacing w:after="0"/>
        <w:rPr>
          <w:sz w:val="20"/>
          <w:szCs w:val="20"/>
          <w:color w:val="auto"/>
        </w:rPr>
      </w:pPr>
      <w:r>
        <w:rPr>
          <w:rFonts w:ascii="Arial" w:cs="Arial" w:eastAsia="Arial" w:hAnsi="Arial"/>
          <w:sz w:val="18"/>
          <w:szCs w:val="18"/>
          <w:b w:val="1"/>
          <w:bCs w:val="1"/>
          <w:color w:val="auto"/>
        </w:rPr>
        <w:t>PURPOSE OF MEETING</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At the Meeting, you will be asked to vote on the following proposals:</w:t>
      </w:r>
    </w:p>
    <w:p>
      <w:pPr>
        <w:spacing w:after="0" w:line="9" w:lineRule="exact"/>
        <w:rPr>
          <w:sz w:val="20"/>
          <w:szCs w:val="20"/>
          <w:color w:val="auto"/>
        </w:rPr>
      </w:pPr>
    </w:p>
    <w:p>
      <w:pPr>
        <w:ind w:left="660" w:right="300" w:hanging="328"/>
        <w:spacing w:after="0" w:line="255"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approve a proposal to authorize the Company to sell shares of its common stock, par value $0.02 per share (“Common Shares”), at a price below the then current net asset value per share of such Common Shares in one or multiple offerings, subject to certain limitations described in this Proxy Statement;</w:t>
      </w:r>
    </w:p>
    <w:p>
      <w:pPr>
        <w:spacing w:after="0" w:line="189" w:lineRule="exact"/>
        <w:rPr>
          <w:rFonts w:ascii="Arial" w:cs="Arial" w:eastAsia="Arial" w:hAnsi="Arial"/>
          <w:sz w:val="18"/>
          <w:szCs w:val="18"/>
          <w:color w:val="auto"/>
        </w:rPr>
      </w:pPr>
    </w:p>
    <w:p>
      <w:pPr>
        <w:ind w:left="700" w:hanging="368"/>
        <w:spacing w:after="0"/>
        <w:tabs>
          <w:tab w:leader="none" w:pos="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approve a proposal to adjourn the Meeting, if necessary or appropriate, to solicit additional proxies; and</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meeting, or any postponement of adjournment thereof.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QUORUM REQUIRED</w:t>
      </w:r>
    </w:p>
    <w:p>
      <w:pPr>
        <w:spacing w:after="0" w:line="9"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A quorum must be present at the Meeting for any business to be conducted. The presence at the Meeting, virtually or by proxy, of holders entitled to cast a majority of the votes entitled to be cast as of the Record Date will constitute a quorum. Abstentions and broker non-votes, if any, will be deemed present for the purpose of determining a quorum for the Meeting. If there are not enough votes for a quorum, the Chairman of the Meeting may adjourn the Meeting to permit the further solicitation of proxies.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VOTE REQUIRED</w:t>
      </w:r>
    </w:p>
    <w:p>
      <w:pPr>
        <w:spacing w:after="0" w:line="275"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2580" w:type="dxa"/>
            <w:vAlign w:val="bottom"/>
          </w:tcPr>
          <w:p>
            <w:pPr>
              <w:spacing w:after="0"/>
              <w:rPr>
                <w:sz w:val="16"/>
                <w:szCs w:val="16"/>
                <w:color w:val="auto"/>
              </w:rPr>
            </w:pPr>
          </w:p>
        </w:tc>
        <w:tc>
          <w:tcPr>
            <w:tcW w:w="3700" w:type="dxa"/>
            <w:vAlign w:val="bottom"/>
          </w:tcPr>
          <w:p>
            <w:pPr>
              <w:spacing w:after="0"/>
              <w:rPr>
                <w:sz w:val="16"/>
                <w:szCs w:val="16"/>
                <w:color w:val="auto"/>
              </w:rPr>
            </w:pPr>
          </w:p>
        </w:tc>
        <w:tc>
          <w:tcPr>
            <w:tcW w:w="2160" w:type="dxa"/>
            <w:vAlign w:val="bottom"/>
          </w:tcPr>
          <w:p>
            <w:pPr>
              <w:jc w:val="center"/>
              <w:ind w:left="179"/>
              <w:spacing w:after="0"/>
              <w:rPr>
                <w:sz w:val="20"/>
                <w:szCs w:val="20"/>
                <w:color w:val="auto"/>
              </w:rPr>
            </w:pPr>
            <w:r>
              <w:rPr>
                <w:rFonts w:ascii="Arial" w:cs="Arial" w:eastAsia="Arial" w:hAnsi="Arial"/>
                <w:sz w:val="16"/>
                <w:szCs w:val="16"/>
                <w:b w:val="1"/>
                <w:bCs w:val="1"/>
                <w:color w:val="auto"/>
                <w:w w:val="96"/>
              </w:rPr>
              <w:t>Broker</w:t>
            </w:r>
          </w:p>
        </w:tc>
        <w:tc>
          <w:tcPr>
            <w:tcW w:w="2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58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2160" w:type="dxa"/>
            <w:vAlign w:val="bottom"/>
          </w:tcPr>
          <w:p>
            <w:pPr>
              <w:jc w:val="center"/>
              <w:ind w:left="179"/>
              <w:spacing w:after="0" w:line="162" w:lineRule="exact"/>
              <w:rPr>
                <w:sz w:val="20"/>
                <w:szCs w:val="20"/>
                <w:color w:val="auto"/>
              </w:rPr>
            </w:pPr>
            <w:r>
              <w:rPr>
                <w:rFonts w:ascii="Arial" w:cs="Arial" w:eastAsia="Arial" w:hAnsi="Arial"/>
                <w:sz w:val="16"/>
                <w:szCs w:val="16"/>
                <w:b w:val="1"/>
                <w:bCs w:val="1"/>
                <w:color w:val="auto"/>
                <w:w w:val="91"/>
              </w:rPr>
              <w:t>Discretionary</w:t>
            </w:r>
          </w:p>
        </w:tc>
        <w:tc>
          <w:tcPr>
            <w:tcW w:w="2220" w:type="dxa"/>
            <w:vAlign w:val="bottom"/>
            <w:vMerge w:val="restart"/>
          </w:tcPr>
          <w:p>
            <w:pPr>
              <w:jc w:val="center"/>
              <w:ind w:left="379"/>
              <w:spacing w:after="0"/>
              <w:rPr>
                <w:sz w:val="20"/>
                <w:szCs w:val="20"/>
                <w:color w:val="auto"/>
              </w:rPr>
            </w:pPr>
            <w:r>
              <w:rPr>
                <w:rFonts w:ascii="Arial" w:cs="Arial" w:eastAsia="Arial" w:hAnsi="Arial"/>
                <w:sz w:val="16"/>
                <w:szCs w:val="16"/>
                <w:b w:val="1"/>
                <w:bCs w:val="1"/>
                <w:color w:val="auto"/>
                <w:w w:val="90"/>
              </w:rPr>
              <w:t>Effect of Abstentions and</w:t>
            </w:r>
          </w:p>
        </w:tc>
        <w:tc>
          <w:tcPr>
            <w:tcW w:w="0" w:type="dxa"/>
            <w:vAlign w:val="bottom"/>
          </w:tcPr>
          <w:p>
            <w:pPr>
              <w:spacing w:after="0"/>
              <w:rPr>
                <w:sz w:val="1"/>
                <w:szCs w:val="1"/>
                <w:color w:val="auto"/>
              </w:rPr>
            </w:pPr>
          </w:p>
        </w:tc>
      </w:tr>
      <w:tr>
        <w:trPr>
          <w:trHeight w:val="162"/>
        </w:trPr>
        <w:tc>
          <w:tcPr>
            <w:tcW w:w="2580" w:type="dxa"/>
            <w:vAlign w:val="bottom"/>
            <w:vMerge w:val="restart"/>
          </w:tcPr>
          <w:p>
            <w:pPr>
              <w:spacing w:after="0"/>
              <w:rPr>
                <w:sz w:val="20"/>
                <w:szCs w:val="20"/>
                <w:color w:val="auto"/>
              </w:rPr>
            </w:pPr>
            <w:r>
              <w:rPr>
                <w:rFonts w:ascii="Arial" w:cs="Arial" w:eastAsia="Arial" w:hAnsi="Arial"/>
                <w:sz w:val="16"/>
                <w:szCs w:val="16"/>
                <w:b w:val="1"/>
                <w:bCs w:val="1"/>
                <w:color w:val="auto"/>
              </w:rPr>
              <w:t>Proposal</w:t>
            </w:r>
          </w:p>
        </w:tc>
        <w:tc>
          <w:tcPr>
            <w:tcW w:w="3700" w:type="dxa"/>
            <w:vAlign w:val="bottom"/>
            <w:vMerge w:val="restart"/>
          </w:tcPr>
          <w:p>
            <w:pPr>
              <w:ind w:left="1940"/>
              <w:spacing w:after="0"/>
              <w:rPr>
                <w:sz w:val="20"/>
                <w:szCs w:val="20"/>
                <w:color w:val="auto"/>
              </w:rPr>
            </w:pPr>
            <w:r>
              <w:rPr>
                <w:rFonts w:ascii="Arial" w:cs="Arial" w:eastAsia="Arial" w:hAnsi="Arial"/>
                <w:sz w:val="16"/>
                <w:szCs w:val="16"/>
                <w:b w:val="1"/>
                <w:bCs w:val="1"/>
                <w:color w:val="auto"/>
              </w:rPr>
              <w:t>Vote Required</w:t>
            </w:r>
          </w:p>
        </w:tc>
        <w:tc>
          <w:tcPr>
            <w:tcW w:w="2160" w:type="dxa"/>
            <w:vAlign w:val="bottom"/>
          </w:tcPr>
          <w:p>
            <w:pPr>
              <w:jc w:val="center"/>
              <w:ind w:left="179"/>
              <w:spacing w:after="0" w:line="162" w:lineRule="exact"/>
              <w:rPr>
                <w:sz w:val="20"/>
                <w:szCs w:val="20"/>
                <w:color w:val="auto"/>
              </w:rPr>
            </w:pPr>
            <w:r>
              <w:rPr>
                <w:rFonts w:ascii="Arial" w:cs="Arial" w:eastAsia="Arial" w:hAnsi="Arial"/>
                <w:sz w:val="16"/>
                <w:szCs w:val="16"/>
                <w:b w:val="1"/>
                <w:bCs w:val="1"/>
                <w:color w:val="auto"/>
                <w:w w:val="92"/>
              </w:rPr>
              <w:t>Voting</w:t>
            </w:r>
          </w:p>
        </w:tc>
        <w:tc>
          <w:tcPr>
            <w:tcW w:w="22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580" w:type="dxa"/>
            <w:vAlign w:val="bottom"/>
            <w:vMerge w:val="continue"/>
          </w:tcPr>
          <w:p>
            <w:pPr>
              <w:spacing w:after="0"/>
              <w:rPr>
                <w:sz w:val="18"/>
                <w:szCs w:val="18"/>
                <w:color w:val="auto"/>
              </w:rPr>
            </w:pPr>
          </w:p>
        </w:tc>
        <w:tc>
          <w:tcPr>
            <w:tcW w:w="3700" w:type="dxa"/>
            <w:vAlign w:val="bottom"/>
            <w:vMerge w:val="continue"/>
          </w:tcPr>
          <w:p>
            <w:pPr>
              <w:spacing w:after="0"/>
              <w:rPr>
                <w:sz w:val="18"/>
                <w:szCs w:val="18"/>
                <w:color w:val="auto"/>
              </w:rPr>
            </w:pPr>
          </w:p>
        </w:tc>
        <w:tc>
          <w:tcPr>
            <w:tcW w:w="2160" w:type="dxa"/>
            <w:vAlign w:val="bottom"/>
          </w:tcPr>
          <w:p>
            <w:pPr>
              <w:jc w:val="center"/>
              <w:ind w:left="239"/>
              <w:spacing w:after="0"/>
              <w:rPr>
                <w:sz w:val="20"/>
                <w:szCs w:val="20"/>
                <w:color w:val="auto"/>
              </w:rPr>
            </w:pPr>
            <w:r>
              <w:rPr>
                <w:rFonts w:ascii="Arial" w:cs="Arial" w:eastAsia="Arial" w:hAnsi="Arial"/>
                <w:sz w:val="16"/>
                <w:szCs w:val="16"/>
                <w:b w:val="1"/>
                <w:bCs w:val="1"/>
                <w:color w:val="auto"/>
                <w:w w:val="89"/>
              </w:rPr>
              <w:t>Allowed?</w:t>
            </w:r>
          </w:p>
        </w:tc>
        <w:tc>
          <w:tcPr>
            <w:tcW w:w="2220" w:type="dxa"/>
            <w:vAlign w:val="bottom"/>
          </w:tcPr>
          <w:p>
            <w:pPr>
              <w:jc w:val="center"/>
              <w:ind w:left="419"/>
              <w:spacing w:after="0"/>
              <w:rPr>
                <w:sz w:val="20"/>
                <w:szCs w:val="20"/>
                <w:color w:val="auto"/>
              </w:rPr>
            </w:pPr>
            <w:r>
              <w:rPr>
                <w:rFonts w:ascii="Arial" w:cs="Arial" w:eastAsia="Arial" w:hAnsi="Arial"/>
                <w:sz w:val="16"/>
                <w:szCs w:val="16"/>
                <w:b w:val="1"/>
                <w:bCs w:val="1"/>
                <w:color w:val="auto"/>
                <w:w w:val="91"/>
              </w:rPr>
              <w:t>Broker Non-Votes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205740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057400" cy="825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p>
      <w:pPr>
        <w:spacing w:after="0" w:line="18" w:lineRule="exact"/>
        <w:rPr>
          <w:sz w:val="20"/>
          <w:szCs w:val="20"/>
          <w:color w:val="auto"/>
        </w:rPr>
      </w:pPr>
    </w:p>
    <w:p>
      <w:pPr>
        <w:ind w:left="20"/>
        <w:spacing w:after="0" w:line="239" w:lineRule="auto"/>
        <w:rPr>
          <w:sz w:val="20"/>
          <w:szCs w:val="20"/>
          <w:color w:val="auto"/>
        </w:rPr>
      </w:pPr>
      <w:r>
        <w:rPr>
          <w:rFonts w:ascii="Arial" w:cs="Arial" w:eastAsia="Arial" w:hAnsi="Arial"/>
          <w:sz w:val="16"/>
          <w:szCs w:val="16"/>
          <w:b w:val="1"/>
          <w:bCs w:val="1"/>
          <w:i w:val="1"/>
          <w:iCs w:val="1"/>
          <w:color w:val="auto"/>
        </w:rPr>
        <w:t xml:space="preserve">Proposal 1 </w:t>
      </w:r>
      <w:r>
        <w:rPr>
          <w:rFonts w:ascii="Arial" w:cs="Arial" w:eastAsia="Arial" w:hAnsi="Arial"/>
          <w:sz w:val="16"/>
          <w:szCs w:val="16"/>
          <w:color w:val="auto"/>
        </w:rPr>
        <w:t>— To approve a proposal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authorize the Company to sell shares of its Common Shares, at a price below the then current net asset value per share of such Common Shares in one or multiple offerings (subject to certain limitations described in this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20" w:right="140"/>
        <w:spacing w:after="0" w:line="261" w:lineRule="auto"/>
        <w:rPr>
          <w:sz w:val="20"/>
          <w:szCs w:val="20"/>
          <w:color w:val="auto"/>
        </w:rPr>
      </w:pPr>
      <w:r>
        <w:rPr>
          <w:rFonts w:ascii="Arial" w:cs="Arial" w:eastAsia="Arial" w:hAnsi="Arial"/>
          <w:sz w:val="16"/>
          <w:szCs w:val="16"/>
          <w:b w:val="1"/>
          <w:bCs w:val="1"/>
          <w:i w:val="1"/>
          <w:iCs w:val="1"/>
          <w:color w:val="auto"/>
        </w:rPr>
        <w:t xml:space="preserve">Proposal 2 </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 approve a proposal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adjourn the Meeting, if necessary or appropriate, to solicit additional proxies.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5"/>
        </w:trPr>
        <w:tc>
          <w:tcPr>
            <w:tcW w:w="3240" w:type="dxa"/>
            <w:vAlign w:val="bottom"/>
            <w:tcBorders>
              <w:top w:val="single" w:sz="8" w:color="auto"/>
            </w:tcBorders>
          </w:tcPr>
          <w:p>
            <w:pPr>
              <w:ind w:left="20"/>
              <w:spacing w:after="0" w:line="175" w:lineRule="exact"/>
              <w:rPr>
                <w:sz w:val="20"/>
                <w:szCs w:val="20"/>
                <w:color w:val="auto"/>
              </w:rPr>
            </w:pPr>
            <w:r>
              <w:rPr>
                <w:rFonts w:ascii="Arial" w:cs="Arial" w:eastAsia="Arial" w:hAnsi="Arial"/>
                <w:sz w:val="18"/>
                <w:szCs w:val="18"/>
                <w:color w:val="auto"/>
              </w:rPr>
              <w:t>Pursuant to Investment Company Act of</w:t>
            </w:r>
          </w:p>
        </w:tc>
        <w:tc>
          <w:tcPr>
            <w:tcW w:w="180" w:type="dxa"/>
            <w:vAlign w:val="bottom"/>
          </w:tcPr>
          <w:p>
            <w:pPr>
              <w:spacing w:after="0"/>
              <w:rPr>
                <w:sz w:val="15"/>
                <w:szCs w:val="15"/>
                <w:color w:val="auto"/>
              </w:rPr>
            </w:pPr>
          </w:p>
        </w:tc>
        <w:tc>
          <w:tcPr>
            <w:tcW w:w="1380" w:type="dxa"/>
            <w:vAlign w:val="bottom"/>
            <w:tcBorders>
              <w:top w:val="single" w:sz="8" w:color="auto"/>
            </w:tcBorders>
          </w:tcPr>
          <w:p>
            <w:pPr>
              <w:ind w:left="580"/>
              <w:spacing w:after="0" w:line="175" w:lineRule="exact"/>
              <w:rPr>
                <w:sz w:val="20"/>
                <w:szCs w:val="20"/>
                <w:color w:val="auto"/>
              </w:rPr>
            </w:pPr>
            <w:r>
              <w:rPr>
                <w:rFonts w:ascii="Arial" w:cs="Arial" w:eastAsia="Arial" w:hAnsi="Arial"/>
                <w:sz w:val="18"/>
                <w:szCs w:val="18"/>
                <w:color w:val="auto"/>
              </w:rPr>
              <w:t>No</w:t>
            </w:r>
          </w:p>
        </w:tc>
        <w:tc>
          <w:tcPr>
            <w:tcW w:w="180" w:type="dxa"/>
            <w:vAlign w:val="bottom"/>
          </w:tcPr>
          <w:p>
            <w:pPr>
              <w:spacing w:after="0"/>
              <w:rPr>
                <w:sz w:val="15"/>
                <w:szCs w:val="15"/>
                <w:color w:val="auto"/>
              </w:rPr>
            </w:pPr>
          </w:p>
        </w:tc>
        <w:tc>
          <w:tcPr>
            <w:tcW w:w="2840" w:type="dxa"/>
            <w:vAlign w:val="bottom"/>
            <w:tcBorders>
              <w:top w:val="single" w:sz="8" w:color="auto"/>
            </w:tcBorders>
          </w:tcPr>
          <w:p>
            <w:pPr>
              <w:ind w:left="20"/>
              <w:spacing w:after="0" w:line="175" w:lineRule="exact"/>
              <w:rPr>
                <w:sz w:val="20"/>
                <w:szCs w:val="20"/>
                <w:color w:val="auto"/>
              </w:rPr>
            </w:pPr>
            <w:r>
              <w:rPr>
                <w:rFonts w:ascii="Arial" w:cs="Arial" w:eastAsia="Arial" w:hAnsi="Arial"/>
                <w:sz w:val="18"/>
                <w:szCs w:val="18"/>
                <w:color w:val="auto"/>
                <w:w w:val="97"/>
              </w:rPr>
              <w:t>Abstentions and broker non-votes, if</w:t>
            </w:r>
          </w:p>
        </w:tc>
      </w:tr>
      <w:tr>
        <w:trPr>
          <w:trHeight w:val="176"/>
        </w:trPr>
        <w:tc>
          <w:tcPr>
            <w:tcW w:w="342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1940, as amended (the “1940 Act”),</w:t>
            </w:r>
          </w:p>
        </w:tc>
        <w:tc>
          <w:tcPr>
            <w:tcW w:w="1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40" w:type="dxa"/>
            <w:vAlign w:val="bottom"/>
          </w:tcPr>
          <w:p>
            <w:pPr>
              <w:ind w:left="20"/>
              <w:spacing w:after="0" w:line="176" w:lineRule="exact"/>
              <w:rPr>
                <w:sz w:val="20"/>
                <w:szCs w:val="20"/>
                <w:color w:val="auto"/>
              </w:rPr>
            </w:pPr>
            <w:r>
              <w:rPr>
                <w:rFonts w:ascii="Arial" w:cs="Arial" w:eastAsia="Arial" w:hAnsi="Arial"/>
                <w:sz w:val="18"/>
                <w:szCs w:val="18"/>
                <w:color w:val="auto"/>
              </w:rPr>
              <w:t>any, will have the effect of a vote</w:t>
            </w:r>
          </w:p>
        </w:tc>
      </w:tr>
      <w:tr>
        <w:trPr>
          <w:trHeight w:val="176"/>
        </w:trPr>
        <w:tc>
          <w:tcPr>
            <w:tcW w:w="342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approval of this proposal requires the</w:t>
            </w:r>
          </w:p>
        </w:tc>
        <w:tc>
          <w:tcPr>
            <w:tcW w:w="1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40" w:type="dxa"/>
            <w:vAlign w:val="bottom"/>
          </w:tcPr>
          <w:p>
            <w:pPr>
              <w:ind w:left="20"/>
              <w:spacing w:after="0" w:line="176" w:lineRule="exact"/>
              <w:rPr>
                <w:sz w:val="20"/>
                <w:szCs w:val="20"/>
                <w:color w:val="auto"/>
              </w:rPr>
            </w:pPr>
            <w:r>
              <w:rPr>
                <w:rFonts w:ascii="Arial" w:cs="Arial" w:eastAsia="Arial" w:hAnsi="Arial"/>
                <w:sz w:val="18"/>
                <w:szCs w:val="18"/>
                <w:color w:val="auto"/>
              </w:rPr>
              <w:t>against this proposal.</w:t>
            </w:r>
          </w:p>
        </w:tc>
      </w:tr>
      <w:tr>
        <w:trPr>
          <w:trHeight w:val="175"/>
        </w:trPr>
        <w:tc>
          <w:tcPr>
            <w:tcW w:w="342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affirmative vote of: (i) a majority of</w:t>
            </w:r>
          </w:p>
        </w:tc>
        <w:tc>
          <w:tcPr>
            <w:tcW w:w="1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40" w:type="dxa"/>
            <w:vAlign w:val="bottom"/>
          </w:tcPr>
          <w:p>
            <w:pPr>
              <w:spacing w:after="0"/>
              <w:rPr>
                <w:sz w:val="15"/>
                <w:szCs w:val="15"/>
                <w:color w:val="auto"/>
              </w:rPr>
            </w:pPr>
          </w:p>
        </w:tc>
      </w:tr>
      <w:tr>
        <w:trPr>
          <w:trHeight w:val="176"/>
        </w:trPr>
        <w:tc>
          <w:tcPr>
            <w:tcW w:w="3420" w:type="dxa"/>
            <w:vAlign w:val="bottom"/>
            <w:gridSpan w:val="2"/>
          </w:tcPr>
          <w:p>
            <w:pPr>
              <w:ind w:left="20"/>
              <w:spacing w:after="0" w:line="176" w:lineRule="exact"/>
              <w:rPr>
                <w:sz w:val="20"/>
                <w:szCs w:val="20"/>
                <w:color w:val="auto"/>
              </w:rPr>
            </w:pPr>
            <w:r>
              <w:rPr>
                <w:rFonts w:ascii="Arial" w:cs="Arial" w:eastAsia="Arial" w:hAnsi="Arial"/>
                <w:sz w:val="18"/>
                <w:szCs w:val="18"/>
                <w:color w:val="auto"/>
                <w:w w:val="95"/>
              </w:rPr>
              <w:t>outstanding Common Shares entitled to vote</w:t>
            </w:r>
          </w:p>
        </w:tc>
        <w:tc>
          <w:tcPr>
            <w:tcW w:w="1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40" w:type="dxa"/>
            <w:vAlign w:val="bottom"/>
          </w:tcPr>
          <w:p>
            <w:pPr>
              <w:spacing w:after="0"/>
              <w:rPr>
                <w:sz w:val="15"/>
                <w:szCs w:val="15"/>
                <w:color w:val="auto"/>
              </w:rPr>
            </w:pPr>
          </w:p>
        </w:tc>
      </w:tr>
      <w:tr>
        <w:trPr>
          <w:trHeight w:val="175"/>
        </w:trPr>
        <w:tc>
          <w:tcPr>
            <w:tcW w:w="342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at the Meeting; and (ii) a majority of the</w:t>
            </w:r>
          </w:p>
        </w:tc>
        <w:tc>
          <w:tcPr>
            <w:tcW w:w="1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40" w:type="dxa"/>
            <w:vAlign w:val="bottom"/>
          </w:tcPr>
          <w:p>
            <w:pPr>
              <w:spacing w:after="0"/>
              <w:rPr>
                <w:sz w:val="15"/>
                <w:szCs w:val="15"/>
                <w:color w:val="auto"/>
              </w:rPr>
            </w:pPr>
          </w:p>
        </w:tc>
      </w:tr>
      <w:tr>
        <w:trPr>
          <w:trHeight w:val="175"/>
        </w:trPr>
        <w:tc>
          <w:tcPr>
            <w:tcW w:w="3420" w:type="dxa"/>
            <w:vAlign w:val="bottom"/>
            <w:gridSpan w:val="2"/>
          </w:tcPr>
          <w:p>
            <w:pPr>
              <w:ind w:left="20"/>
              <w:spacing w:after="0" w:line="176" w:lineRule="exact"/>
              <w:rPr>
                <w:sz w:val="20"/>
                <w:szCs w:val="20"/>
                <w:color w:val="auto"/>
              </w:rPr>
            </w:pPr>
            <w:r>
              <w:rPr>
                <w:rFonts w:ascii="Arial" w:cs="Arial" w:eastAsia="Arial" w:hAnsi="Arial"/>
                <w:sz w:val="18"/>
                <w:szCs w:val="18"/>
                <w:color w:val="auto"/>
                <w:w w:val="95"/>
              </w:rPr>
              <w:t>outstanding Common Shares entitled to vote</w:t>
            </w:r>
          </w:p>
        </w:tc>
        <w:tc>
          <w:tcPr>
            <w:tcW w:w="1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40" w:type="dxa"/>
            <w:vAlign w:val="bottom"/>
          </w:tcPr>
          <w:p>
            <w:pPr>
              <w:spacing w:after="0"/>
              <w:rPr>
                <w:sz w:val="15"/>
                <w:szCs w:val="15"/>
                <w:color w:val="auto"/>
              </w:rPr>
            </w:pPr>
          </w:p>
        </w:tc>
      </w:tr>
      <w:tr>
        <w:trPr>
          <w:trHeight w:val="175"/>
        </w:trPr>
        <w:tc>
          <w:tcPr>
            <w:tcW w:w="342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at the Meeting which are not held by</w:t>
            </w:r>
          </w:p>
        </w:tc>
        <w:tc>
          <w:tcPr>
            <w:tcW w:w="1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40" w:type="dxa"/>
            <w:vAlign w:val="bottom"/>
          </w:tcPr>
          <w:p>
            <w:pPr>
              <w:spacing w:after="0"/>
              <w:rPr>
                <w:sz w:val="15"/>
                <w:szCs w:val="15"/>
                <w:color w:val="auto"/>
              </w:rPr>
            </w:pPr>
          </w:p>
        </w:tc>
      </w:tr>
      <w:tr>
        <w:trPr>
          <w:trHeight w:val="175"/>
        </w:trPr>
        <w:tc>
          <w:tcPr>
            <w:tcW w:w="342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affiliated persons of the Company. The</w:t>
            </w:r>
          </w:p>
        </w:tc>
        <w:tc>
          <w:tcPr>
            <w:tcW w:w="1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40" w:type="dxa"/>
            <w:vAlign w:val="bottom"/>
          </w:tcPr>
          <w:p>
            <w:pPr>
              <w:spacing w:after="0"/>
              <w:rPr>
                <w:sz w:val="15"/>
                <w:szCs w:val="15"/>
                <w:color w:val="auto"/>
              </w:rPr>
            </w:pPr>
          </w:p>
        </w:tc>
      </w:tr>
      <w:tr>
        <w:trPr>
          <w:trHeight w:val="175"/>
        </w:trPr>
        <w:tc>
          <w:tcPr>
            <w:tcW w:w="342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1940 Act defines “a majority of the</w:t>
            </w:r>
          </w:p>
        </w:tc>
        <w:tc>
          <w:tcPr>
            <w:tcW w:w="1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40" w:type="dxa"/>
            <w:vAlign w:val="bottom"/>
          </w:tcPr>
          <w:p>
            <w:pPr>
              <w:spacing w:after="0"/>
              <w:rPr>
                <w:sz w:val="15"/>
                <w:szCs w:val="15"/>
                <w:color w:val="auto"/>
              </w:rPr>
            </w:pPr>
          </w:p>
        </w:tc>
      </w:tr>
      <w:tr>
        <w:trPr>
          <w:trHeight w:val="175"/>
        </w:trPr>
        <w:tc>
          <w:tcPr>
            <w:tcW w:w="3420" w:type="dxa"/>
            <w:vAlign w:val="bottom"/>
            <w:gridSpan w:val="2"/>
          </w:tcPr>
          <w:p>
            <w:pPr>
              <w:ind w:left="20"/>
              <w:spacing w:after="0" w:line="176" w:lineRule="exact"/>
              <w:rPr>
                <w:sz w:val="20"/>
                <w:szCs w:val="20"/>
                <w:color w:val="auto"/>
              </w:rPr>
            </w:pPr>
            <w:r>
              <w:rPr>
                <w:rFonts w:ascii="Arial" w:cs="Arial" w:eastAsia="Arial" w:hAnsi="Arial"/>
                <w:sz w:val="18"/>
                <w:szCs w:val="18"/>
                <w:color w:val="auto"/>
                <w:w w:val="98"/>
              </w:rPr>
              <w:t>outstanding shares” as: (1) 67% or more of</w:t>
            </w:r>
          </w:p>
        </w:tc>
        <w:tc>
          <w:tcPr>
            <w:tcW w:w="1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40" w:type="dxa"/>
            <w:vAlign w:val="bottom"/>
          </w:tcPr>
          <w:p>
            <w:pPr>
              <w:spacing w:after="0"/>
              <w:rPr>
                <w:sz w:val="15"/>
                <w:szCs w:val="15"/>
                <w:color w:val="auto"/>
              </w:rPr>
            </w:pPr>
          </w:p>
        </w:tc>
      </w:tr>
      <w:tr>
        <w:trPr>
          <w:trHeight w:val="176"/>
        </w:trPr>
        <w:tc>
          <w:tcPr>
            <w:tcW w:w="3420" w:type="dxa"/>
            <w:vAlign w:val="bottom"/>
            <w:gridSpan w:val="2"/>
          </w:tcPr>
          <w:p>
            <w:pPr>
              <w:ind w:left="20"/>
              <w:spacing w:after="0" w:line="176" w:lineRule="exact"/>
              <w:rPr>
                <w:sz w:val="20"/>
                <w:szCs w:val="20"/>
                <w:color w:val="auto"/>
              </w:rPr>
            </w:pPr>
            <w:r>
              <w:rPr>
                <w:rFonts w:ascii="Arial" w:cs="Arial" w:eastAsia="Arial" w:hAnsi="Arial"/>
                <w:sz w:val="18"/>
                <w:szCs w:val="18"/>
                <w:color w:val="auto"/>
                <w:w w:val="98"/>
              </w:rPr>
              <w:t>the voting securities present at the Meeting</w:t>
            </w:r>
          </w:p>
        </w:tc>
        <w:tc>
          <w:tcPr>
            <w:tcW w:w="1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40" w:type="dxa"/>
            <w:vAlign w:val="bottom"/>
          </w:tcPr>
          <w:p>
            <w:pPr>
              <w:spacing w:after="0"/>
              <w:rPr>
                <w:sz w:val="15"/>
                <w:szCs w:val="15"/>
                <w:color w:val="auto"/>
              </w:rPr>
            </w:pPr>
          </w:p>
        </w:tc>
      </w:tr>
      <w:tr>
        <w:trPr>
          <w:trHeight w:val="175"/>
        </w:trPr>
        <w:tc>
          <w:tcPr>
            <w:tcW w:w="342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if the holders of more than 50% of the</w:t>
            </w:r>
          </w:p>
        </w:tc>
        <w:tc>
          <w:tcPr>
            <w:tcW w:w="1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40" w:type="dxa"/>
            <w:vAlign w:val="bottom"/>
          </w:tcPr>
          <w:p>
            <w:pPr>
              <w:spacing w:after="0"/>
              <w:rPr>
                <w:sz w:val="15"/>
                <w:szCs w:val="15"/>
                <w:color w:val="auto"/>
              </w:rPr>
            </w:pPr>
          </w:p>
        </w:tc>
      </w:tr>
      <w:tr>
        <w:trPr>
          <w:trHeight w:val="175"/>
        </w:trPr>
        <w:tc>
          <w:tcPr>
            <w:tcW w:w="342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outstanding voting securities of the</w:t>
            </w:r>
          </w:p>
        </w:tc>
        <w:tc>
          <w:tcPr>
            <w:tcW w:w="1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40" w:type="dxa"/>
            <w:vAlign w:val="bottom"/>
          </w:tcPr>
          <w:p>
            <w:pPr>
              <w:spacing w:after="0"/>
              <w:rPr>
                <w:sz w:val="15"/>
                <w:szCs w:val="15"/>
                <w:color w:val="auto"/>
              </w:rPr>
            </w:pPr>
          </w:p>
        </w:tc>
      </w:tr>
      <w:tr>
        <w:trPr>
          <w:trHeight w:val="175"/>
        </w:trPr>
        <w:tc>
          <w:tcPr>
            <w:tcW w:w="342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Company are present or represented by</w:t>
            </w:r>
          </w:p>
        </w:tc>
        <w:tc>
          <w:tcPr>
            <w:tcW w:w="1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40" w:type="dxa"/>
            <w:vAlign w:val="bottom"/>
          </w:tcPr>
          <w:p>
            <w:pPr>
              <w:spacing w:after="0"/>
              <w:rPr>
                <w:sz w:val="15"/>
                <w:szCs w:val="15"/>
                <w:color w:val="auto"/>
              </w:rPr>
            </w:pPr>
          </w:p>
        </w:tc>
      </w:tr>
      <w:tr>
        <w:trPr>
          <w:trHeight w:val="175"/>
        </w:trPr>
        <w:tc>
          <w:tcPr>
            <w:tcW w:w="342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proxy; or (2) more than 50% of the</w:t>
            </w:r>
          </w:p>
        </w:tc>
        <w:tc>
          <w:tcPr>
            <w:tcW w:w="1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40" w:type="dxa"/>
            <w:vAlign w:val="bottom"/>
          </w:tcPr>
          <w:p>
            <w:pPr>
              <w:spacing w:after="0"/>
              <w:rPr>
                <w:sz w:val="15"/>
                <w:szCs w:val="15"/>
                <w:color w:val="auto"/>
              </w:rPr>
            </w:pPr>
          </w:p>
        </w:tc>
      </w:tr>
      <w:tr>
        <w:trPr>
          <w:trHeight w:val="175"/>
        </w:trPr>
        <w:tc>
          <w:tcPr>
            <w:tcW w:w="342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outstanding voting securities of the</w:t>
            </w:r>
          </w:p>
        </w:tc>
        <w:tc>
          <w:tcPr>
            <w:tcW w:w="1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40" w:type="dxa"/>
            <w:vAlign w:val="bottom"/>
          </w:tcPr>
          <w:p>
            <w:pPr>
              <w:spacing w:after="0"/>
              <w:rPr>
                <w:sz w:val="15"/>
                <w:szCs w:val="15"/>
                <w:color w:val="auto"/>
              </w:rPr>
            </w:pPr>
          </w:p>
        </w:tc>
      </w:tr>
      <w:tr>
        <w:trPr>
          <w:trHeight w:val="229"/>
        </w:trPr>
        <w:tc>
          <w:tcPr>
            <w:tcW w:w="3420" w:type="dxa"/>
            <w:vAlign w:val="bottom"/>
            <w:gridSpan w:val="2"/>
          </w:tcPr>
          <w:p>
            <w:pPr>
              <w:ind w:left="20"/>
              <w:spacing w:after="0"/>
              <w:rPr>
                <w:sz w:val="20"/>
                <w:szCs w:val="20"/>
                <w:color w:val="auto"/>
              </w:rPr>
            </w:pPr>
            <w:r>
              <w:rPr>
                <w:rFonts w:ascii="Arial" w:cs="Arial" w:eastAsia="Arial" w:hAnsi="Arial"/>
                <w:sz w:val="18"/>
                <w:szCs w:val="18"/>
                <w:color w:val="auto"/>
              </w:rPr>
              <w:t>Company, whichever is less.</w:t>
            </w:r>
          </w:p>
        </w:tc>
        <w:tc>
          <w:tcPr>
            <w:tcW w:w="1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40" w:type="dxa"/>
            <w:vAlign w:val="bottom"/>
          </w:tcPr>
          <w:p>
            <w:pPr>
              <w:spacing w:after="0"/>
              <w:rPr>
                <w:sz w:val="19"/>
                <w:szCs w:val="19"/>
                <w:color w:val="auto"/>
              </w:rPr>
            </w:pPr>
          </w:p>
        </w:tc>
      </w:tr>
      <w:tr>
        <w:trPr>
          <w:trHeight w:val="176"/>
        </w:trPr>
        <w:tc>
          <w:tcPr>
            <w:tcW w:w="342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Affirmative vote of the holders of a</w:t>
            </w:r>
          </w:p>
        </w:tc>
        <w:tc>
          <w:tcPr>
            <w:tcW w:w="1560" w:type="dxa"/>
            <w:vAlign w:val="bottom"/>
            <w:gridSpan w:val="2"/>
          </w:tcPr>
          <w:p>
            <w:pPr>
              <w:ind w:left="580"/>
              <w:spacing w:after="0" w:line="176" w:lineRule="exact"/>
              <w:rPr>
                <w:sz w:val="20"/>
                <w:szCs w:val="20"/>
                <w:color w:val="auto"/>
              </w:rPr>
            </w:pPr>
            <w:r>
              <w:rPr>
                <w:rFonts w:ascii="Arial" w:cs="Arial" w:eastAsia="Arial" w:hAnsi="Arial"/>
                <w:sz w:val="18"/>
                <w:szCs w:val="18"/>
                <w:color w:val="auto"/>
              </w:rPr>
              <w:t>No</w:t>
            </w:r>
          </w:p>
        </w:tc>
        <w:tc>
          <w:tcPr>
            <w:tcW w:w="2840" w:type="dxa"/>
            <w:vAlign w:val="bottom"/>
          </w:tcPr>
          <w:p>
            <w:pPr>
              <w:ind w:left="20"/>
              <w:spacing w:after="0" w:line="176" w:lineRule="exact"/>
              <w:rPr>
                <w:sz w:val="20"/>
                <w:szCs w:val="20"/>
                <w:color w:val="auto"/>
              </w:rPr>
            </w:pPr>
            <w:r>
              <w:rPr>
                <w:rFonts w:ascii="Arial" w:cs="Arial" w:eastAsia="Arial" w:hAnsi="Arial"/>
                <w:sz w:val="18"/>
                <w:szCs w:val="18"/>
                <w:color w:val="auto"/>
                <w:w w:val="97"/>
              </w:rPr>
              <w:t>Abstentions and broker non-votes, if</w:t>
            </w:r>
          </w:p>
        </w:tc>
      </w:tr>
      <w:tr>
        <w:trPr>
          <w:trHeight w:val="176"/>
        </w:trPr>
        <w:tc>
          <w:tcPr>
            <w:tcW w:w="342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majority of the votes cast at the Meeting.</w:t>
            </w:r>
          </w:p>
        </w:tc>
        <w:tc>
          <w:tcPr>
            <w:tcW w:w="1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40" w:type="dxa"/>
            <w:vAlign w:val="bottom"/>
          </w:tcPr>
          <w:p>
            <w:pPr>
              <w:ind w:left="20"/>
              <w:spacing w:after="0" w:line="176" w:lineRule="exact"/>
              <w:rPr>
                <w:sz w:val="20"/>
                <w:szCs w:val="20"/>
                <w:color w:val="auto"/>
              </w:rPr>
            </w:pPr>
            <w:r>
              <w:rPr>
                <w:rFonts w:ascii="Arial" w:cs="Arial" w:eastAsia="Arial" w:hAnsi="Arial"/>
                <w:sz w:val="18"/>
                <w:szCs w:val="18"/>
                <w:color w:val="auto"/>
              </w:rPr>
              <w:t>any, will have no effect on the</w:t>
            </w:r>
          </w:p>
        </w:tc>
      </w:tr>
      <w:tr>
        <w:trPr>
          <w:trHeight w:val="230"/>
        </w:trPr>
        <w:tc>
          <w:tcPr>
            <w:tcW w:w="3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40" w:type="dxa"/>
            <w:vAlign w:val="bottom"/>
          </w:tcPr>
          <w:p>
            <w:pPr>
              <w:ind w:left="20"/>
              <w:spacing w:after="0"/>
              <w:rPr>
                <w:sz w:val="20"/>
                <w:szCs w:val="20"/>
                <w:color w:val="auto"/>
              </w:rPr>
            </w:pPr>
            <w:r>
              <w:rPr>
                <w:rFonts w:ascii="Arial" w:cs="Arial" w:eastAsia="Arial" w:hAnsi="Arial"/>
                <w:sz w:val="18"/>
                <w:szCs w:val="18"/>
                <w:color w:val="auto"/>
              </w:rPr>
              <w:t>outcome of the vote.</w:t>
            </w:r>
          </w:p>
        </w:tc>
      </w:tr>
    </w:tbl>
    <w:p>
      <w:pPr>
        <w:spacing w:after="0" w:line="214" w:lineRule="exact"/>
        <w:rPr>
          <w:sz w:val="20"/>
          <w:szCs w:val="20"/>
          <w:color w:val="auto"/>
        </w:rPr>
      </w:pPr>
    </w:p>
    <w:p>
      <w:pPr>
        <w:sectPr>
          <w:pgSz w:w="11900" w:h="16838" w:orient="portrait"/>
          <w:cols w:equalWidth="0" w:num="2">
            <w:col w:w="3080" w:space="340"/>
            <w:col w:w="7820"/>
          </w:cols>
          <w:pgMar w:left="320" w:top="1417" w:right="339" w:bottom="1440" w:gutter="0" w:footer="0" w:header="0"/>
          <w:type w:val="continuous"/>
        </w:sectPr>
      </w:pPr>
    </w:p>
    <w:p>
      <w:pPr>
        <w:spacing w:after="0" w:line="81" w:lineRule="exact"/>
        <w:rPr>
          <w:sz w:val="20"/>
          <w:szCs w:val="20"/>
          <w:color w:val="auto"/>
        </w:rPr>
      </w:pPr>
    </w:p>
    <w:p>
      <w:pPr>
        <w:ind w:right="460" w:firstLine="324"/>
        <w:spacing w:after="0" w:line="277" w:lineRule="auto"/>
        <w:rPr>
          <w:sz w:val="20"/>
          <w:szCs w:val="20"/>
          <w:color w:val="auto"/>
        </w:rPr>
      </w:pPr>
      <w:r>
        <w:rPr>
          <w:rFonts w:ascii="Arial" w:cs="Arial" w:eastAsia="Arial" w:hAnsi="Arial"/>
          <w:sz w:val="18"/>
          <w:szCs w:val="18"/>
          <w:color w:val="auto"/>
        </w:rPr>
        <w:t>If there are not enough Common Shares represented at the Meeting for votes to approve any of the Proposals at the Meeting, the Chairman of the Meeting may adjourn the Meeting to permit the further solicitation of proxies.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1417" w:right="339" w:bottom="1440" w:gutter="0" w:footer="0" w:header="0"/>
          <w:type w:val="continuous"/>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color w:val="auto"/>
        </w:rPr>
        <w:t>BROKER NON-VOTES</w:t>
      </w:r>
    </w:p>
    <w:p>
      <w:pPr>
        <w:spacing w:after="0" w:line="27" w:lineRule="exact"/>
        <w:rPr>
          <w:sz w:val="20"/>
          <w:szCs w:val="20"/>
          <w:color w:val="auto"/>
        </w:rPr>
      </w:pPr>
    </w:p>
    <w:p>
      <w:pPr>
        <w:ind w:right="100" w:firstLine="324"/>
        <w:spacing w:after="0" w:line="270" w:lineRule="auto"/>
        <w:rPr>
          <w:sz w:val="20"/>
          <w:szCs w:val="20"/>
          <w:color w:val="auto"/>
        </w:rPr>
      </w:pPr>
      <w:r>
        <w:rPr>
          <w:rFonts w:ascii="Arial" w:cs="Arial" w:eastAsia="Arial" w:hAnsi="Arial"/>
          <w:sz w:val="17"/>
          <w:szCs w:val="17"/>
          <w:color w:val="auto"/>
        </w:rPr>
        <w:t>If a shareholder of the Company does not vote at the Meeting or does not submit voting instructions to its broker, bank or other nominee, the broker, bank or other nominee will not be permitted to vote the shareholder’s shares on non-routine proposals. Each of the Proposals is a non-routine proposal. As a result, if you hold Common Shares in street name through a broker, your broker will not be permitted to exercise voting discretion with respect to the Proposals. Thus, your broker cannot vote with respect to any of the Proposals unless you give your broker specific instructions on how to vote for you. While broker non-votes would have the effect of a vote “against” Proposal 1, and would have no effect on Proposal 2, we do not expect any broker non-votes at the Meeting because there are no routine proposals to be voted on at the Meeting.</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VOTING AND REVOCATION OF PROXIES</w:t>
      </w:r>
    </w:p>
    <w:p>
      <w:pPr>
        <w:spacing w:after="0" w:line="162" w:lineRule="exact"/>
        <w:rPr>
          <w:sz w:val="20"/>
          <w:szCs w:val="20"/>
          <w:color w:val="auto"/>
        </w:rPr>
      </w:pPr>
    </w:p>
    <w:p>
      <w:pPr>
        <w:ind w:right="20" w:firstLine="432"/>
        <w:spacing w:after="0" w:line="271" w:lineRule="auto"/>
        <w:rPr>
          <w:sz w:val="20"/>
          <w:szCs w:val="20"/>
          <w:color w:val="auto"/>
        </w:rPr>
      </w:pPr>
      <w:r>
        <w:rPr>
          <w:rFonts w:ascii="Arial" w:cs="Arial" w:eastAsia="Arial" w:hAnsi="Arial"/>
          <w:sz w:val="17"/>
          <w:szCs w:val="17"/>
          <w:color w:val="auto"/>
        </w:rPr>
        <w:t>Proxies solicited by the Board of Directors will be voted in accordance with the directions given therein. If any other matters are properly brought before the Meeting as to which proxies confer discretionary authority, the persons named in the proxy will vote the shares represented thereby on such matters as determined by a majority of the Board of Directors. The proxies solicited by the Board of Directors confer discretionary authority on the persons named therein to vote with respect to matters incident to the conduct of the Meeting and with respect to any other matter presented at the Meeting if notice of such matter has not been delivered to the Company within a reasonable time before the date of this Proxy Statement. Proxies marked as abstentions will not be counted as votes cast. In addition, shares held in street name that have been designated by brokers on Proxy Cards as not voted (“broker non-votes”) will not be counted as votes cast. Proxies marked as abstentions or as broker non-votes will be treated as shares present for purposes of determining whether a quorum exists.</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PROXIES FOR THE MEETING</w:t>
      </w:r>
    </w:p>
    <w:p>
      <w:pPr>
        <w:spacing w:after="0" w:line="27"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The named proxies for the Meeting are Michael A. Schwartz and Barry Sloane (or their duly authorized designees), who will follow submitted proxy voting instructions. They will vote as the Board of Directors recommends herein as to any submitted proxies that do not direct how to vote on any item, and will vote on any other matters properly presented at the Meeting in their judgment.</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VOTING SECURITIES</w:t>
      </w:r>
    </w:p>
    <w:p>
      <w:pPr>
        <w:spacing w:after="0" w:line="148" w:lineRule="exact"/>
        <w:rPr>
          <w:sz w:val="20"/>
          <w:szCs w:val="20"/>
          <w:color w:val="auto"/>
        </w:rPr>
      </w:pPr>
    </w:p>
    <w:p>
      <w:pPr>
        <w:ind w:right="180" w:firstLine="432"/>
        <w:spacing w:after="0" w:line="263" w:lineRule="auto"/>
        <w:rPr>
          <w:sz w:val="20"/>
          <w:szCs w:val="20"/>
          <w:color w:val="auto"/>
        </w:rPr>
      </w:pPr>
      <w:r>
        <w:rPr>
          <w:rFonts w:ascii="Arial" w:cs="Arial" w:eastAsia="Arial" w:hAnsi="Arial"/>
          <w:sz w:val="18"/>
          <w:szCs w:val="18"/>
          <w:color w:val="auto"/>
        </w:rPr>
        <w:t>The securities which can be voted at the Meeting consist of the Company’s Common Shares. Shareholders of record as of the close of business on May 28, 2021 (the “Record Date”) are entitled to one vote for each Common Share then held on all matters. As of the Record Date, 22,509,718 Common Shares were issued and outstanding.</w:t>
      </w:r>
    </w:p>
    <w:p>
      <w:pPr>
        <w:spacing w:after="0" w:line="116" w:lineRule="exact"/>
        <w:rPr>
          <w:sz w:val="20"/>
          <w:szCs w:val="20"/>
          <w:color w:val="auto"/>
        </w:rPr>
      </w:pPr>
    </w:p>
    <w:p>
      <w:pPr>
        <w:ind w:right="320" w:firstLine="432"/>
        <w:spacing w:after="0" w:line="308" w:lineRule="auto"/>
        <w:rPr>
          <w:sz w:val="20"/>
          <w:szCs w:val="20"/>
          <w:color w:val="auto"/>
        </w:rPr>
      </w:pPr>
      <w:r>
        <w:rPr>
          <w:rFonts w:ascii="Arial" w:cs="Arial" w:eastAsia="Arial" w:hAnsi="Arial"/>
          <w:sz w:val="17"/>
          <w:szCs w:val="17"/>
          <w:color w:val="auto"/>
        </w:rPr>
        <w:t>Persons and groups owning in excess of 5% of Company’s Common Shares are required to file certain reports regarding such ownership with the Securities and Exchange Commission (“SEC”) pursuant to the Securities Exchange Act of 1934, as amended (the “Exchange Act”).</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162" w:lineRule="exact"/>
        <w:rPr>
          <w:sz w:val="20"/>
          <w:szCs w:val="20"/>
          <w:color w:val="auto"/>
        </w:rPr>
      </w:pPr>
    </w:p>
    <w:p>
      <w:pPr>
        <w:ind w:right="140" w:firstLine="432"/>
        <w:spacing w:after="0" w:line="263" w:lineRule="auto"/>
        <w:rPr>
          <w:sz w:val="20"/>
          <w:szCs w:val="20"/>
          <w:color w:val="auto"/>
        </w:rPr>
      </w:pPr>
      <w:r>
        <w:rPr>
          <w:rFonts w:ascii="Arial" w:cs="Arial" w:eastAsia="Arial" w:hAnsi="Arial"/>
          <w:sz w:val="18"/>
          <w:szCs w:val="18"/>
          <w:color w:val="auto"/>
        </w:rPr>
        <w:t>The following table sets forth, as of May 21, 2021, the beneficial ownership of each current director, the Company’s executive officers, each person known to the Company to beneficially own 5% or more of the outstanding Common Shares, and the executive officers and directors as a group. The percentage of beneficial ownership is based on 22,509,718 Common Shares outstanding as of May 28, 2021.</w:t>
      </w:r>
    </w:p>
    <w:p>
      <w:pPr>
        <w:spacing w:after="0" w:line="211" w:lineRule="exact"/>
        <w:rPr>
          <w:sz w:val="20"/>
          <w:szCs w:val="20"/>
          <w:color w:val="auto"/>
        </w:rPr>
      </w:pPr>
    </w:p>
    <w:p>
      <w:pPr>
        <w:ind w:right="100" w:firstLine="405"/>
        <w:spacing w:after="0" w:line="263" w:lineRule="auto"/>
        <w:rPr>
          <w:sz w:val="20"/>
          <w:szCs w:val="20"/>
          <w:color w:val="auto"/>
        </w:rPr>
      </w:pPr>
      <w:r>
        <w:rPr>
          <w:rFonts w:ascii="Arial" w:cs="Arial" w:eastAsia="Arial" w:hAnsi="Arial"/>
          <w:sz w:val="18"/>
          <w:szCs w:val="18"/>
          <w:color w:val="auto"/>
        </w:rPr>
        <w:t>Beneficial ownership is determined in accordance with the rules of the SEC and includes voting or investment power with respect to the securities. Ownership information for those persons who beneficially own 5% or more of the Company’s Common Shares is based upon filings by such persons with the SEC and other information obtained from such persons, if available.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20"/>
          </w:cols>
          <w:pgMar w:left="320" w:top="1417" w:right="359" w:bottom="1440" w:gutter="0" w:footer="0" w:header="0"/>
        </w:sectPr>
      </w:pPr>
    </w:p>
    <w:bookmarkStart w:id="8" w:name="page9"/>
    <w:bookmarkEnd w:id="8"/>
    <w:p>
      <w:pPr>
        <w:spacing w:after="0" w:line="130" w:lineRule="exact"/>
        <w:rPr>
          <w:sz w:val="20"/>
          <w:szCs w:val="20"/>
          <w:color w:val="auto"/>
        </w:rPr>
      </w:pPr>
    </w:p>
    <w:p>
      <w:pPr>
        <w:jc w:val="both"/>
        <w:ind w:right="140" w:firstLine="432"/>
        <w:spacing w:after="0" w:line="277" w:lineRule="auto"/>
        <w:rPr>
          <w:sz w:val="20"/>
          <w:szCs w:val="20"/>
          <w:color w:val="auto"/>
        </w:rPr>
      </w:pPr>
      <w:r>
        <w:rPr>
          <w:rFonts w:ascii="Arial" w:cs="Arial" w:eastAsia="Arial" w:hAnsi="Arial"/>
          <w:sz w:val="17"/>
          <w:szCs w:val="17"/>
          <w:color w:val="auto"/>
        </w:rPr>
        <w:t>Unless otherwise indicated, the Company believes that each beneficial owner set forth in the table has sole voting and investment power and has the same address as the Company. The Company’s directors are divided into two groups — interested directors and independent directors. Interested directors are “interested persons” of the Company as defined in Section 2(a)(19) of the 1940 Act. Unless otherwise indicated, the addresses of all executive officers and directors are c/o Newtek Business Services Corp.,4800 T-Rex Avenue, Suite 120, Boca Raton, FL 33431.</w:t>
      </w:r>
    </w:p>
    <w:tbl>
      <w:tblPr>
        <w:tblLayout w:type="fixed"/>
        <w:tblInd w:w="0" w:type="dxa"/>
        <w:tblCellMar>
          <w:top w:w="0" w:type="dxa"/>
          <w:left w:w="0" w:type="dxa"/>
          <w:bottom w:w="0" w:type="dxa"/>
          <w:right w:w="0" w:type="dxa"/>
        </w:tblCellMar>
      </w:tblPr>
      <w:tr>
        <w:trPr>
          <w:trHeight w:val="165"/>
        </w:trPr>
        <w:tc>
          <w:tcPr>
            <w:tcW w:w="960" w:type="dxa"/>
            <w:vAlign w:val="bottom"/>
          </w:tcPr>
          <w:p>
            <w:pPr>
              <w:spacing w:after="0"/>
              <w:rPr>
                <w:sz w:val="14"/>
                <w:szCs w:val="14"/>
                <w:color w:val="auto"/>
              </w:rPr>
            </w:pPr>
          </w:p>
        </w:tc>
        <w:tc>
          <w:tcPr>
            <w:tcW w:w="6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20" w:type="dxa"/>
            <w:vAlign w:val="bottom"/>
            <w:gridSpan w:val="2"/>
          </w:tcPr>
          <w:p>
            <w:pPr>
              <w:jc w:val="center"/>
              <w:ind w:right="160"/>
              <w:spacing w:after="0" w:line="165" w:lineRule="exact"/>
              <w:rPr>
                <w:sz w:val="20"/>
                <w:szCs w:val="20"/>
                <w:color w:val="auto"/>
              </w:rPr>
            </w:pPr>
            <w:r>
              <w:rPr>
                <w:rFonts w:ascii="Arial" w:cs="Arial" w:eastAsia="Arial" w:hAnsi="Arial"/>
                <w:sz w:val="16"/>
                <w:szCs w:val="16"/>
                <w:b w:val="1"/>
                <w:bCs w:val="1"/>
                <w:color w:val="auto"/>
                <w:w w:val="94"/>
              </w:rPr>
              <w:t>Number of</w:t>
            </w:r>
          </w:p>
        </w:tc>
        <w:tc>
          <w:tcPr>
            <w:tcW w:w="1520" w:type="dxa"/>
            <w:vAlign w:val="bottom"/>
            <w:vMerge w:val="restart"/>
          </w:tcPr>
          <w:p>
            <w:pPr>
              <w:jc w:val="right"/>
              <w:ind w:right="352"/>
              <w:spacing w:after="0"/>
              <w:rPr>
                <w:sz w:val="20"/>
                <w:szCs w:val="20"/>
                <w:color w:val="auto"/>
              </w:rPr>
            </w:pPr>
            <w:r>
              <w:rPr>
                <w:rFonts w:ascii="Arial" w:cs="Arial" w:eastAsia="Arial" w:hAnsi="Arial"/>
                <w:sz w:val="16"/>
                <w:szCs w:val="16"/>
                <w:b w:val="1"/>
                <w:bCs w:val="1"/>
                <w:color w:val="auto"/>
              </w:rPr>
              <w:t>Percent of</w:t>
            </w:r>
          </w:p>
        </w:tc>
        <w:tc>
          <w:tcPr>
            <w:tcW w:w="0" w:type="dxa"/>
            <w:vAlign w:val="bottom"/>
          </w:tcPr>
          <w:p>
            <w:pPr>
              <w:spacing w:after="0"/>
              <w:rPr>
                <w:sz w:val="1"/>
                <w:szCs w:val="1"/>
                <w:color w:val="auto"/>
              </w:rPr>
            </w:pPr>
          </w:p>
        </w:tc>
      </w:tr>
      <w:tr>
        <w:trPr>
          <w:trHeight w:val="162"/>
        </w:trPr>
        <w:tc>
          <w:tcPr>
            <w:tcW w:w="728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Name of Beneficial Owner</w:t>
            </w:r>
          </w:p>
        </w:tc>
        <w:tc>
          <w:tcPr>
            <w:tcW w:w="120" w:type="dxa"/>
            <w:vAlign w:val="bottom"/>
            <w:vMerge w:val="restart"/>
          </w:tcPr>
          <w:p>
            <w:pPr>
              <w:spacing w:after="0"/>
              <w:rPr>
                <w:sz w:val="14"/>
                <w:szCs w:val="14"/>
                <w:color w:val="auto"/>
              </w:rPr>
            </w:pPr>
          </w:p>
        </w:tc>
        <w:tc>
          <w:tcPr>
            <w:tcW w:w="2320" w:type="dxa"/>
            <w:vAlign w:val="bottom"/>
            <w:gridSpan w:val="2"/>
          </w:tcPr>
          <w:p>
            <w:pPr>
              <w:jc w:val="center"/>
              <w:ind w:right="160"/>
              <w:spacing w:after="0" w:line="162" w:lineRule="exact"/>
              <w:rPr>
                <w:sz w:val="20"/>
                <w:szCs w:val="20"/>
                <w:color w:val="auto"/>
              </w:rPr>
            </w:pPr>
            <w:r>
              <w:rPr>
                <w:rFonts w:ascii="Arial" w:cs="Arial" w:eastAsia="Arial" w:hAnsi="Arial"/>
                <w:sz w:val="16"/>
                <w:szCs w:val="16"/>
                <w:b w:val="1"/>
                <w:bCs w:val="1"/>
                <w:color w:val="auto"/>
                <w:w w:val="89"/>
              </w:rPr>
              <w:t>Shares Beneficially</w:t>
            </w:r>
          </w:p>
        </w:tc>
        <w:tc>
          <w:tcPr>
            <w:tcW w:w="15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7280" w:type="dxa"/>
            <w:vAlign w:val="bottom"/>
            <w:tcBorders>
              <w:bottom w:val="single" w:sz="8" w:color="auto"/>
            </w:tcBorders>
            <w:gridSpan w:val="2"/>
            <w:vMerge w:val="continue"/>
          </w:tcPr>
          <w:p>
            <w:pPr>
              <w:spacing w:after="0"/>
              <w:rPr>
                <w:sz w:val="18"/>
                <w:szCs w:val="18"/>
                <w:color w:val="auto"/>
              </w:rPr>
            </w:pPr>
          </w:p>
        </w:tc>
        <w:tc>
          <w:tcPr>
            <w:tcW w:w="120" w:type="dxa"/>
            <w:vAlign w:val="bottom"/>
            <w:tcBorders>
              <w:bottom w:val="single" w:sz="8" w:color="CCEEFF"/>
            </w:tcBorders>
            <w:vMerge w:val="continue"/>
          </w:tcPr>
          <w:p>
            <w:pPr>
              <w:spacing w:after="0"/>
              <w:rPr>
                <w:sz w:val="18"/>
                <w:szCs w:val="18"/>
                <w:color w:val="auto"/>
              </w:rPr>
            </w:pPr>
          </w:p>
        </w:tc>
        <w:tc>
          <w:tcPr>
            <w:tcW w:w="22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Owned</w:t>
            </w:r>
          </w:p>
        </w:tc>
        <w:tc>
          <w:tcPr>
            <w:tcW w:w="120" w:type="dxa"/>
            <w:vAlign w:val="bottom"/>
            <w:tcBorders>
              <w:bottom w:val="single" w:sz="8" w:color="CCEEFF"/>
            </w:tcBorders>
          </w:tcPr>
          <w:p>
            <w:pPr>
              <w:spacing w:after="0"/>
              <w:rPr>
                <w:sz w:val="18"/>
                <w:szCs w:val="18"/>
                <w:color w:val="auto"/>
              </w:rPr>
            </w:pPr>
          </w:p>
        </w:tc>
        <w:tc>
          <w:tcPr>
            <w:tcW w:w="1520" w:type="dxa"/>
            <w:vAlign w:val="bottom"/>
            <w:tcBorders>
              <w:bottom w:val="single" w:sz="8" w:color="auto"/>
            </w:tcBorders>
          </w:tcPr>
          <w:p>
            <w:pPr>
              <w:jc w:val="right"/>
              <w:ind w:right="492"/>
              <w:spacing w:after="0"/>
              <w:rPr>
                <w:sz w:val="20"/>
                <w:szCs w:val="20"/>
                <w:color w:val="auto"/>
              </w:rPr>
            </w:pPr>
            <w:r>
              <w:rPr>
                <w:rFonts w:ascii="Arial" w:cs="Arial" w:eastAsia="Arial" w:hAnsi="Arial"/>
                <w:sz w:val="16"/>
                <w:szCs w:val="16"/>
                <w:b w:val="1"/>
                <w:bCs w:val="1"/>
                <w:color w:val="auto"/>
              </w:rPr>
              <w:t>Class</w:t>
            </w:r>
          </w:p>
        </w:tc>
        <w:tc>
          <w:tcPr>
            <w:tcW w:w="0" w:type="dxa"/>
            <w:vAlign w:val="bottom"/>
          </w:tcPr>
          <w:p>
            <w:pPr>
              <w:spacing w:after="0"/>
              <w:rPr>
                <w:sz w:val="1"/>
                <w:szCs w:val="1"/>
                <w:color w:val="auto"/>
              </w:rPr>
            </w:pPr>
          </w:p>
        </w:tc>
      </w:tr>
      <w:tr>
        <w:trPr>
          <w:trHeight w:val="266"/>
        </w:trPr>
        <w:tc>
          <w:tcPr>
            <w:tcW w:w="7400" w:type="dxa"/>
            <w:vAlign w:val="bottom"/>
            <w:gridSpan w:val="3"/>
            <w:shd w:val="clear" w:color="auto" w:fill="CCEEFF"/>
          </w:tcPr>
          <w:p>
            <w:pPr>
              <w:ind w:left="200"/>
              <w:spacing w:after="0"/>
              <w:rPr>
                <w:sz w:val="20"/>
                <w:szCs w:val="20"/>
                <w:color w:val="auto"/>
              </w:rPr>
            </w:pPr>
            <w:r>
              <w:rPr>
                <w:rFonts w:ascii="Arial" w:cs="Arial" w:eastAsia="Arial" w:hAnsi="Arial"/>
                <w:sz w:val="18"/>
                <w:szCs w:val="18"/>
                <w:b w:val="1"/>
                <w:bCs w:val="1"/>
                <w:i w:val="1"/>
                <w:iCs w:val="1"/>
                <w:color w:val="auto"/>
              </w:rPr>
              <w:t>Interested Directors:</w:t>
            </w:r>
          </w:p>
        </w:tc>
        <w:tc>
          <w:tcPr>
            <w:tcW w:w="22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5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400" w:type="dxa"/>
            <w:vAlign w:val="bottom"/>
            <w:gridSpan w:val="3"/>
          </w:tcPr>
          <w:p>
            <w:pPr>
              <w:ind w:left="20"/>
              <w:spacing w:after="0"/>
              <w:rPr>
                <w:sz w:val="20"/>
                <w:szCs w:val="20"/>
                <w:color w:val="auto"/>
              </w:rPr>
            </w:pPr>
            <w:r>
              <w:rPr>
                <w:rFonts w:ascii="Arial" w:cs="Arial" w:eastAsia="Arial" w:hAnsi="Arial"/>
                <w:sz w:val="18"/>
                <w:szCs w:val="18"/>
                <w:color w:val="auto"/>
              </w:rPr>
              <w:t>Barry Sloane</w:t>
            </w:r>
            <w:r>
              <w:rPr>
                <w:rFonts w:ascii="Arial" w:cs="Arial" w:eastAsia="Arial" w:hAnsi="Arial"/>
                <w:sz w:val="9"/>
                <w:szCs w:val="9"/>
                <w:color w:val="auto"/>
              </w:rPr>
              <w:t>(1)</w:t>
            </w:r>
          </w:p>
        </w:tc>
        <w:tc>
          <w:tcPr>
            <w:tcW w:w="2200" w:type="dxa"/>
            <w:vAlign w:val="bottom"/>
          </w:tcPr>
          <w:p>
            <w:pPr>
              <w:jc w:val="right"/>
              <w:spacing w:after="0"/>
              <w:rPr>
                <w:sz w:val="20"/>
                <w:szCs w:val="20"/>
                <w:color w:val="auto"/>
              </w:rPr>
            </w:pPr>
            <w:r>
              <w:rPr>
                <w:rFonts w:ascii="Arial" w:cs="Arial" w:eastAsia="Arial" w:hAnsi="Arial"/>
                <w:sz w:val="18"/>
                <w:szCs w:val="18"/>
                <w:color w:val="auto"/>
              </w:rPr>
              <w:t>1,150,551</w:t>
            </w:r>
          </w:p>
        </w:tc>
        <w:tc>
          <w:tcPr>
            <w:tcW w:w="12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5.1 %</w:t>
            </w:r>
          </w:p>
        </w:tc>
        <w:tc>
          <w:tcPr>
            <w:tcW w:w="0" w:type="dxa"/>
            <w:vAlign w:val="bottom"/>
          </w:tcPr>
          <w:p>
            <w:pPr>
              <w:spacing w:after="0"/>
              <w:rPr>
                <w:sz w:val="1"/>
                <w:szCs w:val="1"/>
                <w:color w:val="auto"/>
              </w:rPr>
            </w:pPr>
          </w:p>
        </w:tc>
      </w:tr>
      <w:tr>
        <w:trPr>
          <w:trHeight w:val="163"/>
        </w:trPr>
        <w:tc>
          <w:tcPr>
            <w:tcW w:w="96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w w:val="89"/>
                <w:shd w:val="clear" w:color="auto" w:fill="CCEEFF"/>
              </w:rPr>
              <w:t>Peter Downs</w:t>
            </w:r>
          </w:p>
        </w:tc>
        <w:tc>
          <w:tcPr>
            <w:tcW w:w="6320" w:type="dxa"/>
            <w:vAlign w:val="bottom"/>
            <w:shd w:val="clear" w:color="auto" w:fill="CCEEFF"/>
          </w:tcPr>
          <w:p>
            <w:pPr>
              <w:jc w:val="right"/>
              <w:ind w:right="6173"/>
              <w:spacing w:after="0"/>
              <w:rPr>
                <w:sz w:val="20"/>
                <w:szCs w:val="20"/>
                <w:color w:val="auto"/>
              </w:rPr>
            </w:pPr>
            <w:r>
              <w:rPr>
                <w:rFonts w:ascii="Arial" w:cs="Arial" w:eastAsia="Arial" w:hAnsi="Arial"/>
                <w:sz w:val="9"/>
                <w:szCs w:val="9"/>
                <w:color w:val="auto"/>
                <w:w w:val="72"/>
                <w:shd w:val="clear" w:color="auto" w:fill="CCEEFF"/>
              </w:rPr>
              <w:t>(2)</w:t>
            </w:r>
          </w:p>
        </w:tc>
        <w:tc>
          <w:tcPr>
            <w:tcW w:w="120" w:type="dxa"/>
            <w:vAlign w:val="bottom"/>
            <w:shd w:val="clear" w:color="auto" w:fill="CCEEFF"/>
          </w:tcPr>
          <w:p>
            <w:pPr>
              <w:spacing w:after="0"/>
              <w:rPr>
                <w:sz w:val="14"/>
                <w:szCs w:val="14"/>
                <w:color w:val="auto"/>
              </w:rPr>
            </w:pPr>
          </w:p>
        </w:tc>
        <w:tc>
          <w:tcPr>
            <w:tcW w:w="2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45,307</w:t>
            </w:r>
          </w:p>
        </w:tc>
        <w:tc>
          <w:tcPr>
            <w:tcW w:w="12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87"/>
        </w:trPr>
        <w:tc>
          <w:tcPr>
            <w:tcW w:w="960" w:type="dxa"/>
            <w:vAlign w:val="bottom"/>
            <w:tcBorders>
              <w:bottom w:val="single" w:sz="8" w:color="CCEEFF"/>
            </w:tcBorders>
            <w:vMerge w:val="continue"/>
            <w:shd w:val="clear" w:color="auto" w:fill="CCEEFF"/>
          </w:tcPr>
          <w:p>
            <w:pPr>
              <w:spacing w:after="0"/>
              <w:rPr>
                <w:sz w:val="7"/>
                <w:szCs w:val="7"/>
                <w:color w:val="auto"/>
              </w:rPr>
            </w:pPr>
          </w:p>
        </w:tc>
        <w:tc>
          <w:tcPr>
            <w:tcW w:w="6320" w:type="dxa"/>
            <w:vAlign w:val="bottom"/>
            <w:tcBorders>
              <w:bottom w:val="single" w:sz="8" w:color="CCEEFF"/>
            </w:tcBorders>
            <w:shd w:val="clear" w:color="auto" w:fill="CCEEFF"/>
          </w:tcPr>
          <w:p>
            <w:pPr>
              <w:spacing w:after="0"/>
              <w:rPr>
                <w:sz w:val="7"/>
                <w:szCs w:val="7"/>
                <w:color w:val="auto"/>
              </w:rPr>
            </w:pPr>
          </w:p>
        </w:tc>
        <w:tc>
          <w:tcPr>
            <w:tcW w:w="120" w:type="dxa"/>
            <w:vAlign w:val="bottom"/>
            <w:tcBorders>
              <w:bottom w:val="single" w:sz="8" w:color="CCEEFF"/>
            </w:tcBorders>
            <w:shd w:val="clear" w:color="auto" w:fill="CCEEFF"/>
          </w:tcPr>
          <w:p>
            <w:pPr>
              <w:spacing w:after="0"/>
              <w:rPr>
                <w:sz w:val="7"/>
                <w:szCs w:val="7"/>
                <w:color w:val="auto"/>
              </w:rPr>
            </w:pPr>
          </w:p>
        </w:tc>
        <w:tc>
          <w:tcPr>
            <w:tcW w:w="2200" w:type="dxa"/>
            <w:vAlign w:val="bottom"/>
            <w:tcBorders>
              <w:bottom w:val="single" w:sz="8" w:color="CCEEFF"/>
            </w:tcBorders>
            <w:vMerge w:val="continue"/>
            <w:shd w:val="clear" w:color="auto" w:fill="CCEEFF"/>
          </w:tcPr>
          <w:p>
            <w:pPr>
              <w:spacing w:after="0"/>
              <w:rPr>
                <w:sz w:val="7"/>
                <w:szCs w:val="7"/>
                <w:color w:val="auto"/>
              </w:rPr>
            </w:pPr>
          </w:p>
        </w:tc>
        <w:tc>
          <w:tcPr>
            <w:tcW w:w="120" w:type="dxa"/>
            <w:vAlign w:val="bottom"/>
            <w:tcBorders>
              <w:bottom w:val="single" w:sz="8" w:color="CCEEFF"/>
            </w:tcBorders>
            <w:shd w:val="clear" w:color="auto" w:fill="CCEEFF"/>
          </w:tcPr>
          <w:p>
            <w:pPr>
              <w:spacing w:after="0"/>
              <w:rPr>
                <w:sz w:val="7"/>
                <w:szCs w:val="7"/>
                <w:color w:val="auto"/>
              </w:rPr>
            </w:pPr>
          </w:p>
        </w:tc>
        <w:tc>
          <w:tcPr>
            <w:tcW w:w="1520" w:type="dxa"/>
            <w:vAlign w:val="bottom"/>
            <w:tcBorders>
              <w:bottom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70"/>
        </w:trPr>
        <w:tc>
          <w:tcPr>
            <w:tcW w:w="7400" w:type="dxa"/>
            <w:vAlign w:val="bottom"/>
            <w:gridSpan w:val="3"/>
          </w:tcPr>
          <w:p>
            <w:pPr>
              <w:ind w:left="200"/>
              <w:spacing w:after="0"/>
              <w:rPr>
                <w:sz w:val="20"/>
                <w:szCs w:val="20"/>
                <w:color w:val="auto"/>
              </w:rPr>
            </w:pPr>
            <w:r>
              <w:rPr>
                <w:rFonts w:ascii="Arial" w:cs="Arial" w:eastAsia="Arial" w:hAnsi="Arial"/>
                <w:sz w:val="18"/>
                <w:szCs w:val="18"/>
                <w:b w:val="1"/>
                <w:bCs w:val="1"/>
                <w:i w:val="1"/>
                <w:iCs w:val="1"/>
                <w:color w:val="auto"/>
              </w:rPr>
              <w:t>Independent Directors:</w:t>
            </w:r>
          </w:p>
        </w:tc>
        <w:tc>
          <w:tcPr>
            <w:tcW w:w="2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4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Gregory Zink</w:t>
            </w:r>
            <w:r>
              <w:rPr>
                <w:rFonts w:ascii="Arial" w:cs="Arial" w:eastAsia="Arial" w:hAnsi="Arial"/>
                <w:sz w:val="9"/>
                <w:szCs w:val="9"/>
                <w:color w:val="auto"/>
              </w:rPr>
              <w:t>(4)</w:t>
            </w:r>
          </w:p>
        </w:tc>
        <w:tc>
          <w:tcPr>
            <w:tcW w:w="2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17,668</w:t>
            </w:r>
          </w:p>
        </w:tc>
        <w:tc>
          <w:tcPr>
            <w:tcW w:w="120" w:type="dxa"/>
            <w:vAlign w:val="bottom"/>
            <w:shd w:val="clear" w:color="auto" w:fill="CCEEFF"/>
          </w:tcPr>
          <w:p>
            <w:pPr>
              <w:spacing w:after="0"/>
              <w:rPr>
                <w:sz w:val="23"/>
                <w:szCs w:val="23"/>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7400" w:type="dxa"/>
            <w:vAlign w:val="bottom"/>
            <w:gridSpan w:val="3"/>
          </w:tcPr>
          <w:p>
            <w:pPr>
              <w:ind w:left="20"/>
              <w:spacing w:after="0"/>
              <w:rPr>
                <w:sz w:val="20"/>
                <w:szCs w:val="20"/>
                <w:color w:val="auto"/>
              </w:rPr>
            </w:pPr>
            <w:r>
              <w:rPr>
                <w:rFonts w:ascii="Arial" w:cs="Arial" w:eastAsia="Arial" w:hAnsi="Arial"/>
                <w:sz w:val="18"/>
                <w:szCs w:val="18"/>
                <w:color w:val="auto"/>
              </w:rPr>
              <w:t>Salvatore Mulia</w:t>
            </w:r>
            <w:r>
              <w:rPr>
                <w:rFonts w:ascii="Arial" w:cs="Arial" w:eastAsia="Arial" w:hAnsi="Arial"/>
                <w:sz w:val="9"/>
                <w:szCs w:val="9"/>
                <w:color w:val="auto"/>
              </w:rPr>
              <w:t>(4)</w:t>
            </w:r>
          </w:p>
        </w:tc>
        <w:tc>
          <w:tcPr>
            <w:tcW w:w="2200" w:type="dxa"/>
            <w:vAlign w:val="bottom"/>
          </w:tcPr>
          <w:p>
            <w:pPr>
              <w:jc w:val="right"/>
              <w:spacing w:after="0"/>
              <w:rPr>
                <w:sz w:val="20"/>
                <w:szCs w:val="20"/>
                <w:color w:val="auto"/>
              </w:rPr>
            </w:pPr>
            <w:r>
              <w:rPr>
                <w:rFonts w:ascii="Arial" w:cs="Arial" w:eastAsia="Arial" w:hAnsi="Arial"/>
                <w:sz w:val="18"/>
                <w:szCs w:val="18"/>
                <w:color w:val="auto"/>
              </w:rPr>
              <w:t>67,769</w:t>
            </w:r>
          </w:p>
        </w:tc>
        <w:tc>
          <w:tcPr>
            <w:tcW w:w="12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74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Richard Salute</w:t>
            </w:r>
            <w:r>
              <w:rPr>
                <w:rFonts w:ascii="Arial" w:cs="Arial" w:eastAsia="Arial" w:hAnsi="Arial"/>
                <w:sz w:val="9"/>
                <w:szCs w:val="9"/>
                <w:color w:val="auto"/>
              </w:rPr>
              <w:t>(4)</w:t>
            </w:r>
          </w:p>
        </w:tc>
        <w:tc>
          <w:tcPr>
            <w:tcW w:w="2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18,174</w:t>
            </w:r>
          </w:p>
        </w:tc>
        <w:tc>
          <w:tcPr>
            <w:tcW w:w="120" w:type="dxa"/>
            <w:vAlign w:val="bottom"/>
            <w:shd w:val="clear" w:color="auto" w:fill="CCEEFF"/>
          </w:tcPr>
          <w:p>
            <w:pPr>
              <w:spacing w:after="0"/>
              <w:rPr>
                <w:sz w:val="23"/>
                <w:szCs w:val="23"/>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7400" w:type="dxa"/>
            <w:vAlign w:val="bottom"/>
            <w:gridSpan w:val="3"/>
          </w:tcPr>
          <w:p>
            <w:pPr>
              <w:ind w:left="200"/>
              <w:spacing w:after="0"/>
              <w:rPr>
                <w:sz w:val="20"/>
                <w:szCs w:val="20"/>
                <w:color w:val="auto"/>
              </w:rPr>
            </w:pPr>
            <w:r>
              <w:rPr>
                <w:rFonts w:ascii="Arial" w:cs="Arial" w:eastAsia="Arial" w:hAnsi="Arial"/>
                <w:sz w:val="18"/>
                <w:szCs w:val="18"/>
                <w:b w:val="1"/>
                <w:bCs w:val="1"/>
                <w:i w:val="1"/>
                <w:iCs w:val="1"/>
                <w:color w:val="auto"/>
              </w:rPr>
              <w:t>Executive Officers:</w:t>
            </w:r>
          </w:p>
        </w:tc>
        <w:tc>
          <w:tcPr>
            <w:tcW w:w="2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4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Nicholas Leger</w:t>
            </w:r>
            <w:r>
              <w:rPr>
                <w:rFonts w:ascii="Arial" w:cs="Arial" w:eastAsia="Arial" w:hAnsi="Arial"/>
                <w:sz w:val="9"/>
                <w:szCs w:val="9"/>
                <w:color w:val="auto"/>
              </w:rPr>
              <w:t>(5)</w:t>
            </w:r>
          </w:p>
        </w:tc>
        <w:tc>
          <w:tcPr>
            <w:tcW w:w="2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5,012</w:t>
            </w:r>
          </w:p>
        </w:tc>
        <w:tc>
          <w:tcPr>
            <w:tcW w:w="120" w:type="dxa"/>
            <w:vAlign w:val="bottom"/>
            <w:shd w:val="clear" w:color="auto" w:fill="CCEEFF"/>
          </w:tcPr>
          <w:p>
            <w:pPr>
              <w:spacing w:after="0"/>
              <w:rPr>
                <w:sz w:val="23"/>
                <w:szCs w:val="23"/>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740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rPr>
              <w:t>Michael Schwartz</w:t>
            </w:r>
            <w:r>
              <w:rPr>
                <w:rFonts w:ascii="Arial" w:cs="Arial" w:eastAsia="Arial" w:hAnsi="Arial"/>
                <w:sz w:val="9"/>
                <w:szCs w:val="9"/>
                <w:color w:val="auto"/>
              </w:rPr>
              <w:t>(3)</w:t>
            </w:r>
          </w:p>
        </w:tc>
        <w:tc>
          <w:tcPr>
            <w:tcW w:w="2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24,978</w:t>
            </w:r>
          </w:p>
        </w:tc>
        <w:tc>
          <w:tcPr>
            <w:tcW w:w="120" w:type="dxa"/>
            <w:vAlign w:val="bottom"/>
            <w:tcBorders>
              <w:bottom w:val="single" w:sz="8" w:color="CCEEFF"/>
            </w:tcBorders>
          </w:tcPr>
          <w:p>
            <w:pPr>
              <w:spacing w:after="0"/>
              <w:rPr>
                <w:sz w:val="23"/>
                <w:szCs w:val="23"/>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7400" w:type="dxa"/>
            <w:vAlign w:val="bottom"/>
            <w:gridSpan w:val="3"/>
            <w:shd w:val="clear" w:color="auto" w:fill="CCEEFF"/>
          </w:tcPr>
          <w:p>
            <w:pPr>
              <w:ind w:left="200"/>
              <w:spacing w:after="0"/>
              <w:rPr>
                <w:sz w:val="20"/>
                <w:szCs w:val="20"/>
                <w:color w:val="auto"/>
              </w:rPr>
            </w:pPr>
            <w:r>
              <w:rPr>
                <w:rFonts w:ascii="Arial" w:cs="Arial" w:eastAsia="Arial" w:hAnsi="Arial"/>
                <w:sz w:val="18"/>
                <w:szCs w:val="18"/>
                <w:b w:val="1"/>
                <w:bCs w:val="1"/>
                <w:i w:val="1"/>
                <w:iCs w:val="1"/>
                <w:color w:val="auto"/>
              </w:rPr>
              <w:t>All current directors and executive officers as a group</w:t>
            </w:r>
          </w:p>
        </w:tc>
        <w:tc>
          <w:tcPr>
            <w:tcW w:w="2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1,329,459</w:t>
            </w:r>
          </w:p>
        </w:tc>
        <w:tc>
          <w:tcPr>
            <w:tcW w:w="12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5.1 %</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60"/>
        <w:spacing w:after="0"/>
        <w:rPr>
          <w:sz w:val="20"/>
          <w:szCs w:val="20"/>
          <w:color w:val="auto"/>
        </w:rPr>
      </w:pPr>
      <w:r>
        <w:rPr>
          <w:rFonts w:ascii="Arial" w:cs="Arial" w:eastAsia="Arial" w:hAnsi="Arial"/>
          <w:sz w:val="16"/>
          <w:szCs w:val="16"/>
          <w:color w:val="auto"/>
        </w:rPr>
        <w:t>____________</w:t>
      </w:r>
    </w:p>
    <w:p>
      <w:pPr>
        <w:spacing w:after="0" w:line="194" w:lineRule="exact"/>
        <w:rPr>
          <w:sz w:val="20"/>
          <w:szCs w:val="20"/>
          <w:color w:val="auto"/>
        </w:rPr>
      </w:pPr>
    </w:p>
    <w:p>
      <w:pPr>
        <w:ind w:left="420" w:hanging="412"/>
        <w:spacing w:after="0"/>
        <w:tabs>
          <w:tab w:leader="none" w:pos="420" w:val="left"/>
        </w:tabs>
        <w:numPr>
          <w:ilvl w:val="0"/>
          <w:numId w:val="8"/>
        </w:numPr>
        <w:rPr>
          <w:rFonts w:ascii="Arial" w:cs="Arial" w:eastAsia="Arial" w:hAnsi="Arial"/>
          <w:sz w:val="16"/>
          <w:szCs w:val="16"/>
          <w:color w:val="auto"/>
        </w:rPr>
      </w:pPr>
      <w:r>
        <w:rPr>
          <w:rFonts w:ascii="Arial" w:cs="Arial" w:eastAsia="Arial" w:hAnsi="Arial"/>
          <w:sz w:val="16"/>
          <w:szCs w:val="16"/>
          <w:color w:val="auto"/>
        </w:rPr>
        <w:t>Less than 1% of total Common Shares outstanding as of the Record Date.</w:t>
      </w:r>
    </w:p>
    <w:p>
      <w:pPr>
        <w:spacing w:after="0" w:line="248" w:lineRule="exact"/>
        <w:rPr>
          <w:sz w:val="20"/>
          <w:szCs w:val="20"/>
          <w:color w:val="auto"/>
        </w:rPr>
      </w:pPr>
    </w:p>
    <w:p>
      <w:pPr>
        <w:jc w:val="both"/>
        <w:ind w:left="440" w:right="220" w:hanging="432"/>
        <w:spacing w:after="0" w:line="261" w:lineRule="auto"/>
        <w:tabs>
          <w:tab w:leader="none" w:pos="440" w:val="left"/>
        </w:tabs>
        <w:numPr>
          <w:ilvl w:val="0"/>
          <w:numId w:val="9"/>
        </w:numPr>
        <w:rPr>
          <w:rFonts w:ascii="Arial" w:cs="Arial" w:eastAsia="Arial" w:hAnsi="Arial"/>
          <w:sz w:val="16"/>
          <w:szCs w:val="16"/>
          <w:color w:val="auto"/>
        </w:rPr>
      </w:pPr>
      <w:r>
        <w:rPr>
          <w:rFonts w:ascii="Arial" w:cs="Arial" w:eastAsia="Arial" w:hAnsi="Arial"/>
          <w:sz w:val="16"/>
          <w:szCs w:val="16"/>
          <w:color w:val="auto"/>
        </w:rPr>
        <w:t>Includes 176,221 Shares owned by The B Sloane Family Foundation, a 501(c)(3) private foundation, of which Mr. Sloane shares voting and dispositive power, and 83,217 restricted Common Shares awarded to Mr. Sloane in February 2021, with one-third vesting on each of the following dates: February 15, 2022; February 15, 2023; and February 15, 2024.</w:t>
      </w:r>
    </w:p>
    <w:p>
      <w:pPr>
        <w:spacing w:after="0" w:line="209" w:lineRule="exact"/>
        <w:rPr>
          <w:rFonts w:ascii="Arial" w:cs="Arial" w:eastAsia="Arial" w:hAnsi="Arial"/>
          <w:sz w:val="16"/>
          <w:szCs w:val="16"/>
          <w:color w:val="auto"/>
        </w:rPr>
      </w:pPr>
    </w:p>
    <w:p>
      <w:pPr>
        <w:ind w:left="440" w:right="240" w:hanging="432"/>
        <w:spacing w:after="0" w:line="275" w:lineRule="auto"/>
        <w:tabs>
          <w:tab w:leader="none" w:pos="440" w:val="left"/>
        </w:tabs>
        <w:numPr>
          <w:ilvl w:val="0"/>
          <w:numId w:val="9"/>
        </w:numPr>
        <w:rPr>
          <w:rFonts w:ascii="Arial" w:cs="Arial" w:eastAsia="Arial" w:hAnsi="Arial"/>
          <w:sz w:val="16"/>
          <w:szCs w:val="16"/>
          <w:color w:val="auto"/>
        </w:rPr>
      </w:pPr>
      <w:r>
        <w:rPr>
          <w:rFonts w:ascii="Arial" w:cs="Arial" w:eastAsia="Arial" w:hAnsi="Arial"/>
          <w:sz w:val="16"/>
          <w:szCs w:val="16"/>
          <w:color w:val="auto"/>
        </w:rPr>
        <w:t>Includes 11,557 restricted Common Shares awarded in February 2021 with one-third vesting on each of the following dates: February 15, 2022, February 15, 2023 and February 15, 2024.</w:t>
      </w:r>
    </w:p>
    <w:p>
      <w:pPr>
        <w:spacing w:after="0" w:line="199" w:lineRule="exact"/>
        <w:rPr>
          <w:rFonts w:ascii="Arial" w:cs="Arial" w:eastAsia="Arial" w:hAnsi="Arial"/>
          <w:sz w:val="16"/>
          <w:szCs w:val="16"/>
          <w:color w:val="auto"/>
        </w:rPr>
      </w:pPr>
    </w:p>
    <w:p>
      <w:pPr>
        <w:ind w:left="440" w:hanging="432"/>
        <w:spacing w:after="0"/>
        <w:tabs>
          <w:tab w:leader="none" w:pos="440" w:val="left"/>
        </w:tabs>
        <w:numPr>
          <w:ilvl w:val="0"/>
          <w:numId w:val="9"/>
        </w:numPr>
        <w:rPr>
          <w:rFonts w:ascii="Arial" w:cs="Arial" w:eastAsia="Arial" w:hAnsi="Arial"/>
          <w:sz w:val="14"/>
          <w:szCs w:val="14"/>
          <w:color w:val="auto"/>
        </w:rPr>
      </w:pPr>
      <w:r>
        <w:rPr>
          <w:rFonts w:ascii="Arial" w:cs="Arial" w:eastAsia="Arial" w:hAnsi="Arial"/>
          <w:sz w:val="14"/>
          <w:szCs w:val="14"/>
          <w:color w:val="auto"/>
        </w:rPr>
        <w:t>Includes 3,082 restricted Common Shares awarded in March 2021 with one-third vesting on each of the following date: March 15, 2022, March 15, 2023 and March</w:t>
      </w:r>
    </w:p>
    <w:p>
      <w:pPr>
        <w:spacing w:after="0" w:line="42" w:lineRule="exact"/>
        <w:rPr>
          <w:rFonts w:ascii="Arial" w:cs="Arial" w:eastAsia="Arial" w:hAnsi="Arial"/>
          <w:sz w:val="14"/>
          <w:szCs w:val="14"/>
          <w:color w:val="auto"/>
        </w:rPr>
      </w:pPr>
    </w:p>
    <w:p>
      <w:pPr>
        <w:ind w:left="440" w:right="340"/>
        <w:spacing w:after="0" w:line="257" w:lineRule="auto"/>
        <w:rPr>
          <w:rFonts w:ascii="Arial" w:cs="Arial" w:eastAsia="Arial" w:hAnsi="Arial"/>
          <w:sz w:val="14"/>
          <w:szCs w:val="14"/>
          <w:color w:val="auto"/>
        </w:rPr>
      </w:pPr>
      <w:r>
        <w:rPr>
          <w:rFonts w:ascii="Arial" w:cs="Arial" w:eastAsia="Arial" w:hAnsi="Arial"/>
          <w:sz w:val="16"/>
          <w:szCs w:val="16"/>
          <w:color w:val="auto"/>
        </w:rPr>
        <w:t>15, 2024; and 6,934 restricted Common Shares awarded in February 2021 with one-third vesting on each of the following dates: February 15, 2022, February 15, 2023 and February 15, 2024.</w:t>
      </w:r>
    </w:p>
    <w:p>
      <w:pPr>
        <w:spacing w:after="0" w:line="212" w:lineRule="exact"/>
        <w:rPr>
          <w:rFonts w:ascii="Arial" w:cs="Arial" w:eastAsia="Arial" w:hAnsi="Arial"/>
          <w:sz w:val="14"/>
          <w:szCs w:val="14"/>
          <w:color w:val="auto"/>
        </w:rPr>
      </w:pPr>
    </w:p>
    <w:p>
      <w:pPr>
        <w:ind w:left="440" w:right="60" w:hanging="432"/>
        <w:spacing w:after="0" w:line="349" w:lineRule="auto"/>
        <w:tabs>
          <w:tab w:leader="none" w:pos="440" w:val="left"/>
        </w:tabs>
        <w:numPr>
          <w:ilvl w:val="0"/>
          <w:numId w:val="9"/>
        </w:numPr>
        <w:rPr>
          <w:rFonts w:ascii="Arial" w:cs="Arial" w:eastAsia="Arial" w:hAnsi="Arial"/>
          <w:sz w:val="14"/>
          <w:szCs w:val="14"/>
          <w:color w:val="auto"/>
        </w:rPr>
      </w:pPr>
      <w:r>
        <w:rPr>
          <w:rFonts w:ascii="Arial" w:cs="Arial" w:eastAsia="Arial" w:hAnsi="Arial"/>
          <w:sz w:val="14"/>
          <w:szCs w:val="14"/>
          <w:color w:val="auto"/>
        </w:rPr>
        <w:t>Includes 1,332 restricted Company Shares awarded in June 2019 as equity-based compensation to each non-employee director at the beginning of their 2019 terms of service, which forfeiture restrictions will lapse as to one-third of such Company Shares each year for three years, plus accrued dividends through March 31, 2021.</w:t>
      </w:r>
    </w:p>
    <w:p>
      <w:pPr>
        <w:spacing w:after="0" w:line="152" w:lineRule="exact"/>
        <w:rPr>
          <w:rFonts w:ascii="Arial" w:cs="Arial" w:eastAsia="Arial" w:hAnsi="Arial"/>
          <w:sz w:val="14"/>
          <w:szCs w:val="14"/>
          <w:color w:val="auto"/>
        </w:rPr>
      </w:pPr>
    </w:p>
    <w:p>
      <w:pPr>
        <w:ind w:left="440" w:right="500" w:hanging="432"/>
        <w:spacing w:after="0" w:line="275" w:lineRule="auto"/>
        <w:tabs>
          <w:tab w:leader="none" w:pos="237" w:val="left"/>
        </w:tabs>
        <w:numPr>
          <w:ilvl w:val="0"/>
          <w:numId w:val="9"/>
        </w:numPr>
        <w:rPr>
          <w:rFonts w:ascii="Arial" w:cs="Arial" w:eastAsia="Arial" w:hAnsi="Arial"/>
          <w:sz w:val="16"/>
          <w:szCs w:val="16"/>
          <w:color w:val="auto"/>
        </w:rPr>
      </w:pPr>
      <w:r>
        <w:rPr>
          <w:rFonts w:ascii="Arial" w:cs="Arial" w:eastAsia="Arial" w:hAnsi="Arial"/>
          <w:sz w:val="16"/>
          <w:szCs w:val="16"/>
          <w:color w:val="auto"/>
        </w:rPr>
        <w:t>Includes 4,623 restricted Common Shares awarded in February 2021 with one-third vesting on each of the following dates: April 30, 2021, February 15, 2023 and February 15,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1440" w:right="339" w:bottom="1440" w:gutter="0" w:footer="0" w:header="0"/>
        </w:sectPr>
      </w:pPr>
    </w:p>
    <w:bookmarkStart w:id="9" w:name="page10"/>
    <w:bookmarkEnd w:id="9"/>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80" w:type="dxa"/>
            <w:vAlign w:val="bottom"/>
            <w:tcBorders>
              <w:bottom w:val="single" w:sz="8" w:color="auto"/>
            </w:tcBorders>
          </w:tcPr>
          <w:p>
            <w:pPr>
              <w:spacing w:after="0"/>
              <w:rPr>
                <w:sz w:val="20"/>
                <w:szCs w:val="20"/>
                <w:color w:val="auto"/>
              </w:rPr>
            </w:pPr>
          </w:p>
        </w:tc>
        <w:tc>
          <w:tcPr>
            <w:tcW w:w="9160" w:type="dxa"/>
            <w:vAlign w:val="bottom"/>
            <w:tcBorders>
              <w:bottom w:val="single" w:sz="8" w:color="auto"/>
            </w:tcBorders>
            <w:gridSpan w:val="3"/>
          </w:tcPr>
          <w:p>
            <w:pPr>
              <w:ind w:left="140"/>
              <w:spacing w:after="0"/>
              <w:rPr>
                <w:sz w:val="20"/>
                <w:szCs w:val="20"/>
                <w:color w:val="auto"/>
              </w:rPr>
            </w:pPr>
            <w:r>
              <w:rPr>
                <w:rFonts w:ascii="Arial" w:cs="Arial" w:eastAsia="Arial" w:hAnsi="Arial"/>
                <w:sz w:val="18"/>
                <w:szCs w:val="18"/>
                <w:b w:val="1"/>
                <w:bCs w:val="1"/>
                <w:color w:val="auto"/>
              </w:rPr>
              <w:t>Dollar Range of Equity Securities in the Company Beneficially Owned by Each Director:</w:t>
            </w:r>
          </w:p>
        </w:tc>
      </w:tr>
      <w:tr>
        <w:trPr>
          <w:trHeight w:val="174"/>
        </w:trPr>
        <w:tc>
          <w:tcPr>
            <w:tcW w:w="2080" w:type="dxa"/>
            <w:vAlign w:val="bottom"/>
          </w:tcPr>
          <w:p>
            <w:pPr>
              <w:spacing w:after="0"/>
              <w:rPr>
                <w:sz w:val="15"/>
                <w:szCs w:val="15"/>
                <w:color w:val="auto"/>
              </w:rPr>
            </w:pPr>
          </w:p>
        </w:tc>
        <w:tc>
          <w:tcPr>
            <w:tcW w:w="5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600" w:type="dxa"/>
            <w:vAlign w:val="bottom"/>
          </w:tcPr>
          <w:p>
            <w:pPr>
              <w:ind w:left="20"/>
              <w:spacing w:after="0" w:line="175" w:lineRule="exact"/>
              <w:rPr>
                <w:sz w:val="20"/>
                <w:szCs w:val="20"/>
                <w:color w:val="auto"/>
              </w:rPr>
            </w:pPr>
            <w:r>
              <w:rPr>
                <w:rFonts w:ascii="Arial" w:cs="Arial" w:eastAsia="Arial" w:hAnsi="Arial"/>
                <w:sz w:val="16"/>
                <w:szCs w:val="16"/>
                <w:b w:val="1"/>
                <w:bCs w:val="1"/>
                <w:color w:val="auto"/>
              </w:rPr>
              <w:t>Dollar Range of Equity Securities in</w:t>
            </w:r>
          </w:p>
        </w:tc>
      </w:tr>
      <w:tr>
        <w:trPr>
          <w:trHeight w:val="251"/>
        </w:trPr>
        <w:tc>
          <w:tcPr>
            <w:tcW w:w="20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Name of Director</w:t>
            </w:r>
          </w:p>
        </w:tc>
        <w:tc>
          <w:tcPr>
            <w:tcW w:w="5400" w:type="dxa"/>
            <w:vAlign w:val="bottom"/>
            <w:tcBorders>
              <w:bottom w:val="single" w:sz="8" w:color="auto"/>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3600" w:type="dxa"/>
            <w:vAlign w:val="bottom"/>
            <w:tcBorders>
              <w:bottom w:val="single" w:sz="8" w:color="auto"/>
            </w:tcBorders>
          </w:tcPr>
          <w:p>
            <w:pPr>
              <w:ind w:left="20"/>
              <w:spacing w:after="0" w:line="251" w:lineRule="exact"/>
              <w:rPr>
                <w:sz w:val="20"/>
                <w:szCs w:val="20"/>
                <w:color w:val="auto"/>
              </w:rPr>
            </w:pPr>
            <w:r>
              <w:rPr>
                <w:rFonts w:ascii="Arial" w:cs="Arial" w:eastAsia="Arial" w:hAnsi="Arial"/>
                <w:sz w:val="16"/>
                <w:szCs w:val="16"/>
                <w:b w:val="1"/>
                <w:bCs w:val="1"/>
                <w:color w:val="auto"/>
              </w:rPr>
              <w:t>Newtek Business Services Corp.</w:t>
            </w:r>
            <w:r>
              <w:rPr>
                <w:rFonts w:ascii="Arial" w:cs="Arial" w:eastAsia="Arial" w:hAnsi="Arial"/>
                <w:sz w:val="23"/>
                <w:szCs w:val="23"/>
                <w:b w:val="1"/>
                <w:bCs w:val="1"/>
                <w:color w:val="auto"/>
                <w:vertAlign w:val="superscript"/>
              </w:rPr>
              <w:t>(1)(2)</w:t>
            </w:r>
          </w:p>
        </w:tc>
      </w:tr>
      <w:tr>
        <w:trPr>
          <w:trHeight w:val="263"/>
        </w:trPr>
        <w:tc>
          <w:tcPr>
            <w:tcW w:w="2080" w:type="dxa"/>
            <w:vAlign w:val="bottom"/>
            <w:shd w:val="clear" w:color="auto" w:fill="CCEEFF"/>
          </w:tcPr>
          <w:p>
            <w:pPr>
              <w:ind w:left="200"/>
              <w:spacing w:after="0"/>
              <w:rPr>
                <w:sz w:val="20"/>
                <w:szCs w:val="20"/>
                <w:color w:val="auto"/>
              </w:rPr>
            </w:pPr>
            <w:r>
              <w:rPr>
                <w:rFonts w:ascii="Arial" w:cs="Arial" w:eastAsia="Arial" w:hAnsi="Arial"/>
                <w:sz w:val="18"/>
                <w:szCs w:val="18"/>
                <w:b w:val="1"/>
                <w:bCs w:val="1"/>
                <w:i w:val="1"/>
                <w:iCs w:val="1"/>
                <w:color w:val="auto"/>
              </w:rPr>
              <w:t>Interested Directors:</w:t>
            </w:r>
          </w:p>
        </w:tc>
        <w:tc>
          <w:tcPr>
            <w:tcW w:w="54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3600" w:type="dxa"/>
            <w:vAlign w:val="bottom"/>
            <w:shd w:val="clear" w:color="auto" w:fill="CCEEFF"/>
          </w:tcPr>
          <w:p>
            <w:pPr>
              <w:spacing w:after="0"/>
              <w:rPr>
                <w:sz w:val="22"/>
                <w:szCs w:val="22"/>
                <w:color w:val="auto"/>
              </w:rPr>
            </w:pPr>
          </w:p>
        </w:tc>
      </w:tr>
      <w:tr>
        <w:trPr>
          <w:trHeight w:val="270"/>
        </w:trPr>
        <w:tc>
          <w:tcPr>
            <w:tcW w:w="2080" w:type="dxa"/>
            <w:vAlign w:val="bottom"/>
          </w:tcPr>
          <w:p>
            <w:pPr>
              <w:ind w:left="200"/>
              <w:spacing w:after="0"/>
              <w:rPr>
                <w:sz w:val="20"/>
                <w:szCs w:val="20"/>
                <w:color w:val="auto"/>
              </w:rPr>
            </w:pPr>
            <w:r>
              <w:rPr>
                <w:rFonts w:ascii="Arial" w:cs="Arial" w:eastAsia="Arial" w:hAnsi="Arial"/>
                <w:sz w:val="18"/>
                <w:szCs w:val="18"/>
                <w:color w:val="auto"/>
              </w:rPr>
              <w:t>Barry Sloane</w:t>
            </w:r>
          </w:p>
        </w:tc>
        <w:tc>
          <w:tcPr>
            <w:tcW w:w="54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600" w:type="dxa"/>
            <w:vAlign w:val="bottom"/>
          </w:tcPr>
          <w:p>
            <w:pPr>
              <w:ind w:left="1260"/>
              <w:spacing w:after="0"/>
              <w:rPr>
                <w:sz w:val="20"/>
                <w:szCs w:val="20"/>
                <w:color w:val="auto"/>
              </w:rPr>
            </w:pPr>
            <w:r>
              <w:rPr>
                <w:rFonts w:ascii="Arial" w:cs="Arial" w:eastAsia="Arial" w:hAnsi="Arial"/>
                <w:sz w:val="18"/>
                <w:szCs w:val="18"/>
                <w:color w:val="auto"/>
              </w:rPr>
              <w:t>Over $100,000</w:t>
            </w:r>
          </w:p>
        </w:tc>
      </w:tr>
      <w:tr>
        <w:trPr>
          <w:trHeight w:val="270"/>
        </w:trPr>
        <w:tc>
          <w:tcPr>
            <w:tcW w:w="2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Peter Downs</w:t>
            </w:r>
          </w:p>
        </w:tc>
        <w:tc>
          <w:tcPr>
            <w:tcW w:w="54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3600" w:type="dxa"/>
            <w:vAlign w:val="bottom"/>
            <w:shd w:val="clear" w:color="auto" w:fill="CCEEFF"/>
          </w:tcPr>
          <w:p>
            <w:pPr>
              <w:ind w:left="1260"/>
              <w:spacing w:after="0"/>
              <w:rPr>
                <w:sz w:val="20"/>
                <w:szCs w:val="20"/>
                <w:color w:val="auto"/>
              </w:rPr>
            </w:pPr>
            <w:r>
              <w:rPr>
                <w:rFonts w:ascii="Arial" w:cs="Arial" w:eastAsia="Arial" w:hAnsi="Arial"/>
                <w:sz w:val="18"/>
                <w:szCs w:val="18"/>
                <w:color w:val="auto"/>
              </w:rPr>
              <w:t>Over $100,000</w:t>
            </w:r>
          </w:p>
        </w:tc>
      </w:tr>
      <w:tr>
        <w:trPr>
          <w:trHeight w:val="270"/>
        </w:trPr>
        <w:tc>
          <w:tcPr>
            <w:tcW w:w="2080" w:type="dxa"/>
            <w:vAlign w:val="bottom"/>
          </w:tcPr>
          <w:p>
            <w:pPr>
              <w:ind w:left="200"/>
              <w:spacing w:after="0"/>
              <w:rPr>
                <w:sz w:val="20"/>
                <w:szCs w:val="20"/>
                <w:color w:val="auto"/>
              </w:rPr>
            </w:pPr>
            <w:r>
              <w:rPr>
                <w:rFonts w:ascii="Arial" w:cs="Arial" w:eastAsia="Arial" w:hAnsi="Arial"/>
                <w:sz w:val="18"/>
                <w:szCs w:val="18"/>
                <w:b w:val="1"/>
                <w:bCs w:val="1"/>
                <w:i w:val="1"/>
                <w:iCs w:val="1"/>
                <w:color w:val="auto"/>
                <w:w w:val="94"/>
              </w:rPr>
              <w:t>Independent Directors:</w:t>
            </w:r>
          </w:p>
        </w:tc>
        <w:tc>
          <w:tcPr>
            <w:tcW w:w="54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600" w:type="dxa"/>
            <w:vAlign w:val="bottom"/>
          </w:tcPr>
          <w:p>
            <w:pPr>
              <w:spacing w:after="0"/>
              <w:rPr>
                <w:sz w:val="23"/>
                <w:szCs w:val="23"/>
                <w:color w:val="auto"/>
              </w:rPr>
            </w:pPr>
          </w:p>
        </w:tc>
      </w:tr>
      <w:tr>
        <w:trPr>
          <w:trHeight w:val="270"/>
        </w:trPr>
        <w:tc>
          <w:tcPr>
            <w:tcW w:w="2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Richard Salute</w:t>
            </w:r>
          </w:p>
        </w:tc>
        <w:tc>
          <w:tcPr>
            <w:tcW w:w="54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3600" w:type="dxa"/>
            <w:vAlign w:val="bottom"/>
            <w:shd w:val="clear" w:color="auto" w:fill="CCEEFF"/>
          </w:tcPr>
          <w:p>
            <w:pPr>
              <w:ind w:left="1260"/>
              <w:spacing w:after="0"/>
              <w:rPr>
                <w:sz w:val="20"/>
                <w:szCs w:val="20"/>
                <w:color w:val="auto"/>
              </w:rPr>
            </w:pPr>
            <w:r>
              <w:rPr>
                <w:rFonts w:ascii="Arial" w:cs="Arial" w:eastAsia="Arial" w:hAnsi="Arial"/>
                <w:sz w:val="18"/>
                <w:szCs w:val="18"/>
                <w:color w:val="auto"/>
              </w:rPr>
              <w:t>Over $100,000</w:t>
            </w:r>
          </w:p>
        </w:tc>
      </w:tr>
      <w:tr>
        <w:trPr>
          <w:trHeight w:val="270"/>
        </w:trPr>
        <w:tc>
          <w:tcPr>
            <w:tcW w:w="2080" w:type="dxa"/>
            <w:vAlign w:val="bottom"/>
          </w:tcPr>
          <w:p>
            <w:pPr>
              <w:ind w:left="200"/>
              <w:spacing w:after="0"/>
              <w:rPr>
                <w:sz w:val="20"/>
                <w:szCs w:val="20"/>
                <w:color w:val="auto"/>
              </w:rPr>
            </w:pPr>
            <w:r>
              <w:rPr>
                <w:rFonts w:ascii="Arial" w:cs="Arial" w:eastAsia="Arial" w:hAnsi="Arial"/>
                <w:sz w:val="18"/>
                <w:szCs w:val="18"/>
                <w:color w:val="auto"/>
              </w:rPr>
              <w:t>Salvatore Mulia</w:t>
            </w:r>
          </w:p>
        </w:tc>
        <w:tc>
          <w:tcPr>
            <w:tcW w:w="54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600" w:type="dxa"/>
            <w:vAlign w:val="bottom"/>
          </w:tcPr>
          <w:p>
            <w:pPr>
              <w:ind w:left="1260"/>
              <w:spacing w:after="0"/>
              <w:rPr>
                <w:sz w:val="20"/>
                <w:szCs w:val="20"/>
                <w:color w:val="auto"/>
              </w:rPr>
            </w:pPr>
            <w:r>
              <w:rPr>
                <w:rFonts w:ascii="Arial" w:cs="Arial" w:eastAsia="Arial" w:hAnsi="Arial"/>
                <w:sz w:val="18"/>
                <w:szCs w:val="18"/>
                <w:color w:val="auto"/>
              </w:rPr>
              <w:t>Over $100,000</w:t>
            </w:r>
          </w:p>
        </w:tc>
      </w:tr>
      <w:tr>
        <w:trPr>
          <w:trHeight w:val="270"/>
        </w:trPr>
        <w:tc>
          <w:tcPr>
            <w:tcW w:w="2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Gregory Zink</w:t>
            </w:r>
          </w:p>
        </w:tc>
        <w:tc>
          <w:tcPr>
            <w:tcW w:w="54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3600" w:type="dxa"/>
            <w:vAlign w:val="bottom"/>
            <w:shd w:val="clear" w:color="auto" w:fill="CCEEFF"/>
          </w:tcPr>
          <w:p>
            <w:pPr>
              <w:ind w:left="1260"/>
              <w:spacing w:after="0"/>
              <w:rPr>
                <w:sz w:val="20"/>
                <w:szCs w:val="20"/>
                <w:color w:val="auto"/>
              </w:rPr>
            </w:pPr>
            <w:r>
              <w:rPr>
                <w:rFonts w:ascii="Arial" w:cs="Arial" w:eastAsia="Arial" w:hAnsi="Arial"/>
                <w:sz w:val="18"/>
                <w:szCs w:val="18"/>
                <w:color w:val="auto"/>
              </w:rPr>
              <w:t>Over $100,000</w:t>
            </w:r>
          </w:p>
        </w:tc>
      </w:tr>
      <w:tr>
        <w:trPr>
          <w:trHeight w:val="399"/>
        </w:trPr>
        <w:tc>
          <w:tcPr>
            <w:tcW w:w="2080" w:type="dxa"/>
            <w:vAlign w:val="bottom"/>
          </w:tcPr>
          <w:p>
            <w:pPr>
              <w:ind w:left="60"/>
              <w:spacing w:after="0"/>
              <w:rPr>
                <w:sz w:val="20"/>
                <w:szCs w:val="20"/>
                <w:color w:val="auto"/>
              </w:rPr>
            </w:pPr>
            <w:r>
              <w:rPr>
                <w:rFonts w:ascii="Arial" w:cs="Arial" w:eastAsia="Arial" w:hAnsi="Arial"/>
                <w:sz w:val="16"/>
                <w:szCs w:val="16"/>
                <w:color w:val="auto"/>
              </w:rPr>
              <w:t>____________</w:t>
            </w:r>
          </w:p>
        </w:tc>
        <w:tc>
          <w:tcPr>
            <w:tcW w:w="5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0" w:type="dxa"/>
            <w:vAlign w:val="bottom"/>
          </w:tcPr>
          <w:p>
            <w:pPr>
              <w:spacing w:after="0"/>
              <w:rPr>
                <w:sz w:val="24"/>
                <w:szCs w:val="24"/>
                <w:color w:val="auto"/>
              </w:rPr>
            </w:pPr>
          </w:p>
        </w:tc>
      </w:tr>
    </w:tbl>
    <w:p>
      <w:pPr>
        <w:spacing w:after="0" w:line="10" w:lineRule="exact"/>
        <w:rPr>
          <w:sz w:val="20"/>
          <w:szCs w:val="20"/>
          <w:color w:val="auto"/>
        </w:rPr>
      </w:pPr>
    </w:p>
    <w:p>
      <w:pPr>
        <w:ind w:left="440" w:hanging="432"/>
        <w:spacing w:after="0"/>
        <w:tabs>
          <w:tab w:leader="none" w:pos="4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Dollar ranges are as follows: None, $1 – $10,000, $10,001 – $50,000, $50,001 – $100,000, or Over $100,000.</w:t>
      </w:r>
    </w:p>
    <w:p>
      <w:pPr>
        <w:spacing w:after="0" w:line="248" w:lineRule="exact"/>
        <w:rPr>
          <w:rFonts w:ascii="Arial" w:cs="Arial" w:eastAsia="Arial" w:hAnsi="Arial"/>
          <w:sz w:val="16"/>
          <w:szCs w:val="16"/>
          <w:color w:val="auto"/>
        </w:rPr>
      </w:pPr>
    </w:p>
    <w:p>
      <w:pPr>
        <w:ind w:left="440" w:right="440" w:hanging="432"/>
        <w:spacing w:after="0" w:line="275" w:lineRule="auto"/>
        <w:tabs>
          <w:tab w:leader="none" w:pos="437"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dollar range of equity securities beneficially owned is based on the closing price for our Common Shares of $32.88 on May 21, 2021 on the Nasdaq Global Market. Beneficial ownership has been determined in accordance with Rule 13d-3 of the Exchange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1440" w:right="339" w:bottom="1440" w:gutter="0" w:footer="0" w:header="0"/>
        </w:sectPr>
      </w:pPr>
    </w:p>
    <w:bookmarkStart w:id="10" w:name="page11"/>
    <w:bookmarkEnd w:id="10"/>
    <w:p>
      <w:pPr>
        <w:jc w:val="center"/>
        <w:ind w:left="340"/>
        <w:spacing w:after="0" w:line="266" w:lineRule="auto"/>
        <w:rPr>
          <w:sz w:val="20"/>
          <w:szCs w:val="20"/>
          <w:color w:val="auto"/>
        </w:rPr>
      </w:pPr>
      <w:r>
        <w:rPr>
          <w:rFonts w:ascii="Arial" w:cs="Arial" w:eastAsia="Arial" w:hAnsi="Arial"/>
          <w:sz w:val="18"/>
          <w:szCs w:val="18"/>
          <w:b w:val="1"/>
          <w:bCs w:val="1"/>
          <w:color w:val="auto"/>
        </w:rPr>
        <w:t>PROPOSAL 1 — AUTHORIZATION FOR THE COMPANY TO SELL ITS COMMON STOCK, PAR VALUE $0.02 PER SHARE, (“COMMON SHARES”) AT A PRICE BELOW THE COMPANY’S THEN CURRENT NET ASSET VALUE PER SHARE IN ONE OR MULTIPLE OFFERINGS (SUBJECT TO CERTAIN CONDITIONS SET FORTH IN THIS PROPOSAL)</w:t>
      </w:r>
    </w:p>
    <w:p>
      <w:pPr>
        <w:spacing w:after="0" w:line="180" w:lineRule="exact"/>
        <w:rPr>
          <w:sz w:val="20"/>
          <w:szCs w:val="20"/>
          <w:color w:val="auto"/>
        </w:rPr>
      </w:pPr>
    </w:p>
    <w:p>
      <w:pPr>
        <w:ind w:right="20" w:firstLine="324"/>
        <w:spacing w:after="0" w:line="275" w:lineRule="auto"/>
        <w:rPr>
          <w:sz w:val="20"/>
          <w:szCs w:val="20"/>
          <w:color w:val="auto"/>
        </w:rPr>
      </w:pPr>
      <w:r>
        <w:rPr>
          <w:rFonts w:ascii="Arial" w:cs="Arial" w:eastAsia="Arial" w:hAnsi="Arial"/>
          <w:sz w:val="17"/>
          <w:szCs w:val="17"/>
          <w:color w:val="auto"/>
        </w:rPr>
        <w:t>Under the 1940 Act, the Company, as a business development company (“BDC”), may not sell its Common Shares at a price below its then current net asset value (“NAV”), exclusive of sales compensation, unless its shareholders approve such a sale and the Board of Directors makes certain determinations. The Company is seeking authorization of its shareholders so that it may, in one or multiple public or private offerings, sell or otherwise issue Common Shares at a price below its then-current NAV, subject to certain conditions discussed below. The Board of Directors believes that having the flexibility to sell its Common Shares below NAV in certain instances is in the best interests of shareholders.</w:t>
      </w:r>
    </w:p>
    <w:p>
      <w:pPr>
        <w:spacing w:after="0" w:line="176"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While the Company has been able to access the capital necessary to finance its investment activities, capital may not be available to it on favorable terms, or at all, in light of the inherent uncertainty and volatility of the financial markets, which uncertainty and volatility has been highlighted by the COVID-19 pandemic. To capitalize on investment opportunities as they arise, the Company needs to be able to maintain consistent access to capital. Flexibility to sell Common Shares below NAV may provide the Company with better access to the capital markets as attractive investment opportunities arise, and improve its ability to grow over time and pay dividends to shareholders. Accordingly, even when the Company’s Common Shares trade at a market price below NAV, this Proposal 1 would permit it to offer and sell its Common Shares in accordance with pricing standards that market conditions generally require, subject to the conditions described below in connection with any offering undertaken pursuant to this Proposal 1. If approved, as required under the 1940 Act, the authorization would be effective for securities sold during a period beginning on the date of such shareholder approval and expiring on the earlier of the one year anniversary of the date of the Meeting, or the date of the Company’s 2022 Annual Meeting of Shareholders.</w:t>
      </w:r>
    </w:p>
    <w:p>
      <w:pPr>
        <w:spacing w:after="0" w:line="166" w:lineRule="exact"/>
        <w:rPr>
          <w:sz w:val="20"/>
          <w:szCs w:val="20"/>
          <w:color w:val="auto"/>
        </w:rPr>
      </w:pPr>
    </w:p>
    <w:p>
      <w:pPr>
        <w:ind w:right="40" w:firstLine="324"/>
        <w:spacing w:after="0" w:line="293" w:lineRule="auto"/>
        <w:rPr>
          <w:sz w:val="20"/>
          <w:szCs w:val="20"/>
          <w:color w:val="auto"/>
        </w:rPr>
      </w:pPr>
      <w:r>
        <w:rPr>
          <w:rFonts w:ascii="Arial" w:cs="Arial" w:eastAsia="Arial" w:hAnsi="Arial"/>
          <w:sz w:val="16"/>
          <w:szCs w:val="16"/>
          <w:color w:val="auto"/>
        </w:rPr>
        <w:t>The Company has no immediate plans to sell its Common Shares below NAV. However, the Company is seeking shareholder approval for multiple such offerings in order to maintain access to the markets if the Board of Directors determines that the Company should sell Common Shares below NAV. These sales typically must be undertaken quickly. The final terms of any such sale will be determined by the Board of Directors at the time of sale, and it is impracticable to describe the transaction or transactions in which the Company’s Common Shares would be sold at a price below NAV. Instead, any transaction where the Company sells such Common Shares, including the nature and amount of consideration that the Company would receive at the time of sale and the use of any such consideration, will be reviewed and approved by the Board of Directors at the time of sale.</w:t>
      </w:r>
    </w:p>
    <w:p>
      <w:pPr>
        <w:spacing w:after="0" w:line="160" w:lineRule="exact"/>
        <w:rPr>
          <w:sz w:val="20"/>
          <w:szCs w:val="20"/>
          <w:color w:val="auto"/>
        </w:rPr>
      </w:pPr>
    </w:p>
    <w:p>
      <w:pPr>
        <w:ind w:right="220" w:firstLine="324"/>
        <w:spacing w:after="0" w:line="303" w:lineRule="auto"/>
        <w:rPr>
          <w:sz w:val="20"/>
          <w:szCs w:val="20"/>
          <w:color w:val="auto"/>
        </w:rPr>
      </w:pPr>
      <w:r>
        <w:rPr>
          <w:rFonts w:ascii="Arial" w:cs="Arial" w:eastAsia="Arial" w:hAnsi="Arial"/>
          <w:sz w:val="16"/>
          <w:szCs w:val="16"/>
          <w:b w:val="1"/>
          <w:bCs w:val="1"/>
          <w:u w:val="single" w:color="auto"/>
          <w:color w:val="auto"/>
        </w:rPr>
        <w:t>Subject to the condition that the cumulative number of Common Shares issued and sold pursuant to such authority does not exceed 20% of the Company’s then outstanding Common Shares immediately prior to each such sale, there will be no limit on the percentage below NAV at which the Company’s Common Shares may be sold in an offering by the Company under this Proposal 1</w:t>
      </w:r>
      <w:r>
        <w:rPr>
          <w:rFonts w:ascii="Arial" w:cs="Arial" w:eastAsia="Arial" w:hAnsi="Arial"/>
          <w:sz w:val="16"/>
          <w:szCs w:val="16"/>
          <w:b w:val="1"/>
          <w:bCs w:val="1"/>
          <w:color w:val="auto"/>
        </w:rPr>
        <w:t xml:space="preserve">. </w:t>
      </w:r>
      <w:r>
        <w:rPr>
          <w:rFonts w:ascii="Arial" w:cs="Arial" w:eastAsia="Arial" w:hAnsi="Arial"/>
          <w:sz w:val="16"/>
          <w:szCs w:val="16"/>
          <w:color w:val="auto"/>
        </w:rPr>
        <w:t>If Proposal 1 is approved, no further</w:t>
      </w:r>
      <w:r>
        <w:rPr>
          <w:rFonts w:ascii="Arial" w:cs="Arial" w:eastAsia="Arial" w:hAnsi="Arial"/>
          <w:sz w:val="16"/>
          <w:szCs w:val="16"/>
          <w:b w:val="1"/>
          <w:bCs w:val="1"/>
          <w:color w:val="auto"/>
        </w:rPr>
        <w:t xml:space="preserve"> </w:t>
      </w:r>
      <w:r>
        <w:rPr>
          <w:rFonts w:ascii="Arial" w:cs="Arial" w:eastAsia="Arial" w:hAnsi="Arial"/>
          <w:sz w:val="16"/>
          <w:szCs w:val="16"/>
          <w:color w:val="auto"/>
        </w:rPr>
        <w:t>authorization from the shareholders will be solicited prior to any such sale in accordance with the terms of Proposal 1.</w:t>
      </w:r>
    </w:p>
    <w:p>
      <w:pPr>
        <w:spacing w:after="0" w:line="151" w:lineRule="exact"/>
        <w:rPr>
          <w:sz w:val="20"/>
          <w:szCs w:val="20"/>
          <w:color w:val="auto"/>
        </w:rPr>
      </w:pPr>
    </w:p>
    <w:p>
      <w:pPr>
        <w:ind w:right="280" w:firstLine="324"/>
        <w:spacing w:after="0" w:line="281" w:lineRule="auto"/>
        <w:rPr>
          <w:sz w:val="20"/>
          <w:szCs w:val="20"/>
          <w:color w:val="auto"/>
        </w:rPr>
      </w:pPr>
      <w:r>
        <w:rPr>
          <w:rFonts w:ascii="Arial" w:cs="Arial" w:eastAsia="Arial" w:hAnsi="Arial"/>
          <w:sz w:val="17"/>
          <w:szCs w:val="17"/>
          <w:b w:val="1"/>
          <w:bCs w:val="1"/>
          <w:color w:val="auto"/>
        </w:rPr>
        <w:t>THE BOARD OF DIRECTORS BELIEVES THAT A VOTE “FOR” PROPOSAL 1 TO AUTHORIZE THE COMPANY TO SELL ITS COMMON SHARES AT A PRICE OR PRICES BELOW THE COMPANY’S THEN CURRENT NET ASSET VALUE PER SHARE IN ONE OR MULTIPLE OFFERINGS, SUBJECT TO CERTAIN LIMITATIONS DESCRIBED IN THIS PROXY STATEMENT, AS DESCRIBED HEREIN IS IN THE BEST INTERESTS OF THE COMPANY’S SHAREHOLDERS AND RECOMMENDS A VOTE “FOR” PROPOSAL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20"/>
          </w:cols>
          <w:pgMar w:left="320" w:top="1417" w:right="35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Conditions for Sales below NAV</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 BDC’s ability to issue shares of its common stock at a price below NAV is governed by the 1940 Act. If shareholders approve this Proposal 1,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Company will only sell Company Shares at a price below NAV if the following conditions are met:</w:t>
      </w:r>
    </w:p>
    <w:p>
      <w:pPr>
        <w:spacing w:after="0" w:line="238" w:lineRule="exact"/>
        <w:rPr>
          <w:sz w:val="20"/>
          <w:szCs w:val="20"/>
          <w:color w:val="auto"/>
        </w:rPr>
      </w:pPr>
    </w:p>
    <w:p>
      <w:pPr>
        <w:ind w:left="660" w:right="320" w:hanging="328"/>
        <w:spacing w:after="0" w:line="342" w:lineRule="auto"/>
        <w:tabs>
          <w:tab w:leader="none" w:pos="655" w:val="left"/>
        </w:tabs>
        <w:numPr>
          <w:ilvl w:val="0"/>
          <w:numId w:val="11"/>
        </w:numPr>
        <w:rPr>
          <w:rFonts w:ascii="Arial" w:cs="Arial" w:eastAsia="Arial" w:hAnsi="Arial"/>
          <w:sz w:val="16"/>
          <w:szCs w:val="16"/>
          <w:color w:val="auto"/>
        </w:rPr>
      </w:pPr>
      <w:r>
        <w:rPr>
          <w:rFonts w:ascii="Arial" w:cs="Arial" w:eastAsia="Arial" w:hAnsi="Arial"/>
          <w:sz w:val="16"/>
          <w:szCs w:val="16"/>
          <w:color w:val="auto"/>
        </w:rPr>
        <w:t>a majority of the Company’s directors who are not “interested persons” of the Company as defined in the 1940 Act, and who have no financial interest in the sale, shall have approved the sale and determined that it is in the best interests of the Company and its shareholders;</w:t>
      </w:r>
    </w:p>
    <w:p>
      <w:pPr>
        <w:spacing w:after="0" w:line="150" w:lineRule="exact"/>
        <w:rPr>
          <w:rFonts w:ascii="Arial" w:cs="Arial" w:eastAsia="Arial" w:hAnsi="Arial"/>
          <w:sz w:val="16"/>
          <w:szCs w:val="16"/>
          <w:color w:val="auto"/>
        </w:rPr>
      </w:pPr>
    </w:p>
    <w:p>
      <w:pPr>
        <w:ind w:left="660" w:right="60" w:hanging="328"/>
        <w:spacing w:after="0" w:line="255"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majority of such directors, who are not interested persons of the Company, in consultation with the underwriter or underwriters of the offering if it is to be underwritten, have determined in good faith, and as of a time immediately prior to the first solicitation by or on behalf of the Company of firm commitments to purchase such securities or immediately prior to the issuance of such securities, that the price at which such securities are to be sold is not less than a price which closely approximates the market value of those securities, less any underwriting commission or discount; and the cumulative number of shares issued and sold does not exceed 20% of the Company’s then outstanding Common Shares immediately prior to each such sale.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 Approval</w:t>
      </w:r>
    </w:p>
    <w:p>
      <w:pPr>
        <w:spacing w:after="0" w:line="229" w:lineRule="exact"/>
        <w:rPr>
          <w:sz w:val="20"/>
          <w:szCs w:val="20"/>
          <w:color w:val="auto"/>
        </w:rPr>
      </w:pPr>
    </w:p>
    <w:p>
      <w:pPr>
        <w:ind w:right="20" w:firstLine="324"/>
        <w:spacing w:after="0" w:line="301" w:lineRule="auto"/>
        <w:rPr>
          <w:sz w:val="20"/>
          <w:szCs w:val="20"/>
          <w:color w:val="auto"/>
        </w:rPr>
      </w:pPr>
      <w:r>
        <w:rPr>
          <w:rFonts w:ascii="Arial" w:cs="Arial" w:eastAsia="Arial" w:hAnsi="Arial"/>
          <w:sz w:val="16"/>
          <w:szCs w:val="16"/>
          <w:color w:val="auto"/>
        </w:rPr>
        <w:t>On May 25, 2021, the Board of Directors, including a majority of the non-interested directors who have no financial interest in Proposal 1, approved Proposal 1 as in the best interests of the Company and its shareholders and is recommending that the Company’s shareholders vote in favor of this Proposal 1 to offer and sell the Company’s Common Shares at prices that may be less than NAV. In evaluating Proposal 1, the Company’s Board of Directors, including the non-interested directors, considered and evaluated factors including the following, as discussed more fully below:</w:t>
      </w:r>
    </w:p>
    <w:p>
      <w:pPr>
        <w:spacing w:after="0" w:line="157"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possible long-term benefits to the Company’s shareholders;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possible dilution to the Company’s NAV;</w:t>
      </w:r>
    </w:p>
    <w:p>
      <w:pPr>
        <w:spacing w:after="0" w:line="117" w:lineRule="exact"/>
        <w:rPr>
          <w:rFonts w:ascii="Arial" w:cs="Arial" w:eastAsia="Arial" w:hAnsi="Arial"/>
          <w:sz w:val="18"/>
          <w:szCs w:val="18"/>
          <w:color w:val="auto"/>
        </w:rPr>
      </w:pPr>
    </w:p>
    <w:p>
      <w:pPr>
        <w:ind w:left="660" w:right="320" w:hanging="328"/>
        <w:spacing w:after="0" w:line="277"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costs and benefits of a Common Share offering below NAV compared to other possible means for raising capital or concluding not to raise capital;</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size of a Common Share offering in relation to the number of Common Shares outstanding;</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general condition of the securities markets;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impact on operating expenses associated with an increase in capital.</w:t>
      </w:r>
    </w:p>
    <w:p>
      <w:pPr>
        <w:spacing w:after="0" w:line="225"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Prior to approving this Proposal 1, the Board of Directors met to consider and evaluate material that the Company’s management provided on the merits of the Company possibly raising additional capital and the merits of publicly offering Common Shares at a price below NAV. The Board of Directors considered the objectives of a possible offering, the mechanics of an offering, establishing size parameters for an offering, the possible effects of dilution, Common Shares trading volume, and other matters, including that the Company’s Common Shares generally have not traded below NAV in recent years until the current COVID-19 impact on the capital markets. The Board of Directors evaluated a full range of offering sizes. However, the Board of Directors has not yet drawn any definite conclusions regarding the size of the any contemplated capital raises at this time, to the extent the Company’s Common Shares may trade below NAV. In determining whether or not to offer and sell Common Shares, including below NAV, the Board of Directors has a duty to act in the Company’s best interests of its shareholders and must comply with the other requirements of the 1940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20"/>
          </w:cols>
          <w:pgMar w:left="320" w:top="1417" w:right="35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Reasons to Offer Common Shares Below NAV</w:t>
      </w:r>
    </w:p>
    <w:p>
      <w:pPr>
        <w:spacing w:after="0" w:line="229"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The Company’s Board of Directors believes that having the flexibility for the Company to sell its Common Shares below NAV in certain instances is in the Company’s best interests and the best interests of its shareholders. Such flexibility will enhance the Company’s ability to expand its business finance platform. If the Company is unable to access the capital markets when attractive investment opportunities arise, the Company’s ability to grow over time and to continue to pay dividends to shareholders could be adversely affected. In reaching that conclusion, the Board of Directors considered the following possible benefits to its shareholders:</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Current Market Conditions May Create Attractive Opportunities</w:t>
      </w:r>
    </w:p>
    <w:p>
      <w:pPr>
        <w:spacing w:after="0" w:line="225"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Current market opportunities may create favorable opportunities to invest, including opportunities that, all else being equal, may increase the Company’s NAV over the longer-term, even if financed with the issuance of Common Shares below NAV. For example, the novel coronavirus (“COVID-19”) pandemic has had, and may continue to have, a material adverse impact on the global economy, including the United States, as cross border commercial activity and market sentiment have been negatively impacted by the pandemic and government and other measures seeking to contain its spread. The Company believes that favorable investment opportunities to invest at attractive risk-adjusted returns may be created during this volatile period and during other periods of disruption and volatility. Shareholder approval of this Proposal 1, subject to the conditions detailed below, may provide the Company with the flexibility to expand its business finance platform and invest in the attractive opportunities it believes are presented by current market conditions.</w:t>
      </w:r>
    </w:p>
    <w:p>
      <w:pPr>
        <w:spacing w:after="0" w:line="192"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Current market conditions also have beneficial effects for capital providers, including reduced competition, more favorable pricing of credit risk, more conservative capital structures and more creditor-friendly contractual terms. Despite actions of the United States federal government and foreign governments, the uncertainty surrounding the COVID-19 pandemic and other factors have contributed to significant volatility and declines in global public equity markets and global debt capital markets. BDCs as an industry have been trading below NAV. Periods of market disruption and instability may adversely affect the Company’s access to sufficient debt and equity capital in order to take advantage of attractive investment opportunities. Accordingly, the Company believes that it could benefit from access to capital in this credit market and that the current environment should provide attractive investment opportunities. The Company’s ability to take advantage of these opportunities will depend upon its continued access to capital.</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Greater Investment Opportunities Due to Larger Capital Resources</w:t>
      </w:r>
    </w:p>
    <w:p>
      <w:pPr>
        <w:spacing w:after="0" w:line="225"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The Board of Directors believes that additional capital raised through an offering of Common Shares may help it generate additional deal flow. Based on discussions with management, the Board of Directors believes that greater deal flow, which may be achieved with more capital, may enable the Company to be a more significant participant in the private debt and equity markets and to compete more effectively for attractive investment opportunities. Management has represented to the Board of Directors that such investment opportunities may be funded with proceeds of future offerings of Common Shares. However, management has not identified specific companies in which to invest the proceeds of an offering given that specific investment opportunities will change depending on the timing of any offering.</w:t>
      </w:r>
    </w:p>
    <w:p>
      <w:pPr>
        <w:spacing w:after="0" w:line="19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Higher Market Capitalization and Liquidity May Make the Company’s Common Shares More Attractive to Investors</w:t>
      </w:r>
    </w:p>
    <w:p>
      <w:pPr>
        <w:spacing w:after="0" w:line="225" w:lineRule="exact"/>
        <w:rPr>
          <w:sz w:val="20"/>
          <w:szCs w:val="20"/>
          <w:color w:val="auto"/>
        </w:rPr>
      </w:pPr>
    </w:p>
    <w:p>
      <w:pPr>
        <w:ind w:firstLine="324"/>
        <w:spacing w:after="0" w:line="301" w:lineRule="auto"/>
        <w:rPr>
          <w:sz w:val="20"/>
          <w:szCs w:val="20"/>
          <w:color w:val="auto"/>
        </w:rPr>
      </w:pPr>
      <w:r>
        <w:rPr>
          <w:rFonts w:ascii="Arial" w:cs="Arial" w:eastAsia="Arial" w:hAnsi="Arial"/>
          <w:sz w:val="16"/>
          <w:szCs w:val="16"/>
          <w:color w:val="auto"/>
        </w:rPr>
        <w:t>If the Company issues Common Shares, its market capitalization and the amount of its publicly-tradable Common Shares will increase, which may afford all holders of its Common Shares greater liquidity. A larger market capitalization may make the Common Shares more attractive to a larger number of investors who have limitations of the size of companies in which they invest. Furthermore, a larger number of Common Shares outstanding may increase the Common Shares trading volume, which could decrease the volatility in the secondary market price of its Common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20"/>
          </w:cols>
          <w:pgMar w:left="320" w:top="1417" w:right="359" w:bottom="1440" w:gutter="0" w:footer="0" w:header="0"/>
        </w:sectPr>
      </w:pPr>
    </w:p>
    <w:bookmarkStart w:id="13" w:name="page14"/>
    <w:bookmarkEnd w:id="13"/>
    <w:p>
      <w:pPr>
        <w:ind w:left="340"/>
        <w:spacing w:after="0"/>
        <w:rPr>
          <w:sz w:val="20"/>
          <w:szCs w:val="20"/>
          <w:color w:val="auto"/>
        </w:rPr>
      </w:pPr>
      <w:r>
        <w:rPr>
          <w:rFonts w:ascii="Arial" w:cs="Arial" w:eastAsia="Arial" w:hAnsi="Arial"/>
          <w:sz w:val="18"/>
          <w:szCs w:val="18"/>
          <w:b w:val="1"/>
          <w:bCs w:val="1"/>
          <w:i w:val="1"/>
          <w:iCs w:val="1"/>
          <w:color w:val="auto"/>
        </w:rPr>
        <w:t>Initiation and Possible Increase of Dividends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 larger and more diversified portfolio could provide the Company with more consistent cash flow, which may support the growth of its dividend.</w:t>
      </w:r>
    </w:p>
    <w:p>
      <w:pPr>
        <w:spacing w:after="0" w:line="23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Reduced Expenses Per Share</w:t>
      </w:r>
    </w:p>
    <w:p>
      <w:pPr>
        <w:spacing w:after="0" w:line="225"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An offering that increases the Company’s total assets may reduce its expenses per share due to the spreading of fixed expenses over a larger asset base. The Company must bear certain fixed expenses, such as certain administrative, governance and compliance costs that do not generally vary based on its size. On a per share basis, these fixed expenses will be reduced when supported by a larger asset base.</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Status as a BDC and RIC and Maintaining a Favorable Debt-to-Equity Ratio</w:t>
      </w:r>
    </w:p>
    <w:p>
      <w:pPr>
        <w:spacing w:after="0" w:line="225"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As a BDC, and as a Company that has elected to be treated as a RIC for tax purposes beginning with its tax year ended December 31, 2015, the Company is dependent on its ability to raise capital through the sale of Common Shares. RICs generally must distribute substantially all of their earnings from dividends, interest and short-term gains to shareholders as dividends in order to achieve tax treatment as a RIC, which prevents the Company from using those earnings to support new investments. Further, BDCs generally must maintain a debt to equity ratio of less than 1:1, which currently requires the Company to finance its investments with at least as much equity as debt, in the aggregate. On July 26, 2018, the Company’s shareholders approved a proposal that permits the Company to be subject to a debt to equity ratio of 2:1, effective July 27, 2018.</w:t>
      </w:r>
    </w:p>
    <w:p>
      <w:pPr>
        <w:spacing w:after="0" w:line="178" w:lineRule="exact"/>
        <w:rPr>
          <w:sz w:val="20"/>
          <w:szCs w:val="20"/>
          <w:color w:val="auto"/>
        </w:rPr>
      </w:pPr>
    </w:p>
    <w:p>
      <w:pPr>
        <w:ind w:firstLine="324"/>
        <w:spacing w:after="0" w:line="275" w:lineRule="auto"/>
        <w:rPr>
          <w:sz w:val="20"/>
          <w:szCs w:val="20"/>
          <w:color w:val="auto"/>
        </w:rPr>
      </w:pPr>
      <w:r>
        <w:rPr>
          <w:rFonts w:ascii="Arial" w:cs="Arial" w:eastAsia="Arial" w:hAnsi="Arial"/>
          <w:sz w:val="17"/>
          <w:szCs w:val="17"/>
          <w:color w:val="auto"/>
        </w:rPr>
        <w:t>Exceeding the applicable debt to equity ratio could have negative consequences for the Company, including the inability to pay dividends, breach of covenants and failure to qualify for tax treatment as a RIC. Volatility in capital markets could continue to adversely impact the valuations of assets and create unrealized losses across the BDC industry. Any write downs in value, as well as unrealized losses based on the underlying performance of the Company’s portfolio companies will negatively impact stockholders’ equity and the resulting debt to equity ratio. Issuing additional equity would allow the Company to realign its debt to equity ratio and avoid these negative consequences.</w:t>
      </w:r>
    </w:p>
    <w:p>
      <w:pPr>
        <w:spacing w:after="0" w:line="176" w:lineRule="exact"/>
        <w:rPr>
          <w:sz w:val="20"/>
          <w:szCs w:val="20"/>
          <w:color w:val="auto"/>
        </w:rPr>
      </w:pPr>
    </w:p>
    <w:p>
      <w:pPr>
        <w:ind w:right="120" w:firstLine="324"/>
        <w:spacing w:after="0" w:line="263" w:lineRule="auto"/>
        <w:rPr>
          <w:sz w:val="20"/>
          <w:szCs w:val="20"/>
          <w:color w:val="auto"/>
        </w:rPr>
      </w:pPr>
      <w:r>
        <w:rPr>
          <w:rFonts w:ascii="Arial" w:cs="Arial" w:eastAsia="Arial" w:hAnsi="Arial"/>
          <w:sz w:val="18"/>
          <w:szCs w:val="18"/>
          <w:color w:val="auto"/>
        </w:rPr>
        <w:t>To continue to build the Company’s investment portfolio, and thereby support maintenance and growth of the Company’s dividends, the Company endeavors to maintain consistent access to capital through the public and private equity markets to enable it to take advantage of investment opportunities as they arise.</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Trading History</w:t>
      </w:r>
    </w:p>
    <w:p>
      <w:pPr>
        <w:spacing w:after="0" w:line="225"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Shares of BDCs may trade at a market price that is less than the value of the net assets attributable to those shares. The possibility that the Company’s Common Shares will trade at a discount from NAV, or at premiums that are unsustainable over the long term, are separate and distinct from the risk that the Company’s NAV will decrease. The Company’s Common Shares have traded at a price both above and below their NAV since they began trading on the Nasdaq Global Market. It is not possible to predict whether the Company’s Common Shares will trade at, above, or below NAV. The following table sets forth, for the two most recent fiscal years and the current fiscal year, the range of high and low sales prices of the Company’s Common Shares as reported on the Nasdaq Global Market, the Company’s NAV per share, the premium (discount) of high sales price to NAV and the premium (discount) of low sales price to NAV:</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00"/>
          </w:cols>
          <w:pgMar w:left="320" w:top="1421" w:right="379" w:bottom="1440" w:gutter="0" w:footer="0" w:header="0"/>
        </w:sectPr>
      </w:pPr>
    </w:p>
    <w:bookmarkStart w:id="14" w:name="page15"/>
    <w:bookmarkEnd w:id="14"/>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80" w:type="dxa"/>
            <w:vAlign w:val="bottom"/>
            <w:gridSpan w:val="2"/>
          </w:tcPr>
          <w:p>
            <w:pPr>
              <w:ind w:left="20"/>
              <w:spacing w:after="0"/>
              <w:rPr>
                <w:sz w:val="20"/>
                <w:szCs w:val="20"/>
                <w:color w:val="auto"/>
              </w:rPr>
            </w:pPr>
            <w:r>
              <w:rPr>
                <w:rFonts w:ascii="Arial" w:cs="Arial" w:eastAsia="Arial" w:hAnsi="Arial"/>
                <w:sz w:val="18"/>
                <w:szCs w:val="18"/>
                <w:b w:val="1"/>
                <w:bCs w:val="1"/>
                <w:color w:val="auto"/>
              </w:rPr>
              <w:t>Premium (Discount)</w:t>
            </w:r>
          </w:p>
        </w:tc>
        <w:tc>
          <w:tcPr>
            <w:tcW w:w="17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Premium (Discount)</w:t>
            </w:r>
          </w:p>
        </w:tc>
        <w:tc>
          <w:tcPr>
            <w:tcW w:w="0" w:type="dxa"/>
            <w:vAlign w:val="bottom"/>
          </w:tcPr>
          <w:p>
            <w:pPr>
              <w:spacing w:after="0"/>
              <w:rPr>
                <w:sz w:val="1"/>
                <w:szCs w:val="1"/>
                <w:color w:val="auto"/>
              </w:rPr>
            </w:pPr>
          </w:p>
        </w:tc>
      </w:tr>
      <w:tr>
        <w:trPr>
          <w:trHeight w:val="94"/>
        </w:trPr>
        <w:tc>
          <w:tcPr>
            <w:tcW w:w="3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40" w:type="dxa"/>
            <w:vAlign w:val="bottom"/>
          </w:tcPr>
          <w:p>
            <w:pPr>
              <w:spacing w:after="0"/>
              <w:rPr>
                <w:sz w:val="8"/>
                <w:szCs w:val="8"/>
                <w:color w:val="auto"/>
              </w:rPr>
            </w:pPr>
          </w:p>
        </w:tc>
        <w:tc>
          <w:tcPr>
            <w:tcW w:w="3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8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w w:val="99"/>
              </w:rPr>
              <w:t>of High Sales Price to</w:t>
            </w:r>
          </w:p>
        </w:tc>
        <w:tc>
          <w:tcPr>
            <w:tcW w:w="17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40" w:type="dxa"/>
            <w:vAlign w:val="bottom"/>
            <w:gridSpan w:val="4"/>
            <w:vMerge w:val="restart"/>
          </w:tcPr>
          <w:p>
            <w:pPr>
              <w:jc w:val="right"/>
              <w:ind w:right="450"/>
              <w:spacing w:after="0"/>
              <w:rPr>
                <w:sz w:val="20"/>
                <w:szCs w:val="20"/>
                <w:color w:val="auto"/>
              </w:rPr>
            </w:pPr>
            <w:r>
              <w:rPr>
                <w:rFonts w:ascii="Arial" w:cs="Arial" w:eastAsia="Arial" w:hAnsi="Arial"/>
                <w:sz w:val="18"/>
                <w:szCs w:val="18"/>
                <w:b w:val="1"/>
                <w:bCs w:val="1"/>
                <w:color w:val="auto"/>
              </w:rPr>
              <w:t>Price Range</w:t>
            </w:r>
          </w:p>
        </w:tc>
        <w:tc>
          <w:tcPr>
            <w:tcW w:w="3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80" w:type="dxa"/>
            <w:vAlign w:val="bottom"/>
            <w:gridSpan w:val="2"/>
            <w:vMerge w:val="continue"/>
          </w:tcPr>
          <w:p>
            <w:pPr>
              <w:spacing w:after="0"/>
              <w:rPr>
                <w:sz w:val="10"/>
                <w:szCs w:val="10"/>
                <w:color w:val="auto"/>
              </w:rPr>
            </w:pPr>
          </w:p>
        </w:tc>
        <w:tc>
          <w:tcPr>
            <w:tcW w:w="1760" w:type="dxa"/>
            <w:vAlign w:val="bottom"/>
            <w:vMerge w:val="restart"/>
          </w:tcPr>
          <w:p>
            <w:pPr>
              <w:ind w:left="20"/>
              <w:spacing w:after="0"/>
              <w:rPr>
                <w:sz w:val="20"/>
                <w:szCs w:val="20"/>
                <w:color w:val="auto"/>
              </w:rPr>
            </w:pPr>
            <w:r>
              <w:rPr>
                <w:rFonts w:ascii="Arial" w:cs="Arial" w:eastAsia="Arial" w:hAnsi="Arial"/>
                <w:sz w:val="18"/>
                <w:szCs w:val="18"/>
                <w:b w:val="1"/>
                <w:bCs w:val="1"/>
                <w:color w:val="auto"/>
                <w:w w:val="94"/>
              </w:rPr>
              <w:t>of Low Sales Price to</w:t>
            </w:r>
          </w:p>
        </w:tc>
        <w:tc>
          <w:tcPr>
            <w:tcW w:w="0" w:type="dxa"/>
            <w:vAlign w:val="bottom"/>
          </w:tcPr>
          <w:p>
            <w:pPr>
              <w:spacing w:after="0"/>
              <w:rPr>
                <w:sz w:val="1"/>
                <w:szCs w:val="1"/>
                <w:color w:val="auto"/>
              </w:rPr>
            </w:pPr>
          </w:p>
        </w:tc>
      </w:tr>
      <w:tr>
        <w:trPr>
          <w:trHeight w:val="113"/>
        </w:trPr>
        <w:tc>
          <w:tcPr>
            <w:tcW w:w="3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840" w:type="dxa"/>
            <w:vAlign w:val="bottom"/>
            <w:tcBorders>
              <w:bottom w:val="single" w:sz="8" w:color="auto"/>
            </w:tcBorders>
            <w:gridSpan w:val="4"/>
            <w:vMerge w:val="continue"/>
          </w:tcPr>
          <w:p>
            <w:pPr>
              <w:spacing w:after="0"/>
              <w:rPr>
                <w:sz w:val="9"/>
                <w:szCs w:val="9"/>
                <w:color w:val="auto"/>
              </w:rPr>
            </w:pPr>
          </w:p>
        </w:tc>
        <w:tc>
          <w:tcPr>
            <w:tcW w:w="3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8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NAV(2)</w:t>
            </w:r>
          </w:p>
        </w:tc>
        <w:tc>
          <w:tcPr>
            <w:tcW w:w="17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33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Period</w:t>
            </w:r>
          </w:p>
        </w:tc>
        <w:tc>
          <w:tcPr>
            <w:tcW w:w="120" w:type="dxa"/>
            <w:vAlign w:val="bottom"/>
            <w:vMerge w:val="restart"/>
          </w:tcPr>
          <w:p>
            <w:pPr>
              <w:spacing w:after="0"/>
              <w:rPr>
                <w:sz w:val="8"/>
                <w:szCs w:val="8"/>
                <w:color w:val="auto"/>
              </w:rPr>
            </w:pPr>
          </w:p>
        </w:tc>
        <w:tc>
          <w:tcPr>
            <w:tcW w:w="200" w:type="dxa"/>
            <w:vAlign w:val="bottom"/>
          </w:tcPr>
          <w:p>
            <w:pPr>
              <w:spacing w:after="0"/>
              <w:rPr>
                <w:sz w:val="8"/>
                <w:szCs w:val="8"/>
                <w:color w:val="auto"/>
              </w:rPr>
            </w:pPr>
          </w:p>
        </w:tc>
        <w:tc>
          <w:tcPr>
            <w:tcW w:w="760" w:type="dxa"/>
            <w:vAlign w:val="bottom"/>
            <w:vMerge w:val="restart"/>
          </w:tcPr>
          <w:p>
            <w:pPr>
              <w:jc w:val="right"/>
              <w:ind w:right="190"/>
              <w:spacing w:after="0"/>
              <w:rPr>
                <w:sz w:val="20"/>
                <w:szCs w:val="20"/>
                <w:color w:val="auto"/>
              </w:rPr>
            </w:pPr>
            <w:r>
              <w:rPr>
                <w:rFonts w:ascii="Arial" w:cs="Arial" w:eastAsia="Arial" w:hAnsi="Arial"/>
                <w:sz w:val="18"/>
                <w:szCs w:val="18"/>
                <w:b w:val="1"/>
                <w:bCs w:val="1"/>
                <w:color w:val="auto"/>
              </w:rPr>
              <w:t>High</w:t>
            </w:r>
          </w:p>
        </w:tc>
        <w:tc>
          <w:tcPr>
            <w:tcW w:w="120" w:type="dxa"/>
            <w:vAlign w:val="bottom"/>
            <w:vMerge w:val="restart"/>
          </w:tcPr>
          <w:p>
            <w:pPr>
              <w:spacing w:after="0"/>
              <w:rPr>
                <w:sz w:val="8"/>
                <w:szCs w:val="8"/>
                <w:color w:val="auto"/>
              </w:rPr>
            </w:pPr>
          </w:p>
        </w:tc>
        <w:tc>
          <w:tcPr>
            <w:tcW w:w="220" w:type="dxa"/>
            <w:vAlign w:val="bottom"/>
          </w:tcPr>
          <w:p>
            <w:pPr>
              <w:spacing w:after="0"/>
              <w:rPr>
                <w:sz w:val="8"/>
                <w:szCs w:val="8"/>
                <w:color w:val="auto"/>
              </w:rPr>
            </w:pPr>
          </w:p>
        </w:tc>
        <w:tc>
          <w:tcPr>
            <w:tcW w:w="740" w:type="dxa"/>
            <w:vAlign w:val="bottom"/>
            <w:vMerge w:val="restart"/>
          </w:tcPr>
          <w:p>
            <w:pPr>
              <w:jc w:val="right"/>
              <w:ind w:right="210"/>
              <w:spacing w:after="0"/>
              <w:rPr>
                <w:sz w:val="20"/>
                <w:szCs w:val="20"/>
                <w:color w:val="auto"/>
              </w:rPr>
            </w:pPr>
            <w:r>
              <w:rPr>
                <w:rFonts w:ascii="Arial" w:cs="Arial" w:eastAsia="Arial" w:hAnsi="Arial"/>
                <w:sz w:val="18"/>
                <w:szCs w:val="18"/>
                <w:b w:val="1"/>
                <w:bCs w:val="1"/>
                <w:color w:val="auto"/>
              </w:rPr>
              <w:t>Low</w:t>
            </w:r>
          </w:p>
        </w:tc>
        <w:tc>
          <w:tcPr>
            <w:tcW w:w="340" w:type="dxa"/>
            <w:vAlign w:val="bottom"/>
          </w:tcPr>
          <w:p>
            <w:pPr>
              <w:spacing w:after="0"/>
              <w:rPr>
                <w:sz w:val="8"/>
                <w:szCs w:val="8"/>
                <w:color w:val="auto"/>
              </w:rPr>
            </w:pPr>
          </w:p>
        </w:tc>
        <w:tc>
          <w:tcPr>
            <w:tcW w:w="820" w:type="dxa"/>
            <w:vAlign w:val="bottom"/>
            <w:vMerge w:val="restart"/>
          </w:tcPr>
          <w:p>
            <w:pPr>
              <w:jc w:val="right"/>
              <w:ind w:right="110"/>
              <w:spacing w:after="0"/>
              <w:rPr>
                <w:sz w:val="20"/>
                <w:szCs w:val="20"/>
                <w:color w:val="auto"/>
              </w:rPr>
            </w:pPr>
            <w:r>
              <w:rPr>
                <w:rFonts w:ascii="Arial" w:cs="Arial" w:eastAsia="Arial" w:hAnsi="Arial"/>
                <w:sz w:val="18"/>
                <w:szCs w:val="18"/>
                <w:b w:val="1"/>
                <w:bCs w:val="1"/>
                <w:color w:val="auto"/>
                <w:w w:val="99"/>
              </w:rPr>
              <w:t>NAV(1)</w:t>
            </w:r>
          </w:p>
        </w:tc>
        <w:tc>
          <w:tcPr>
            <w:tcW w:w="160" w:type="dxa"/>
            <w:vAlign w:val="bottom"/>
          </w:tcPr>
          <w:p>
            <w:pPr>
              <w:spacing w:after="0"/>
              <w:rPr>
                <w:sz w:val="8"/>
                <w:szCs w:val="8"/>
                <w:color w:val="auto"/>
              </w:rPr>
            </w:pPr>
          </w:p>
        </w:tc>
        <w:tc>
          <w:tcPr>
            <w:tcW w:w="1880" w:type="dxa"/>
            <w:vAlign w:val="bottom"/>
            <w:gridSpan w:val="2"/>
            <w:vMerge w:val="continue"/>
          </w:tcPr>
          <w:p>
            <w:pPr>
              <w:spacing w:after="0"/>
              <w:rPr>
                <w:sz w:val="8"/>
                <w:szCs w:val="8"/>
                <w:color w:val="auto"/>
              </w:rPr>
            </w:pPr>
          </w:p>
        </w:tc>
        <w:tc>
          <w:tcPr>
            <w:tcW w:w="176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NAV(2)</w:t>
            </w:r>
          </w:p>
        </w:tc>
        <w:tc>
          <w:tcPr>
            <w:tcW w:w="0" w:type="dxa"/>
            <w:vAlign w:val="bottom"/>
          </w:tcPr>
          <w:p>
            <w:pPr>
              <w:spacing w:after="0"/>
              <w:rPr>
                <w:sz w:val="1"/>
                <w:szCs w:val="1"/>
                <w:color w:val="auto"/>
              </w:rPr>
            </w:pPr>
          </w:p>
        </w:tc>
      </w:tr>
      <w:tr>
        <w:trPr>
          <w:trHeight w:val="121"/>
        </w:trPr>
        <w:tc>
          <w:tcPr>
            <w:tcW w:w="3340" w:type="dxa"/>
            <w:vAlign w:val="bottom"/>
            <w:tcBorders>
              <w:bottom w:val="single" w:sz="8" w:color="auto"/>
            </w:tcBorders>
            <w:vMerge w:val="continue"/>
          </w:tcPr>
          <w:p>
            <w:pPr>
              <w:spacing w:after="0"/>
              <w:rPr>
                <w:sz w:val="10"/>
                <w:szCs w:val="10"/>
                <w:color w:val="auto"/>
              </w:rPr>
            </w:pPr>
          </w:p>
        </w:tc>
        <w:tc>
          <w:tcPr>
            <w:tcW w:w="120" w:type="dxa"/>
            <w:vAlign w:val="bottom"/>
            <w:tcBorders>
              <w:bottom w:val="single" w:sz="8" w:color="CCEEFF"/>
            </w:tcBorders>
            <w:vMerge w:val="continue"/>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vMerge w:val="continue"/>
          </w:tcPr>
          <w:p>
            <w:pPr>
              <w:spacing w:after="0"/>
              <w:rPr>
                <w:sz w:val="10"/>
                <w:szCs w:val="10"/>
                <w:color w:val="auto"/>
              </w:rPr>
            </w:pPr>
          </w:p>
        </w:tc>
        <w:tc>
          <w:tcPr>
            <w:tcW w:w="120" w:type="dxa"/>
            <w:vAlign w:val="bottom"/>
            <w:tcBorders>
              <w:bottom w:val="single" w:sz="8" w:color="CCEEFF"/>
            </w:tcBorders>
            <w:vMerge w:val="continue"/>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vMerge w:val="continue"/>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vMerge w:val="continue"/>
          </w:tcPr>
          <w:p>
            <w:pPr>
              <w:spacing w:after="0"/>
              <w:rPr>
                <w:sz w:val="10"/>
                <w:szCs w:val="10"/>
                <w:color w:val="auto"/>
              </w:rPr>
            </w:pPr>
          </w:p>
        </w:tc>
        <w:tc>
          <w:tcPr>
            <w:tcW w:w="160" w:type="dxa"/>
            <w:vAlign w:val="bottom"/>
            <w:tcBorders>
              <w:bottom w:val="single" w:sz="8" w:color="CCEEFF"/>
            </w:tcBorders>
          </w:tcPr>
          <w:p>
            <w:pPr>
              <w:spacing w:after="0"/>
              <w:rPr>
                <w:sz w:val="10"/>
                <w:szCs w:val="10"/>
                <w:color w:val="auto"/>
              </w:rPr>
            </w:pPr>
          </w:p>
        </w:tc>
        <w:tc>
          <w:tcPr>
            <w:tcW w:w="1740" w:type="dxa"/>
            <w:vAlign w:val="bottom"/>
            <w:tcBorders>
              <w:bottom w:val="single" w:sz="8" w:color="auto"/>
            </w:tcBorders>
          </w:tcPr>
          <w:p>
            <w:pPr>
              <w:spacing w:after="0"/>
              <w:rPr>
                <w:sz w:val="10"/>
                <w:szCs w:val="10"/>
                <w:color w:val="auto"/>
              </w:rPr>
            </w:pPr>
          </w:p>
        </w:tc>
        <w:tc>
          <w:tcPr>
            <w:tcW w:w="140" w:type="dxa"/>
            <w:vAlign w:val="bottom"/>
            <w:tcBorders>
              <w:bottom w:val="single" w:sz="8" w:color="CCEEFF"/>
            </w:tcBorders>
          </w:tcPr>
          <w:p>
            <w:pPr>
              <w:spacing w:after="0"/>
              <w:rPr>
                <w:sz w:val="10"/>
                <w:szCs w:val="10"/>
                <w:color w:val="auto"/>
              </w:rPr>
            </w:pPr>
          </w:p>
        </w:tc>
        <w:tc>
          <w:tcPr>
            <w:tcW w:w="176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3340" w:type="dxa"/>
            <w:vAlign w:val="bottom"/>
            <w:shd w:val="clear" w:color="auto" w:fill="CCEEFF"/>
          </w:tcPr>
          <w:p>
            <w:pPr>
              <w:ind w:left="140"/>
              <w:spacing w:after="0" w:line="169" w:lineRule="exact"/>
              <w:rPr>
                <w:sz w:val="20"/>
                <w:szCs w:val="20"/>
                <w:color w:val="auto"/>
              </w:rPr>
            </w:pPr>
            <w:r>
              <w:rPr>
                <w:rFonts w:ascii="Arial" w:cs="Arial" w:eastAsia="Arial" w:hAnsi="Arial"/>
                <w:sz w:val="18"/>
                <w:szCs w:val="18"/>
                <w:color w:val="auto"/>
              </w:rPr>
              <w:t>First Quarter: January 1, 2019</w:t>
            </w:r>
          </w:p>
        </w:tc>
        <w:tc>
          <w:tcPr>
            <w:tcW w:w="120" w:type="dxa"/>
            <w:vAlign w:val="bottom"/>
            <w:shd w:val="clear" w:color="auto" w:fill="CCEEFF"/>
          </w:tcPr>
          <w:p>
            <w:pPr>
              <w:spacing w:after="0"/>
              <w:rPr>
                <w:sz w:val="14"/>
                <w:szCs w:val="14"/>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20.74</w:t>
            </w:r>
          </w:p>
        </w:tc>
        <w:tc>
          <w:tcPr>
            <w:tcW w:w="120" w:type="dxa"/>
            <w:vAlign w:val="bottom"/>
            <w:shd w:val="clear" w:color="auto" w:fill="CCEEFF"/>
          </w:tcPr>
          <w:p>
            <w:pPr>
              <w:spacing w:after="0"/>
              <w:rPr>
                <w:sz w:val="14"/>
                <w:szCs w:val="14"/>
                <w:color w:val="auto"/>
              </w:rPr>
            </w:pPr>
          </w:p>
        </w:tc>
        <w:tc>
          <w:tcPr>
            <w:tcW w:w="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17.23</w:t>
            </w:r>
          </w:p>
        </w:tc>
        <w:tc>
          <w:tcPr>
            <w:tcW w:w="3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15.31</w:t>
            </w:r>
          </w:p>
        </w:tc>
        <w:tc>
          <w:tcPr>
            <w:tcW w:w="1900" w:type="dxa"/>
            <w:vAlign w:val="bottom"/>
            <w:gridSpan w:val="2"/>
            <w:vMerge w:val="restart"/>
            <w:shd w:val="clear" w:color="auto" w:fill="CCEEFF"/>
          </w:tcPr>
          <w:p>
            <w:pPr>
              <w:jc w:val="center"/>
              <w:ind w:left="70"/>
              <w:spacing w:after="0"/>
              <w:rPr>
                <w:sz w:val="20"/>
                <w:szCs w:val="20"/>
                <w:color w:val="auto"/>
              </w:rPr>
            </w:pPr>
            <w:r>
              <w:rPr>
                <w:rFonts w:ascii="Arial" w:cs="Arial" w:eastAsia="Arial" w:hAnsi="Arial"/>
                <w:sz w:val="18"/>
                <w:szCs w:val="18"/>
                <w:color w:val="auto"/>
                <w:w w:val="94"/>
              </w:rPr>
              <w:t>35%</w:t>
            </w:r>
          </w:p>
        </w:tc>
        <w:tc>
          <w:tcPr>
            <w:tcW w:w="140" w:type="dxa"/>
            <w:vAlign w:val="bottom"/>
            <w:shd w:val="clear" w:color="auto" w:fill="CCEEFF"/>
          </w:tcPr>
          <w:p>
            <w:pPr>
              <w:spacing w:after="0"/>
              <w:rPr>
                <w:sz w:val="14"/>
                <w:szCs w:val="14"/>
                <w:color w:val="auto"/>
              </w:rPr>
            </w:pPr>
          </w:p>
        </w:tc>
        <w:tc>
          <w:tcPr>
            <w:tcW w:w="176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8"/>
              </w:rPr>
              <w:t>13%</w:t>
            </w:r>
          </w:p>
        </w:tc>
        <w:tc>
          <w:tcPr>
            <w:tcW w:w="0" w:type="dxa"/>
            <w:vAlign w:val="bottom"/>
          </w:tcPr>
          <w:p>
            <w:pPr>
              <w:spacing w:after="0"/>
              <w:rPr>
                <w:sz w:val="1"/>
                <w:szCs w:val="1"/>
                <w:color w:val="auto"/>
              </w:rPr>
            </w:pPr>
          </w:p>
        </w:tc>
      </w:tr>
      <w:tr>
        <w:trPr>
          <w:trHeight w:val="229"/>
        </w:trPr>
        <w:tc>
          <w:tcPr>
            <w:tcW w:w="34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Through March 31, 2019</w:t>
            </w:r>
          </w:p>
        </w:tc>
        <w:tc>
          <w:tcPr>
            <w:tcW w:w="200" w:type="dxa"/>
            <w:vAlign w:val="bottom"/>
            <w:vMerge w:val="continue"/>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vMerge w:val="continue"/>
            <w:shd w:val="clear" w:color="auto" w:fill="CCEEFF"/>
          </w:tcPr>
          <w:p>
            <w:pPr>
              <w:spacing w:after="0"/>
              <w:rPr>
                <w:sz w:val="19"/>
                <w:szCs w:val="19"/>
                <w:color w:val="auto"/>
              </w:rPr>
            </w:pPr>
          </w:p>
        </w:tc>
        <w:tc>
          <w:tcPr>
            <w:tcW w:w="740" w:type="dxa"/>
            <w:vAlign w:val="bottom"/>
            <w:vMerge w:val="continue"/>
            <w:shd w:val="clear" w:color="auto" w:fill="CCEEFF"/>
          </w:tcPr>
          <w:p>
            <w:pPr>
              <w:spacing w:after="0"/>
              <w:rPr>
                <w:sz w:val="19"/>
                <w:szCs w:val="19"/>
                <w:color w:val="auto"/>
              </w:rPr>
            </w:pPr>
          </w:p>
        </w:tc>
        <w:tc>
          <w:tcPr>
            <w:tcW w:w="340" w:type="dxa"/>
            <w:vAlign w:val="bottom"/>
            <w:vMerge w:val="continue"/>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190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7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460" w:type="dxa"/>
            <w:vAlign w:val="bottom"/>
            <w:gridSpan w:val="2"/>
          </w:tcPr>
          <w:p>
            <w:pPr>
              <w:ind w:left="140"/>
              <w:spacing w:after="0" w:line="176" w:lineRule="exact"/>
              <w:rPr>
                <w:sz w:val="20"/>
                <w:szCs w:val="20"/>
                <w:color w:val="auto"/>
              </w:rPr>
            </w:pPr>
            <w:r>
              <w:rPr>
                <w:rFonts w:ascii="Arial" w:cs="Arial" w:eastAsia="Arial" w:hAnsi="Arial"/>
                <w:sz w:val="18"/>
                <w:szCs w:val="18"/>
                <w:color w:val="auto"/>
              </w:rPr>
              <w:t>Second Quarter: April 1, 2019</w:t>
            </w: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23.83</w:t>
            </w:r>
          </w:p>
        </w:tc>
        <w:tc>
          <w:tcPr>
            <w:tcW w:w="120" w:type="dxa"/>
            <w:vAlign w:val="bottom"/>
          </w:tcPr>
          <w:p>
            <w:pPr>
              <w:spacing w:after="0"/>
              <w:rPr>
                <w:sz w:val="15"/>
                <w:szCs w:val="15"/>
                <w:color w:val="auto"/>
              </w:rPr>
            </w:pPr>
          </w:p>
        </w:tc>
        <w:tc>
          <w:tcPr>
            <w:tcW w:w="220" w:type="dxa"/>
            <w:vAlign w:val="bottom"/>
            <w:vMerge w:val="restart"/>
          </w:tcPr>
          <w:p>
            <w:pPr>
              <w:jc w:val="right"/>
              <w:ind w:right="10"/>
              <w:spacing w:after="0"/>
              <w:rPr>
                <w:sz w:val="20"/>
                <w:szCs w:val="20"/>
                <w:color w:val="auto"/>
              </w:rPr>
            </w:pPr>
            <w:r>
              <w:rPr>
                <w:rFonts w:ascii="Arial" w:cs="Arial" w:eastAsia="Arial" w:hAnsi="Arial"/>
                <w:sz w:val="18"/>
                <w:szCs w:val="18"/>
                <w:color w:val="auto"/>
                <w:w w:val="99"/>
              </w:rPr>
              <w:t>$</w:t>
            </w: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19.70</w:t>
            </w:r>
          </w:p>
        </w:tc>
        <w:tc>
          <w:tcPr>
            <w:tcW w:w="3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15.33</w:t>
            </w:r>
          </w:p>
        </w:tc>
        <w:tc>
          <w:tcPr>
            <w:tcW w:w="1900" w:type="dxa"/>
            <w:vAlign w:val="bottom"/>
            <w:gridSpan w:val="2"/>
            <w:vMerge w:val="restart"/>
          </w:tcPr>
          <w:p>
            <w:pPr>
              <w:jc w:val="center"/>
              <w:ind w:left="70"/>
              <w:spacing w:after="0"/>
              <w:rPr>
                <w:sz w:val="20"/>
                <w:szCs w:val="20"/>
                <w:color w:val="auto"/>
              </w:rPr>
            </w:pPr>
            <w:r>
              <w:rPr>
                <w:rFonts w:ascii="Arial" w:cs="Arial" w:eastAsia="Arial" w:hAnsi="Arial"/>
                <w:sz w:val="18"/>
                <w:szCs w:val="18"/>
                <w:color w:val="auto"/>
                <w:w w:val="94"/>
              </w:rPr>
              <w:t>55%</w:t>
            </w:r>
          </w:p>
        </w:tc>
        <w:tc>
          <w:tcPr>
            <w:tcW w:w="140" w:type="dxa"/>
            <w:vAlign w:val="bottom"/>
          </w:tcPr>
          <w:p>
            <w:pPr>
              <w:spacing w:after="0"/>
              <w:rPr>
                <w:sz w:val="15"/>
                <w:szCs w:val="15"/>
                <w:color w:val="auto"/>
              </w:rPr>
            </w:pPr>
          </w:p>
        </w:tc>
        <w:tc>
          <w:tcPr>
            <w:tcW w:w="1760" w:type="dxa"/>
            <w:vAlign w:val="bottom"/>
            <w:vMerge w:val="restart"/>
          </w:tcPr>
          <w:p>
            <w:pPr>
              <w:jc w:val="center"/>
              <w:spacing w:after="0"/>
              <w:rPr>
                <w:sz w:val="20"/>
                <w:szCs w:val="20"/>
                <w:color w:val="auto"/>
              </w:rPr>
            </w:pPr>
            <w:r>
              <w:rPr>
                <w:rFonts w:ascii="Arial" w:cs="Arial" w:eastAsia="Arial" w:hAnsi="Arial"/>
                <w:sz w:val="18"/>
                <w:szCs w:val="18"/>
                <w:color w:val="auto"/>
                <w:w w:val="88"/>
              </w:rPr>
              <w:t>29%</w:t>
            </w:r>
          </w:p>
        </w:tc>
        <w:tc>
          <w:tcPr>
            <w:tcW w:w="0" w:type="dxa"/>
            <w:vAlign w:val="bottom"/>
          </w:tcPr>
          <w:p>
            <w:pPr>
              <w:spacing w:after="0"/>
              <w:rPr>
                <w:sz w:val="1"/>
                <w:szCs w:val="1"/>
                <w:color w:val="auto"/>
              </w:rPr>
            </w:pPr>
          </w:p>
        </w:tc>
      </w:tr>
      <w:tr>
        <w:trPr>
          <w:trHeight w:val="229"/>
        </w:trPr>
        <w:tc>
          <w:tcPr>
            <w:tcW w:w="3460" w:type="dxa"/>
            <w:vAlign w:val="bottom"/>
            <w:gridSpan w:val="2"/>
          </w:tcPr>
          <w:p>
            <w:pPr>
              <w:ind w:left="140"/>
              <w:spacing w:after="0"/>
              <w:rPr>
                <w:sz w:val="20"/>
                <w:szCs w:val="20"/>
                <w:color w:val="auto"/>
              </w:rPr>
            </w:pPr>
            <w:r>
              <w:rPr>
                <w:rFonts w:ascii="Arial" w:cs="Arial" w:eastAsia="Arial" w:hAnsi="Arial"/>
                <w:sz w:val="18"/>
                <w:szCs w:val="18"/>
                <w:color w:val="auto"/>
              </w:rPr>
              <w:t>Through June 30, 2019</w:t>
            </w:r>
          </w:p>
        </w:tc>
        <w:tc>
          <w:tcPr>
            <w:tcW w:w="200" w:type="dxa"/>
            <w:vAlign w:val="bottom"/>
            <w:vMerge w:val="continue"/>
          </w:tcPr>
          <w:p>
            <w:pPr>
              <w:spacing w:after="0"/>
              <w:rPr>
                <w:sz w:val="19"/>
                <w:szCs w:val="19"/>
                <w:color w:val="auto"/>
              </w:rPr>
            </w:pPr>
          </w:p>
        </w:tc>
        <w:tc>
          <w:tcPr>
            <w:tcW w:w="7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vMerge w:val="continue"/>
          </w:tcPr>
          <w:p>
            <w:pPr>
              <w:spacing w:after="0"/>
              <w:rPr>
                <w:sz w:val="19"/>
                <w:szCs w:val="19"/>
                <w:color w:val="auto"/>
              </w:rPr>
            </w:pPr>
          </w:p>
        </w:tc>
        <w:tc>
          <w:tcPr>
            <w:tcW w:w="740" w:type="dxa"/>
            <w:vAlign w:val="bottom"/>
            <w:vMerge w:val="continue"/>
          </w:tcPr>
          <w:p>
            <w:pPr>
              <w:spacing w:after="0"/>
              <w:rPr>
                <w:sz w:val="19"/>
                <w:szCs w:val="19"/>
                <w:color w:val="auto"/>
              </w:rPr>
            </w:pPr>
          </w:p>
        </w:tc>
        <w:tc>
          <w:tcPr>
            <w:tcW w:w="340" w:type="dxa"/>
            <w:vAlign w:val="bottom"/>
            <w:vMerge w:val="continue"/>
          </w:tcPr>
          <w:p>
            <w:pPr>
              <w:spacing w:after="0"/>
              <w:rPr>
                <w:sz w:val="19"/>
                <w:szCs w:val="19"/>
                <w:color w:val="auto"/>
              </w:rPr>
            </w:pPr>
          </w:p>
        </w:tc>
        <w:tc>
          <w:tcPr>
            <w:tcW w:w="820" w:type="dxa"/>
            <w:vAlign w:val="bottom"/>
            <w:vMerge w:val="continue"/>
          </w:tcPr>
          <w:p>
            <w:pPr>
              <w:spacing w:after="0"/>
              <w:rPr>
                <w:sz w:val="19"/>
                <w:szCs w:val="19"/>
                <w:color w:val="auto"/>
              </w:rPr>
            </w:pPr>
          </w:p>
        </w:tc>
        <w:tc>
          <w:tcPr>
            <w:tcW w:w="190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7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460" w:type="dxa"/>
            <w:vAlign w:val="bottom"/>
            <w:gridSpan w:val="2"/>
            <w:shd w:val="clear" w:color="auto" w:fill="CCEEFF"/>
          </w:tcPr>
          <w:p>
            <w:pPr>
              <w:ind w:left="140"/>
              <w:spacing w:after="0" w:line="176" w:lineRule="exact"/>
              <w:rPr>
                <w:sz w:val="20"/>
                <w:szCs w:val="20"/>
                <w:color w:val="auto"/>
              </w:rPr>
            </w:pPr>
            <w:r>
              <w:rPr>
                <w:rFonts w:ascii="Arial" w:cs="Arial" w:eastAsia="Arial" w:hAnsi="Arial"/>
                <w:sz w:val="18"/>
                <w:szCs w:val="18"/>
                <w:color w:val="auto"/>
              </w:rPr>
              <w:t>Third Quarter: July 1, 2019</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23.99</w:t>
            </w:r>
          </w:p>
        </w:tc>
        <w:tc>
          <w:tcPr>
            <w:tcW w:w="120" w:type="dxa"/>
            <w:vAlign w:val="bottom"/>
            <w:shd w:val="clear" w:color="auto" w:fill="CCEEFF"/>
          </w:tcPr>
          <w:p>
            <w:pPr>
              <w:spacing w:after="0"/>
              <w:rPr>
                <w:sz w:val="15"/>
                <w:szCs w:val="15"/>
                <w:color w:val="auto"/>
              </w:rPr>
            </w:pPr>
          </w:p>
        </w:tc>
        <w:tc>
          <w:tcPr>
            <w:tcW w:w="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20.21</w:t>
            </w:r>
          </w:p>
        </w:tc>
        <w:tc>
          <w:tcPr>
            <w:tcW w:w="3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15.41</w:t>
            </w:r>
          </w:p>
        </w:tc>
        <w:tc>
          <w:tcPr>
            <w:tcW w:w="1900" w:type="dxa"/>
            <w:vAlign w:val="bottom"/>
            <w:gridSpan w:val="2"/>
            <w:vMerge w:val="restart"/>
            <w:shd w:val="clear" w:color="auto" w:fill="CCEEFF"/>
          </w:tcPr>
          <w:p>
            <w:pPr>
              <w:jc w:val="center"/>
              <w:ind w:left="70"/>
              <w:spacing w:after="0"/>
              <w:rPr>
                <w:sz w:val="20"/>
                <w:szCs w:val="20"/>
                <w:color w:val="auto"/>
              </w:rPr>
            </w:pPr>
            <w:r>
              <w:rPr>
                <w:rFonts w:ascii="Arial" w:cs="Arial" w:eastAsia="Arial" w:hAnsi="Arial"/>
                <w:sz w:val="18"/>
                <w:szCs w:val="18"/>
                <w:color w:val="auto"/>
                <w:w w:val="94"/>
              </w:rPr>
              <w:t>56%</w:t>
            </w:r>
          </w:p>
        </w:tc>
        <w:tc>
          <w:tcPr>
            <w:tcW w:w="140" w:type="dxa"/>
            <w:vAlign w:val="bottom"/>
            <w:shd w:val="clear" w:color="auto" w:fill="CCEEFF"/>
          </w:tcPr>
          <w:p>
            <w:pPr>
              <w:spacing w:after="0"/>
              <w:rPr>
                <w:sz w:val="15"/>
                <w:szCs w:val="15"/>
                <w:color w:val="auto"/>
              </w:rPr>
            </w:pPr>
          </w:p>
        </w:tc>
        <w:tc>
          <w:tcPr>
            <w:tcW w:w="176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8"/>
              </w:rPr>
              <w:t>31%</w:t>
            </w:r>
          </w:p>
        </w:tc>
        <w:tc>
          <w:tcPr>
            <w:tcW w:w="0" w:type="dxa"/>
            <w:vAlign w:val="bottom"/>
          </w:tcPr>
          <w:p>
            <w:pPr>
              <w:spacing w:after="0"/>
              <w:rPr>
                <w:sz w:val="1"/>
                <w:szCs w:val="1"/>
                <w:color w:val="auto"/>
              </w:rPr>
            </w:pPr>
          </w:p>
        </w:tc>
      </w:tr>
      <w:tr>
        <w:trPr>
          <w:trHeight w:val="229"/>
        </w:trPr>
        <w:tc>
          <w:tcPr>
            <w:tcW w:w="34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Through September 30, 2019</w:t>
            </w:r>
          </w:p>
        </w:tc>
        <w:tc>
          <w:tcPr>
            <w:tcW w:w="200" w:type="dxa"/>
            <w:vAlign w:val="bottom"/>
            <w:vMerge w:val="continue"/>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vMerge w:val="continue"/>
            <w:shd w:val="clear" w:color="auto" w:fill="CCEEFF"/>
          </w:tcPr>
          <w:p>
            <w:pPr>
              <w:spacing w:after="0"/>
              <w:rPr>
                <w:sz w:val="19"/>
                <w:szCs w:val="19"/>
                <w:color w:val="auto"/>
              </w:rPr>
            </w:pPr>
          </w:p>
        </w:tc>
        <w:tc>
          <w:tcPr>
            <w:tcW w:w="740" w:type="dxa"/>
            <w:vAlign w:val="bottom"/>
            <w:vMerge w:val="continue"/>
            <w:shd w:val="clear" w:color="auto" w:fill="CCEEFF"/>
          </w:tcPr>
          <w:p>
            <w:pPr>
              <w:spacing w:after="0"/>
              <w:rPr>
                <w:sz w:val="19"/>
                <w:szCs w:val="19"/>
                <w:color w:val="auto"/>
              </w:rPr>
            </w:pPr>
          </w:p>
        </w:tc>
        <w:tc>
          <w:tcPr>
            <w:tcW w:w="340" w:type="dxa"/>
            <w:vAlign w:val="bottom"/>
            <w:vMerge w:val="continue"/>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190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7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460" w:type="dxa"/>
            <w:vAlign w:val="bottom"/>
            <w:gridSpan w:val="2"/>
          </w:tcPr>
          <w:p>
            <w:pPr>
              <w:ind w:left="140"/>
              <w:spacing w:after="0" w:line="176" w:lineRule="exact"/>
              <w:rPr>
                <w:sz w:val="20"/>
                <w:szCs w:val="20"/>
                <w:color w:val="auto"/>
              </w:rPr>
            </w:pPr>
            <w:r>
              <w:rPr>
                <w:rFonts w:ascii="Arial" w:cs="Arial" w:eastAsia="Arial" w:hAnsi="Arial"/>
                <w:sz w:val="18"/>
                <w:szCs w:val="18"/>
                <w:color w:val="auto"/>
              </w:rPr>
              <w:t>Fourth Quarter: October 1, 2019</w:t>
            </w: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23.73</w:t>
            </w:r>
          </w:p>
        </w:tc>
        <w:tc>
          <w:tcPr>
            <w:tcW w:w="120" w:type="dxa"/>
            <w:vAlign w:val="bottom"/>
          </w:tcPr>
          <w:p>
            <w:pPr>
              <w:spacing w:after="0"/>
              <w:rPr>
                <w:sz w:val="15"/>
                <w:szCs w:val="15"/>
                <w:color w:val="auto"/>
              </w:rPr>
            </w:pPr>
          </w:p>
        </w:tc>
        <w:tc>
          <w:tcPr>
            <w:tcW w:w="220" w:type="dxa"/>
            <w:vAlign w:val="bottom"/>
            <w:vMerge w:val="restart"/>
          </w:tcPr>
          <w:p>
            <w:pPr>
              <w:jc w:val="right"/>
              <w:ind w:right="10"/>
              <w:spacing w:after="0"/>
              <w:rPr>
                <w:sz w:val="20"/>
                <w:szCs w:val="20"/>
                <w:color w:val="auto"/>
              </w:rPr>
            </w:pPr>
            <w:r>
              <w:rPr>
                <w:rFonts w:ascii="Arial" w:cs="Arial" w:eastAsia="Arial" w:hAnsi="Arial"/>
                <w:sz w:val="18"/>
                <w:szCs w:val="18"/>
                <w:color w:val="auto"/>
                <w:w w:val="99"/>
              </w:rPr>
              <w:t>$</w:t>
            </w: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20.75</w:t>
            </w:r>
          </w:p>
        </w:tc>
        <w:tc>
          <w:tcPr>
            <w:tcW w:w="3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15.70</w:t>
            </w:r>
          </w:p>
        </w:tc>
        <w:tc>
          <w:tcPr>
            <w:tcW w:w="1900" w:type="dxa"/>
            <w:vAlign w:val="bottom"/>
            <w:gridSpan w:val="2"/>
            <w:vMerge w:val="restart"/>
          </w:tcPr>
          <w:p>
            <w:pPr>
              <w:jc w:val="center"/>
              <w:ind w:left="70"/>
              <w:spacing w:after="0"/>
              <w:rPr>
                <w:sz w:val="20"/>
                <w:szCs w:val="20"/>
                <w:color w:val="auto"/>
              </w:rPr>
            </w:pPr>
            <w:r>
              <w:rPr>
                <w:rFonts w:ascii="Arial" w:cs="Arial" w:eastAsia="Arial" w:hAnsi="Arial"/>
                <w:sz w:val="18"/>
                <w:szCs w:val="18"/>
                <w:color w:val="auto"/>
                <w:w w:val="94"/>
              </w:rPr>
              <w:t>51%</w:t>
            </w:r>
          </w:p>
        </w:tc>
        <w:tc>
          <w:tcPr>
            <w:tcW w:w="140" w:type="dxa"/>
            <w:vAlign w:val="bottom"/>
          </w:tcPr>
          <w:p>
            <w:pPr>
              <w:spacing w:after="0"/>
              <w:rPr>
                <w:sz w:val="15"/>
                <w:szCs w:val="15"/>
                <w:color w:val="auto"/>
              </w:rPr>
            </w:pPr>
          </w:p>
        </w:tc>
        <w:tc>
          <w:tcPr>
            <w:tcW w:w="1760" w:type="dxa"/>
            <w:vAlign w:val="bottom"/>
            <w:vMerge w:val="restart"/>
          </w:tcPr>
          <w:p>
            <w:pPr>
              <w:jc w:val="center"/>
              <w:spacing w:after="0"/>
              <w:rPr>
                <w:sz w:val="20"/>
                <w:szCs w:val="20"/>
                <w:color w:val="auto"/>
              </w:rPr>
            </w:pPr>
            <w:r>
              <w:rPr>
                <w:rFonts w:ascii="Arial" w:cs="Arial" w:eastAsia="Arial" w:hAnsi="Arial"/>
                <w:sz w:val="18"/>
                <w:szCs w:val="18"/>
                <w:color w:val="auto"/>
                <w:w w:val="88"/>
              </w:rPr>
              <w:t>32%</w:t>
            </w:r>
          </w:p>
        </w:tc>
        <w:tc>
          <w:tcPr>
            <w:tcW w:w="0" w:type="dxa"/>
            <w:vAlign w:val="bottom"/>
          </w:tcPr>
          <w:p>
            <w:pPr>
              <w:spacing w:after="0"/>
              <w:rPr>
                <w:sz w:val="1"/>
                <w:szCs w:val="1"/>
                <w:color w:val="auto"/>
              </w:rPr>
            </w:pPr>
          </w:p>
        </w:tc>
      </w:tr>
      <w:tr>
        <w:trPr>
          <w:trHeight w:val="229"/>
        </w:trPr>
        <w:tc>
          <w:tcPr>
            <w:tcW w:w="3460" w:type="dxa"/>
            <w:vAlign w:val="bottom"/>
            <w:gridSpan w:val="2"/>
          </w:tcPr>
          <w:p>
            <w:pPr>
              <w:ind w:left="140"/>
              <w:spacing w:after="0"/>
              <w:rPr>
                <w:sz w:val="20"/>
                <w:szCs w:val="20"/>
                <w:color w:val="auto"/>
              </w:rPr>
            </w:pPr>
            <w:r>
              <w:rPr>
                <w:rFonts w:ascii="Arial" w:cs="Arial" w:eastAsia="Arial" w:hAnsi="Arial"/>
                <w:sz w:val="18"/>
                <w:szCs w:val="18"/>
                <w:color w:val="auto"/>
              </w:rPr>
              <w:t>Through December 31, 2019</w:t>
            </w:r>
          </w:p>
        </w:tc>
        <w:tc>
          <w:tcPr>
            <w:tcW w:w="200" w:type="dxa"/>
            <w:vAlign w:val="bottom"/>
            <w:vMerge w:val="continue"/>
          </w:tcPr>
          <w:p>
            <w:pPr>
              <w:spacing w:after="0"/>
              <w:rPr>
                <w:sz w:val="19"/>
                <w:szCs w:val="19"/>
                <w:color w:val="auto"/>
              </w:rPr>
            </w:pPr>
          </w:p>
        </w:tc>
        <w:tc>
          <w:tcPr>
            <w:tcW w:w="7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vMerge w:val="continue"/>
          </w:tcPr>
          <w:p>
            <w:pPr>
              <w:spacing w:after="0"/>
              <w:rPr>
                <w:sz w:val="19"/>
                <w:szCs w:val="19"/>
                <w:color w:val="auto"/>
              </w:rPr>
            </w:pPr>
          </w:p>
        </w:tc>
        <w:tc>
          <w:tcPr>
            <w:tcW w:w="740" w:type="dxa"/>
            <w:vAlign w:val="bottom"/>
            <w:vMerge w:val="continue"/>
          </w:tcPr>
          <w:p>
            <w:pPr>
              <w:spacing w:after="0"/>
              <w:rPr>
                <w:sz w:val="19"/>
                <w:szCs w:val="19"/>
                <w:color w:val="auto"/>
              </w:rPr>
            </w:pPr>
          </w:p>
        </w:tc>
        <w:tc>
          <w:tcPr>
            <w:tcW w:w="340" w:type="dxa"/>
            <w:vAlign w:val="bottom"/>
            <w:vMerge w:val="continue"/>
          </w:tcPr>
          <w:p>
            <w:pPr>
              <w:spacing w:after="0"/>
              <w:rPr>
                <w:sz w:val="19"/>
                <w:szCs w:val="19"/>
                <w:color w:val="auto"/>
              </w:rPr>
            </w:pPr>
          </w:p>
        </w:tc>
        <w:tc>
          <w:tcPr>
            <w:tcW w:w="820" w:type="dxa"/>
            <w:vAlign w:val="bottom"/>
            <w:vMerge w:val="continue"/>
          </w:tcPr>
          <w:p>
            <w:pPr>
              <w:spacing w:after="0"/>
              <w:rPr>
                <w:sz w:val="19"/>
                <w:szCs w:val="19"/>
                <w:color w:val="auto"/>
              </w:rPr>
            </w:pPr>
          </w:p>
        </w:tc>
        <w:tc>
          <w:tcPr>
            <w:tcW w:w="190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7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460" w:type="dxa"/>
            <w:vAlign w:val="bottom"/>
            <w:gridSpan w:val="2"/>
            <w:shd w:val="clear" w:color="auto" w:fill="CCEEFF"/>
          </w:tcPr>
          <w:p>
            <w:pPr>
              <w:ind w:left="140"/>
              <w:spacing w:after="0" w:line="176" w:lineRule="exact"/>
              <w:rPr>
                <w:sz w:val="20"/>
                <w:szCs w:val="20"/>
                <w:color w:val="auto"/>
              </w:rPr>
            </w:pPr>
            <w:r>
              <w:rPr>
                <w:rFonts w:ascii="Arial" w:cs="Arial" w:eastAsia="Arial" w:hAnsi="Arial"/>
                <w:sz w:val="18"/>
                <w:szCs w:val="18"/>
                <w:color w:val="auto"/>
              </w:rPr>
              <w:t>First Quarter: January 1, 2020</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23.09</w:t>
            </w:r>
          </w:p>
        </w:tc>
        <w:tc>
          <w:tcPr>
            <w:tcW w:w="120" w:type="dxa"/>
            <w:vAlign w:val="bottom"/>
            <w:shd w:val="clear" w:color="auto" w:fill="CCEEFF"/>
          </w:tcPr>
          <w:p>
            <w:pPr>
              <w:spacing w:after="0"/>
              <w:rPr>
                <w:sz w:val="15"/>
                <w:szCs w:val="15"/>
                <w:color w:val="auto"/>
              </w:rPr>
            </w:pPr>
          </w:p>
        </w:tc>
        <w:tc>
          <w:tcPr>
            <w:tcW w:w="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7.59</w:t>
            </w:r>
          </w:p>
        </w:tc>
        <w:tc>
          <w:tcPr>
            <w:tcW w:w="3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1900" w:type="dxa"/>
            <w:vAlign w:val="bottom"/>
            <w:gridSpan w:val="2"/>
            <w:vMerge w:val="restart"/>
            <w:shd w:val="clear" w:color="auto" w:fill="CCEEFF"/>
          </w:tcPr>
          <w:p>
            <w:pPr>
              <w:jc w:val="center"/>
              <w:ind w:left="70"/>
              <w:spacing w:after="0"/>
              <w:rPr>
                <w:sz w:val="20"/>
                <w:szCs w:val="20"/>
                <w:color w:val="auto"/>
              </w:rPr>
            </w:pPr>
            <w:r>
              <w:rPr>
                <w:rFonts w:ascii="Arial" w:cs="Arial" w:eastAsia="Arial" w:hAnsi="Arial"/>
                <w:sz w:val="18"/>
                <w:szCs w:val="18"/>
                <w:color w:val="auto"/>
                <w:w w:val="94"/>
              </w:rPr>
              <w:t>54%</w:t>
            </w:r>
          </w:p>
        </w:tc>
        <w:tc>
          <w:tcPr>
            <w:tcW w:w="140" w:type="dxa"/>
            <w:vAlign w:val="bottom"/>
            <w:shd w:val="clear" w:color="auto" w:fill="CCEEFF"/>
          </w:tcPr>
          <w:p>
            <w:pPr>
              <w:spacing w:after="0"/>
              <w:rPr>
                <w:sz w:val="15"/>
                <w:szCs w:val="15"/>
                <w:color w:val="auto"/>
              </w:rPr>
            </w:pPr>
          </w:p>
        </w:tc>
        <w:tc>
          <w:tcPr>
            <w:tcW w:w="176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1"/>
              </w:rPr>
              <w:t>(49)%</w:t>
            </w:r>
          </w:p>
        </w:tc>
        <w:tc>
          <w:tcPr>
            <w:tcW w:w="0" w:type="dxa"/>
            <w:vAlign w:val="bottom"/>
          </w:tcPr>
          <w:p>
            <w:pPr>
              <w:spacing w:after="0"/>
              <w:rPr>
                <w:sz w:val="1"/>
                <w:szCs w:val="1"/>
                <w:color w:val="auto"/>
              </w:rPr>
            </w:pPr>
          </w:p>
        </w:tc>
      </w:tr>
      <w:tr>
        <w:trPr>
          <w:trHeight w:val="229"/>
        </w:trPr>
        <w:tc>
          <w:tcPr>
            <w:tcW w:w="34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Through March 31, 2020</w:t>
            </w:r>
          </w:p>
        </w:tc>
        <w:tc>
          <w:tcPr>
            <w:tcW w:w="200" w:type="dxa"/>
            <w:vAlign w:val="bottom"/>
            <w:vMerge w:val="continue"/>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vMerge w:val="continue"/>
            <w:shd w:val="clear" w:color="auto" w:fill="CCEEFF"/>
          </w:tcPr>
          <w:p>
            <w:pPr>
              <w:spacing w:after="0"/>
              <w:rPr>
                <w:sz w:val="19"/>
                <w:szCs w:val="19"/>
                <w:color w:val="auto"/>
              </w:rPr>
            </w:pPr>
          </w:p>
        </w:tc>
        <w:tc>
          <w:tcPr>
            <w:tcW w:w="740" w:type="dxa"/>
            <w:vAlign w:val="bottom"/>
            <w:vMerge w:val="continue"/>
            <w:shd w:val="clear" w:color="auto" w:fill="CCEEFF"/>
          </w:tcPr>
          <w:p>
            <w:pPr>
              <w:spacing w:after="0"/>
              <w:rPr>
                <w:sz w:val="19"/>
                <w:szCs w:val="19"/>
                <w:color w:val="auto"/>
              </w:rPr>
            </w:pPr>
          </w:p>
        </w:tc>
        <w:tc>
          <w:tcPr>
            <w:tcW w:w="340" w:type="dxa"/>
            <w:vAlign w:val="bottom"/>
            <w:vMerge w:val="continue"/>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190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7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460" w:type="dxa"/>
            <w:vAlign w:val="bottom"/>
            <w:gridSpan w:val="2"/>
          </w:tcPr>
          <w:p>
            <w:pPr>
              <w:ind w:left="140"/>
              <w:spacing w:after="0" w:line="176" w:lineRule="exact"/>
              <w:rPr>
                <w:sz w:val="20"/>
                <w:szCs w:val="20"/>
                <w:color w:val="auto"/>
              </w:rPr>
            </w:pPr>
            <w:r>
              <w:rPr>
                <w:rFonts w:ascii="Arial" w:cs="Arial" w:eastAsia="Arial" w:hAnsi="Arial"/>
                <w:sz w:val="18"/>
                <w:szCs w:val="18"/>
                <w:color w:val="auto"/>
              </w:rPr>
              <w:t>Second Quarter: April 1, 2020</w:t>
            </w: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18.84</w:t>
            </w:r>
          </w:p>
        </w:tc>
        <w:tc>
          <w:tcPr>
            <w:tcW w:w="120" w:type="dxa"/>
            <w:vAlign w:val="bottom"/>
          </w:tcPr>
          <w:p>
            <w:pPr>
              <w:spacing w:after="0"/>
              <w:rPr>
                <w:sz w:val="15"/>
                <w:szCs w:val="15"/>
                <w:color w:val="auto"/>
              </w:rPr>
            </w:pPr>
          </w:p>
        </w:tc>
        <w:tc>
          <w:tcPr>
            <w:tcW w:w="220" w:type="dxa"/>
            <w:vAlign w:val="bottom"/>
            <w:vMerge w:val="restart"/>
          </w:tcPr>
          <w:p>
            <w:pPr>
              <w:jc w:val="right"/>
              <w:ind w:right="10"/>
              <w:spacing w:after="0"/>
              <w:rPr>
                <w:sz w:val="20"/>
                <w:szCs w:val="20"/>
                <w:color w:val="auto"/>
              </w:rPr>
            </w:pPr>
            <w:r>
              <w:rPr>
                <w:rFonts w:ascii="Arial" w:cs="Arial" w:eastAsia="Arial" w:hAnsi="Arial"/>
                <w:sz w:val="18"/>
                <w:szCs w:val="18"/>
                <w:color w:val="auto"/>
                <w:w w:val="99"/>
              </w:rPr>
              <w:t>$</w:t>
            </w: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9.03</w:t>
            </w:r>
          </w:p>
        </w:tc>
        <w:tc>
          <w:tcPr>
            <w:tcW w:w="3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15.66</w:t>
            </w:r>
          </w:p>
        </w:tc>
        <w:tc>
          <w:tcPr>
            <w:tcW w:w="1900" w:type="dxa"/>
            <w:vAlign w:val="bottom"/>
            <w:gridSpan w:val="2"/>
            <w:vMerge w:val="restart"/>
          </w:tcPr>
          <w:p>
            <w:pPr>
              <w:jc w:val="center"/>
              <w:ind w:left="70"/>
              <w:spacing w:after="0"/>
              <w:rPr>
                <w:sz w:val="20"/>
                <w:szCs w:val="20"/>
                <w:color w:val="auto"/>
              </w:rPr>
            </w:pPr>
            <w:r>
              <w:rPr>
                <w:rFonts w:ascii="Arial" w:cs="Arial" w:eastAsia="Arial" w:hAnsi="Arial"/>
                <w:sz w:val="18"/>
                <w:szCs w:val="18"/>
                <w:color w:val="auto"/>
                <w:w w:val="94"/>
              </w:rPr>
              <w:t>20%</w:t>
            </w:r>
          </w:p>
        </w:tc>
        <w:tc>
          <w:tcPr>
            <w:tcW w:w="140" w:type="dxa"/>
            <w:vAlign w:val="bottom"/>
          </w:tcPr>
          <w:p>
            <w:pPr>
              <w:spacing w:after="0"/>
              <w:rPr>
                <w:sz w:val="15"/>
                <w:szCs w:val="15"/>
                <w:color w:val="auto"/>
              </w:rPr>
            </w:pPr>
          </w:p>
        </w:tc>
        <w:tc>
          <w:tcPr>
            <w:tcW w:w="1760" w:type="dxa"/>
            <w:vAlign w:val="bottom"/>
            <w:vMerge w:val="restart"/>
          </w:tcPr>
          <w:p>
            <w:pPr>
              <w:jc w:val="center"/>
              <w:spacing w:after="0"/>
              <w:rPr>
                <w:sz w:val="20"/>
                <w:szCs w:val="20"/>
                <w:color w:val="auto"/>
              </w:rPr>
            </w:pPr>
            <w:r>
              <w:rPr>
                <w:rFonts w:ascii="Arial" w:cs="Arial" w:eastAsia="Arial" w:hAnsi="Arial"/>
                <w:sz w:val="18"/>
                <w:szCs w:val="18"/>
                <w:color w:val="auto"/>
                <w:w w:val="91"/>
              </w:rPr>
              <w:t>(42)%</w:t>
            </w:r>
          </w:p>
        </w:tc>
        <w:tc>
          <w:tcPr>
            <w:tcW w:w="0" w:type="dxa"/>
            <w:vAlign w:val="bottom"/>
          </w:tcPr>
          <w:p>
            <w:pPr>
              <w:spacing w:after="0"/>
              <w:rPr>
                <w:sz w:val="1"/>
                <w:szCs w:val="1"/>
                <w:color w:val="auto"/>
              </w:rPr>
            </w:pPr>
          </w:p>
        </w:tc>
      </w:tr>
      <w:tr>
        <w:trPr>
          <w:trHeight w:val="229"/>
        </w:trPr>
        <w:tc>
          <w:tcPr>
            <w:tcW w:w="3460" w:type="dxa"/>
            <w:vAlign w:val="bottom"/>
            <w:gridSpan w:val="2"/>
          </w:tcPr>
          <w:p>
            <w:pPr>
              <w:ind w:left="140"/>
              <w:spacing w:after="0"/>
              <w:rPr>
                <w:sz w:val="20"/>
                <w:szCs w:val="20"/>
                <w:color w:val="auto"/>
              </w:rPr>
            </w:pPr>
            <w:r>
              <w:rPr>
                <w:rFonts w:ascii="Arial" w:cs="Arial" w:eastAsia="Arial" w:hAnsi="Arial"/>
                <w:sz w:val="18"/>
                <w:szCs w:val="18"/>
                <w:color w:val="auto"/>
              </w:rPr>
              <w:t>Through June 30, 2020</w:t>
            </w:r>
          </w:p>
        </w:tc>
        <w:tc>
          <w:tcPr>
            <w:tcW w:w="200" w:type="dxa"/>
            <w:vAlign w:val="bottom"/>
            <w:vMerge w:val="continue"/>
          </w:tcPr>
          <w:p>
            <w:pPr>
              <w:spacing w:after="0"/>
              <w:rPr>
                <w:sz w:val="19"/>
                <w:szCs w:val="19"/>
                <w:color w:val="auto"/>
              </w:rPr>
            </w:pPr>
          </w:p>
        </w:tc>
        <w:tc>
          <w:tcPr>
            <w:tcW w:w="7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vMerge w:val="continue"/>
          </w:tcPr>
          <w:p>
            <w:pPr>
              <w:spacing w:after="0"/>
              <w:rPr>
                <w:sz w:val="19"/>
                <w:szCs w:val="19"/>
                <w:color w:val="auto"/>
              </w:rPr>
            </w:pPr>
          </w:p>
        </w:tc>
        <w:tc>
          <w:tcPr>
            <w:tcW w:w="740" w:type="dxa"/>
            <w:vAlign w:val="bottom"/>
            <w:vMerge w:val="continue"/>
          </w:tcPr>
          <w:p>
            <w:pPr>
              <w:spacing w:after="0"/>
              <w:rPr>
                <w:sz w:val="19"/>
                <w:szCs w:val="19"/>
                <w:color w:val="auto"/>
              </w:rPr>
            </w:pPr>
          </w:p>
        </w:tc>
        <w:tc>
          <w:tcPr>
            <w:tcW w:w="340" w:type="dxa"/>
            <w:vAlign w:val="bottom"/>
            <w:vMerge w:val="continue"/>
          </w:tcPr>
          <w:p>
            <w:pPr>
              <w:spacing w:after="0"/>
              <w:rPr>
                <w:sz w:val="19"/>
                <w:szCs w:val="19"/>
                <w:color w:val="auto"/>
              </w:rPr>
            </w:pPr>
          </w:p>
        </w:tc>
        <w:tc>
          <w:tcPr>
            <w:tcW w:w="820" w:type="dxa"/>
            <w:vAlign w:val="bottom"/>
            <w:vMerge w:val="continue"/>
          </w:tcPr>
          <w:p>
            <w:pPr>
              <w:spacing w:after="0"/>
              <w:rPr>
                <w:sz w:val="19"/>
                <w:szCs w:val="19"/>
                <w:color w:val="auto"/>
              </w:rPr>
            </w:pPr>
          </w:p>
        </w:tc>
        <w:tc>
          <w:tcPr>
            <w:tcW w:w="190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7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460" w:type="dxa"/>
            <w:vAlign w:val="bottom"/>
            <w:gridSpan w:val="2"/>
            <w:shd w:val="clear" w:color="auto" w:fill="CCEEFF"/>
          </w:tcPr>
          <w:p>
            <w:pPr>
              <w:ind w:left="140"/>
              <w:spacing w:after="0" w:line="176" w:lineRule="exact"/>
              <w:rPr>
                <w:sz w:val="20"/>
                <w:szCs w:val="20"/>
                <w:color w:val="auto"/>
              </w:rPr>
            </w:pPr>
            <w:r>
              <w:rPr>
                <w:rFonts w:ascii="Arial" w:cs="Arial" w:eastAsia="Arial" w:hAnsi="Arial"/>
                <w:sz w:val="18"/>
                <w:szCs w:val="18"/>
                <w:color w:val="auto"/>
              </w:rPr>
              <w:t>Third Quarter: July 1, 2020</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20.50</w:t>
            </w:r>
          </w:p>
        </w:tc>
        <w:tc>
          <w:tcPr>
            <w:tcW w:w="120" w:type="dxa"/>
            <w:vAlign w:val="bottom"/>
            <w:shd w:val="clear" w:color="auto" w:fill="CCEEFF"/>
          </w:tcPr>
          <w:p>
            <w:pPr>
              <w:spacing w:after="0"/>
              <w:rPr>
                <w:sz w:val="15"/>
                <w:szCs w:val="15"/>
                <w:color w:val="auto"/>
              </w:rPr>
            </w:pPr>
          </w:p>
        </w:tc>
        <w:tc>
          <w:tcPr>
            <w:tcW w:w="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16.73</w:t>
            </w:r>
          </w:p>
        </w:tc>
        <w:tc>
          <w:tcPr>
            <w:tcW w:w="3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15.13</w:t>
            </w:r>
          </w:p>
        </w:tc>
        <w:tc>
          <w:tcPr>
            <w:tcW w:w="1900" w:type="dxa"/>
            <w:vAlign w:val="bottom"/>
            <w:gridSpan w:val="2"/>
            <w:vMerge w:val="restart"/>
            <w:shd w:val="clear" w:color="auto" w:fill="CCEEFF"/>
          </w:tcPr>
          <w:p>
            <w:pPr>
              <w:jc w:val="center"/>
              <w:ind w:left="70"/>
              <w:spacing w:after="0"/>
              <w:rPr>
                <w:sz w:val="20"/>
                <w:szCs w:val="20"/>
                <w:color w:val="auto"/>
              </w:rPr>
            </w:pPr>
            <w:r>
              <w:rPr>
                <w:rFonts w:ascii="Arial" w:cs="Arial" w:eastAsia="Arial" w:hAnsi="Arial"/>
                <w:sz w:val="18"/>
                <w:szCs w:val="18"/>
                <w:color w:val="auto"/>
                <w:w w:val="94"/>
              </w:rPr>
              <w:t>35%</w:t>
            </w:r>
          </w:p>
        </w:tc>
        <w:tc>
          <w:tcPr>
            <w:tcW w:w="140" w:type="dxa"/>
            <w:vAlign w:val="bottom"/>
            <w:shd w:val="clear" w:color="auto" w:fill="CCEEFF"/>
          </w:tcPr>
          <w:p>
            <w:pPr>
              <w:spacing w:after="0"/>
              <w:rPr>
                <w:sz w:val="15"/>
                <w:szCs w:val="15"/>
                <w:color w:val="auto"/>
              </w:rPr>
            </w:pPr>
          </w:p>
        </w:tc>
        <w:tc>
          <w:tcPr>
            <w:tcW w:w="176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8"/>
              </w:rPr>
              <w:t>11%</w:t>
            </w:r>
          </w:p>
        </w:tc>
        <w:tc>
          <w:tcPr>
            <w:tcW w:w="0" w:type="dxa"/>
            <w:vAlign w:val="bottom"/>
          </w:tcPr>
          <w:p>
            <w:pPr>
              <w:spacing w:after="0"/>
              <w:rPr>
                <w:sz w:val="1"/>
                <w:szCs w:val="1"/>
                <w:color w:val="auto"/>
              </w:rPr>
            </w:pPr>
          </w:p>
        </w:tc>
      </w:tr>
      <w:tr>
        <w:trPr>
          <w:trHeight w:val="229"/>
        </w:trPr>
        <w:tc>
          <w:tcPr>
            <w:tcW w:w="34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Through September 30, 2020</w:t>
            </w:r>
          </w:p>
        </w:tc>
        <w:tc>
          <w:tcPr>
            <w:tcW w:w="200" w:type="dxa"/>
            <w:vAlign w:val="bottom"/>
            <w:vMerge w:val="continue"/>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vMerge w:val="continue"/>
            <w:shd w:val="clear" w:color="auto" w:fill="CCEEFF"/>
          </w:tcPr>
          <w:p>
            <w:pPr>
              <w:spacing w:after="0"/>
              <w:rPr>
                <w:sz w:val="19"/>
                <w:szCs w:val="19"/>
                <w:color w:val="auto"/>
              </w:rPr>
            </w:pPr>
          </w:p>
        </w:tc>
        <w:tc>
          <w:tcPr>
            <w:tcW w:w="740" w:type="dxa"/>
            <w:vAlign w:val="bottom"/>
            <w:vMerge w:val="continue"/>
            <w:shd w:val="clear" w:color="auto" w:fill="CCEEFF"/>
          </w:tcPr>
          <w:p>
            <w:pPr>
              <w:spacing w:after="0"/>
              <w:rPr>
                <w:sz w:val="19"/>
                <w:szCs w:val="19"/>
                <w:color w:val="auto"/>
              </w:rPr>
            </w:pPr>
          </w:p>
        </w:tc>
        <w:tc>
          <w:tcPr>
            <w:tcW w:w="340" w:type="dxa"/>
            <w:vAlign w:val="bottom"/>
            <w:vMerge w:val="continue"/>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190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7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460" w:type="dxa"/>
            <w:vAlign w:val="bottom"/>
            <w:gridSpan w:val="2"/>
          </w:tcPr>
          <w:p>
            <w:pPr>
              <w:ind w:left="140"/>
              <w:spacing w:after="0" w:line="176" w:lineRule="exact"/>
              <w:rPr>
                <w:sz w:val="20"/>
                <w:szCs w:val="20"/>
                <w:color w:val="auto"/>
              </w:rPr>
            </w:pPr>
            <w:r>
              <w:rPr>
                <w:rFonts w:ascii="Arial" w:cs="Arial" w:eastAsia="Arial" w:hAnsi="Arial"/>
                <w:sz w:val="18"/>
                <w:szCs w:val="18"/>
                <w:color w:val="auto"/>
              </w:rPr>
              <w:t>Fourth Quarter: October 1, 2020</w:t>
            </w: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19.82</w:t>
            </w:r>
          </w:p>
        </w:tc>
        <w:tc>
          <w:tcPr>
            <w:tcW w:w="120" w:type="dxa"/>
            <w:vAlign w:val="bottom"/>
          </w:tcPr>
          <w:p>
            <w:pPr>
              <w:spacing w:after="0"/>
              <w:rPr>
                <w:sz w:val="15"/>
                <w:szCs w:val="15"/>
                <w:color w:val="auto"/>
              </w:rPr>
            </w:pPr>
          </w:p>
        </w:tc>
        <w:tc>
          <w:tcPr>
            <w:tcW w:w="220" w:type="dxa"/>
            <w:vAlign w:val="bottom"/>
            <w:vMerge w:val="restart"/>
          </w:tcPr>
          <w:p>
            <w:pPr>
              <w:jc w:val="right"/>
              <w:ind w:right="10"/>
              <w:spacing w:after="0"/>
              <w:rPr>
                <w:sz w:val="20"/>
                <w:szCs w:val="20"/>
                <w:color w:val="auto"/>
              </w:rPr>
            </w:pPr>
            <w:r>
              <w:rPr>
                <w:rFonts w:ascii="Arial" w:cs="Arial" w:eastAsia="Arial" w:hAnsi="Arial"/>
                <w:sz w:val="18"/>
                <w:szCs w:val="18"/>
                <w:color w:val="auto"/>
                <w:w w:val="99"/>
              </w:rPr>
              <w:t>$</w:t>
            </w: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16.24</w:t>
            </w:r>
          </w:p>
        </w:tc>
        <w:tc>
          <w:tcPr>
            <w:tcW w:w="3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15.45</w:t>
            </w:r>
          </w:p>
        </w:tc>
        <w:tc>
          <w:tcPr>
            <w:tcW w:w="1900" w:type="dxa"/>
            <w:vAlign w:val="bottom"/>
            <w:gridSpan w:val="2"/>
            <w:vMerge w:val="restart"/>
          </w:tcPr>
          <w:p>
            <w:pPr>
              <w:jc w:val="center"/>
              <w:ind w:left="70"/>
              <w:spacing w:after="0"/>
              <w:rPr>
                <w:sz w:val="20"/>
                <w:szCs w:val="20"/>
                <w:color w:val="auto"/>
              </w:rPr>
            </w:pPr>
            <w:r>
              <w:rPr>
                <w:rFonts w:ascii="Arial" w:cs="Arial" w:eastAsia="Arial" w:hAnsi="Arial"/>
                <w:sz w:val="18"/>
                <w:szCs w:val="18"/>
                <w:color w:val="auto"/>
                <w:w w:val="94"/>
              </w:rPr>
              <w:t>28%</w:t>
            </w:r>
          </w:p>
        </w:tc>
        <w:tc>
          <w:tcPr>
            <w:tcW w:w="140" w:type="dxa"/>
            <w:vAlign w:val="bottom"/>
          </w:tcPr>
          <w:p>
            <w:pPr>
              <w:spacing w:after="0"/>
              <w:rPr>
                <w:sz w:val="15"/>
                <w:szCs w:val="15"/>
                <w:color w:val="auto"/>
              </w:rPr>
            </w:pPr>
          </w:p>
        </w:tc>
        <w:tc>
          <w:tcPr>
            <w:tcW w:w="1760" w:type="dxa"/>
            <w:vAlign w:val="bottom"/>
            <w:vMerge w:val="restart"/>
          </w:tcPr>
          <w:p>
            <w:pPr>
              <w:jc w:val="center"/>
              <w:spacing w:after="0"/>
              <w:rPr>
                <w:sz w:val="20"/>
                <w:szCs w:val="20"/>
                <w:color w:val="auto"/>
              </w:rPr>
            </w:pPr>
            <w:r>
              <w:rPr>
                <w:rFonts w:ascii="Arial" w:cs="Arial" w:eastAsia="Arial" w:hAnsi="Arial"/>
                <w:sz w:val="18"/>
                <w:szCs w:val="18"/>
                <w:color w:val="auto"/>
                <w:w w:val="92"/>
              </w:rPr>
              <w:t>5%</w:t>
            </w:r>
          </w:p>
        </w:tc>
        <w:tc>
          <w:tcPr>
            <w:tcW w:w="0" w:type="dxa"/>
            <w:vAlign w:val="bottom"/>
          </w:tcPr>
          <w:p>
            <w:pPr>
              <w:spacing w:after="0"/>
              <w:rPr>
                <w:sz w:val="1"/>
                <w:szCs w:val="1"/>
                <w:color w:val="auto"/>
              </w:rPr>
            </w:pPr>
          </w:p>
        </w:tc>
      </w:tr>
      <w:tr>
        <w:trPr>
          <w:trHeight w:val="229"/>
        </w:trPr>
        <w:tc>
          <w:tcPr>
            <w:tcW w:w="3460" w:type="dxa"/>
            <w:vAlign w:val="bottom"/>
            <w:gridSpan w:val="2"/>
          </w:tcPr>
          <w:p>
            <w:pPr>
              <w:ind w:left="140"/>
              <w:spacing w:after="0"/>
              <w:rPr>
                <w:sz w:val="20"/>
                <w:szCs w:val="20"/>
                <w:color w:val="auto"/>
              </w:rPr>
            </w:pPr>
            <w:r>
              <w:rPr>
                <w:rFonts w:ascii="Arial" w:cs="Arial" w:eastAsia="Arial" w:hAnsi="Arial"/>
                <w:sz w:val="18"/>
                <w:szCs w:val="18"/>
                <w:color w:val="auto"/>
              </w:rPr>
              <w:t>Through December 31, 2020</w:t>
            </w:r>
          </w:p>
        </w:tc>
        <w:tc>
          <w:tcPr>
            <w:tcW w:w="200" w:type="dxa"/>
            <w:vAlign w:val="bottom"/>
            <w:vMerge w:val="continue"/>
          </w:tcPr>
          <w:p>
            <w:pPr>
              <w:spacing w:after="0"/>
              <w:rPr>
                <w:sz w:val="19"/>
                <w:szCs w:val="19"/>
                <w:color w:val="auto"/>
              </w:rPr>
            </w:pPr>
          </w:p>
        </w:tc>
        <w:tc>
          <w:tcPr>
            <w:tcW w:w="7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vMerge w:val="continue"/>
          </w:tcPr>
          <w:p>
            <w:pPr>
              <w:spacing w:after="0"/>
              <w:rPr>
                <w:sz w:val="19"/>
                <w:szCs w:val="19"/>
                <w:color w:val="auto"/>
              </w:rPr>
            </w:pPr>
          </w:p>
        </w:tc>
        <w:tc>
          <w:tcPr>
            <w:tcW w:w="740" w:type="dxa"/>
            <w:vAlign w:val="bottom"/>
            <w:vMerge w:val="continue"/>
          </w:tcPr>
          <w:p>
            <w:pPr>
              <w:spacing w:after="0"/>
              <w:rPr>
                <w:sz w:val="19"/>
                <w:szCs w:val="19"/>
                <w:color w:val="auto"/>
              </w:rPr>
            </w:pPr>
          </w:p>
        </w:tc>
        <w:tc>
          <w:tcPr>
            <w:tcW w:w="340" w:type="dxa"/>
            <w:vAlign w:val="bottom"/>
            <w:vMerge w:val="continue"/>
          </w:tcPr>
          <w:p>
            <w:pPr>
              <w:spacing w:after="0"/>
              <w:rPr>
                <w:sz w:val="19"/>
                <w:szCs w:val="19"/>
                <w:color w:val="auto"/>
              </w:rPr>
            </w:pPr>
          </w:p>
        </w:tc>
        <w:tc>
          <w:tcPr>
            <w:tcW w:w="820" w:type="dxa"/>
            <w:vAlign w:val="bottom"/>
            <w:vMerge w:val="continue"/>
          </w:tcPr>
          <w:p>
            <w:pPr>
              <w:spacing w:after="0"/>
              <w:rPr>
                <w:sz w:val="19"/>
                <w:szCs w:val="19"/>
                <w:color w:val="auto"/>
              </w:rPr>
            </w:pPr>
          </w:p>
        </w:tc>
        <w:tc>
          <w:tcPr>
            <w:tcW w:w="190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7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460" w:type="dxa"/>
            <w:vAlign w:val="bottom"/>
            <w:gridSpan w:val="2"/>
            <w:shd w:val="clear" w:color="auto" w:fill="CCEEFF"/>
          </w:tcPr>
          <w:p>
            <w:pPr>
              <w:ind w:left="140"/>
              <w:spacing w:after="0" w:line="176" w:lineRule="exact"/>
              <w:rPr>
                <w:sz w:val="20"/>
                <w:szCs w:val="20"/>
                <w:color w:val="auto"/>
              </w:rPr>
            </w:pPr>
            <w:r>
              <w:rPr>
                <w:rFonts w:ascii="Arial" w:cs="Arial" w:eastAsia="Arial" w:hAnsi="Arial"/>
                <w:sz w:val="18"/>
                <w:szCs w:val="18"/>
                <w:color w:val="auto"/>
              </w:rPr>
              <w:t>First Quarter: January 1, 2021</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28.63</w:t>
            </w:r>
          </w:p>
        </w:tc>
        <w:tc>
          <w:tcPr>
            <w:tcW w:w="120" w:type="dxa"/>
            <w:vAlign w:val="bottom"/>
            <w:shd w:val="clear" w:color="auto" w:fill="CCEEFF"/>
          </w:tcPr>
          <w:p>
            <w:pPr>
              <w:spacing w:after="0"/>
              <w:rPr>
                <w:sz w:val="15"/>
                <w:szCs w:val="15"/>
                <w:color w:val="auto"/>
              </w:rPr>
            </w:pPr>
          </w:p>
        </w:tc>
        <w:tc>
          <w:tcPr>
            <w:tcW w:w="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18.77</w:t>
            </w:r>
          </w:p>
        </w:tc>
        <w:tc>
          <w:tcPr>
            <w:tcW w:w="3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16.28</w:t>
            </w:r>
          </w:p>
        </w:tc>
        <w:tc>
          <w:tcPr>
            <w:tcW w:w="1900" w:type="dxa"/>
            <w:vAlign w:val="bottom"/>
            <w:gridSpan w:val="2"/>
            <w:vMerge w:val="restart"/>
            <w:shd w:val="clear" w:color="auto" w:fill="CCEEFF"/>
          </w:tcPr>
          <w:p>
            <w:pPr>
              <w:jc w:val="center"/>
              <w:ind w:left="70"/>
              <w:spacing w:after="0"/>
              <w:rPr>
                <w:sz w:val="20"/>
                <w:szCs w:val="20"/>
                <w:color w:val="auto"/>
              </w:rPr>
            </w:pPr>
            <w:r>
              <w:rPr>
                <w:rFonts w:ascii="Arial" w:cs="Arial" w:eastAsia="Arial" w:hAnsi="Arial"/>
                <w:sz w:val="18"/>
                <w:szCs w:val="18"/>
                <w:color w:val="auto"/>
                <w:w w:val="94"/>
              </w:rPr>
              <w:t>76%</w:t>
            </w:r>
          </w:p>
        </w:tc>
        <w:tc>
          <w:tcPr>
            <w:tcW w:w="140" w:type="dxa"/>
            <w:vAlign w:val="bottom"/>
            <w:shd w:val="clear" w:color="auto" w:fill="CCEEFF"/>
          </w:tcPr>
          <w:p>
            <w:pPr>
              <w:spacing w:after="0"/>
              <w:rPr>
                <w:sz w:val="15"/>
                <w:szCs w:val="15"/>
                <w:color w:val="auto"/>
              </w:rPr>
            </w:pPr>
          </w:p>
        </w:tc>
        <w:tc>
          <w:tcPr>
            <w:tcW w:w="176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8"/>
              </w:rPr>
              <w:t>15%</w:t>
            </w:r>
          </w:p>
        </w:tc>
        <w:tc>
          <w:tcPr>
            <w:tcW w:w="0" w:type="dxa"/>
            <w:vAlign w:val="bottom"/>
          </w:tcPr>
          <w:p>
            <w:pPr>
              <w:spacing w:after="0"/>
              <w:rPr>
                <w:sz w:val="1"/>
                <w:szCs w:val="1"/>
                <w:color w:val="auto"/>
              </w:rPr>
            </w:pPr>
          </w:p>
        </w:tc>
      </w:tr>
      <w:tr>
        <w:trPr>
          <w:trHeight w:val="229"/>
        </w:trPr>
        <w:tc>
          <w:tcPr>
            <w:tcW w:w="34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Through March 31, 2021</w:t>
            </w:r>
          </w:p>
        </w:tc>
        <w:tc>
          <w:tcPr>
            <w:tcW w:w="200" w:type="dxa"/>
            <w:vAlign w:val="bottom"/>
            <w:vMerge w:val="continue"/>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vMerge w:val="continue"/>
            <w:shd w:val="clear" w:color="auto" w:fill="CCEEFF"/>
          </w:tcPr>
          <w:p>
            <w:pPr>
              <w:spacing w:after="0"/>
              <w:rPr>
                <w:sz w:val="19"/>
                <w:szCs w:val="19"/>
                <w:color w:val="auto"/>
              </w:rPr>
            </w:pPr>
          </w:p>
        </w:tc>
        <w:tc>
          <w:tcPr>
            <w:tcW w:w="740" w:type="dxa"/>
            <w:vAlign w:val="bottom"/>
            <w:vMerge w:val="continue"/>
            <w:shd w:val="clear" w:color="auto" w:fill="CCEEFF"/>
          </w:tcPr>
          <w:p>
            <w:pPr>
              <w:spacing w:after="0"/>
              <w:rPr>
                <w:sz w:val="19"/>
                <w:szCs w:val="19"/>
                <w:color w:val="auto"/>
              </w:rPr>
            </w:pPr>
          </w:p>
        </w:tc>
        <w:tc>
          <w:tcPr>
            <w:tcW w:w="340" w:type="dxa"/>
            <w:vAlign w:val="bottom"/>
            <w:vMerge w:val="continue"/>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190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7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460" w:type="dxa"/>
            <w:vAlign w:val="bottom"/>
            <w:gridSpan w:val="2"/>
          </w:tcPr>
          <w:p>
            <w:pPr>
              <w:ind w:left="140"/>
              <w:spacing w:after="0" w:line="176" w:lineRule="exact"/>
              <w:rPr>
                <w:sz w:val="20"/>
                <w:szCs w:val="20"/>
                <w:color w:val="auto"/>
              </w:rPr>
            </w:pPr>
            <w:r>
              <w:rPr>
                <w:rFonts w:ascii="Arial" w:cs="Arial" w:eastAsia="Arial" w:hAnsi="Arial"/>
                <w:sz w:val="18"/>
                <w:szCs w:val="18"/>
                <w:color w:val="auto"/>
              </w:rPr>
              <w:t>Second Quarter: April 1, 2021</w:t>
            </w: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33.55</w:t>
            </w:r>
          </w:p>
        </w:tc>
        <w:tc>
          <w:tcPr>
            <w:tcW w:w="120" w:type="dxa"/>
            <w:vAlign w:val="bottom"/>
          </w:tcPr>
          <w:p>
            <w:pPr>
              <w:spacing w:after="0"/>
              <w:rPr>
                <w:sz w:val="15"/>
                <w:szCs w:val="15"/>
                <w:color w:val="auto"/>
              </w:rPr>
            </w:pPr>
          </w:p>
        </w:tc>
        <w:tc>
          <w:tcPr>
            <w:tcW w:w="220" w:type="dxa"/>
            <w:vAlign w:val="bottom"/>
            <w:vMerge w:val="restart"/>
          </w:tcPr>
          <w:p>
            <w:pPr>
              <w:jc w:val="right"/>
              <w:ind w:right="10"/>
              <w:spacing w:after="0"/>
              <w:rPr>
                <w:sz w:val="20"/>
                <w:szCs w:val="20"/>
                <w:color w:val="auto"/>
              </w:rPr>
            </w:pPr>
            <w:r>
              <w:rPr>
                <w:rFonts w:ascii="Arial" w:cs="Arial" w:eastAsia="Arial" w:hAnsi="Arial"/>
                <w:sz w:val="18"/>
                <w:szCs w:val="18"/>
                <w:color w:val="auto"/>
                <w:w w:val="99"/>
              </w:rPr>
              <w:t>$</w:t>
            </w: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26.41</w:t>
            </w:r>
          </w:p>
        </w:tc>
        <w:tc>
          <w:tcPr>
            <w:tcW w:w="34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900" w:type="dxa"/>
            <w:vAlign w:val="bottom"/>
            <w:gridSpan w:val="2"/>
            <w:vMerge w:val="restart"/>
          </w:tcPr>
          <w:p>
            <w:pPr>
              <w:jc w:val="center"/>
              <w:ind w:left="5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1760" w:type="dxa"/>
            <w:vAlign w:val="bottom"/>
            <w:vMerge w:val="restart"/>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460" w:type="dxa"/>
            <w:vAlign w:val="bottom"/>
            <w:gridSpan w:val="2"/>
          </w:tcPr>
          <w:p>
            <w:pPr>
              <w:ind w:left="140"/>
              <w:spacing w:after="0"/>
              <w:rPr>
                <w:sz w:val="20"/>
                <w:szCs w:val="20"/>
                <w:color w:val="auto"/>
              </w:rPr>
            </w:pPr>
            <w:r>
              <w:rPr>
                <w:rFonts w:ascii="Arial" w:cs="Arial" w:eastAsia="Arial" w:hAnsi="Arial"/>
                <w:sz w:val="18"/>
                <w:szCs w:val="18"/>
                <w:color w:val="auto"/>
              </w:rPr>
              <w:t>Through May 21, 2021</w:t>
            </w:r>
          </w:p>
        </w:tc>
        <w:tc>
          <w:tcPr>
            <w:tcW w:w="200" w:type="dxa"/>
            <w:vAlign w:val="bottom"/>
            <w:vMerge w:val="continue"/>
          </w:tcPr>
          <w:p>
            <w:pPr>
              <w:spacing w:after="0"/>
              <w:rPr>
                <w:sz w:val="20"/>
                <w:szCs w:val="20"/>
                <w:color w:val="auto"/>
              </w:rPr>
            </w:pPr>
          </w:p>
        </w:tc>
        <w:tc>
          <w:tcPr>
            <w:tcW w:w="76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vMerge w:val="continue"/>
          </w:tcPr>
          <w:p>
            <w:pPr>
              <w:spacing w:after="0"/>
              <w:rPr>
                <w:sz w:val="20"/>
                <w:szCs w:val="20"/>
                <w:color w:val="auto"/>
              </w:rPr>
            </w:pPr>
          </w:p>
        </w:tc>
        <w:tc>
          <w:tcPr>
            <w:tcW w:w="740" w:type="dxa"/>
            <w:vAlign w:val="bottom"/>
            <w:vMerge w:val="continue"/>
          </w:tcPr>
          <w:p>
            <w:pPr>
              <w:spacing w:after="0"/>
              <w:rPr>
                <w:sz w:val="20"/>
                <w:szCs w:val="20"/>
                <w:color w:val="auto"/>
              </w:rPr>
            </w:pPr>
          </w:p>
        </w:tc>
        <w:tc>
          <w:tcPr>
            <w:tcW w:w="340" w:type="dxa"/>
            <w:vAlign w:val="bottom"/>
          </w:tcPr>
          <w:p>
            <w:pPr>
              <w:spacing w:after="0"/>
              <w:rPr>
                <w:sz w:val="20"/>
                <w:szCs w:val="20"/>
                <w:color w:val="auto"/>
              </w:rPr>
            </w:pPr>
          </w:p>
        </w:tc>
        <w:tc>
          <w:tcPr>
            <w:tcW w:w="820" w:type="dxa"/>
            <w:vAlign w:val="bottom"/>
            <w:vMerge w:val="continue"/>
          </w:tcPr>
          <w:p>
            <w:pPr>
              <w:spacing w:after="0"/>
              <w:rPr>
                <w:sz w:val="20"/>
                <w:szCs w:val="20"/>
                <w:color w:val="auto"/>
              </w:rPr>
            </w:pPr>
          </w:p>
        </w:tc>
        <w:tc>
          <w:tcPr>
            <w:tcW w:w="190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17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120" w:lineRule="exact"/>
        <w:rPr>
          <w:sz w:val="20"/>
          <w:szCs w:val="20"/>
          <w:color w:val="auto"/>
        </w:rPr>
      </w:pPr>
    </w:p>
    <w:p>
      <w:pPr>
        <w:ind w:left="60"/>
        <w:spacing w:after="0"/>
        <w:rPr>
          <w:sz w:val="20"/>
          <w:szCs w:val="20"/>
          <w:color w:val="auto"/>
        </w:rPr>
      </w:pPr>
      <w:r>
        <w:rPr>
          <w:rFonts w:ascii="Arial" w:cs="Arial" w:eastAsia="Arial" w:hAnsi="Arial"/>
          <w:sz w:val="18"/>
          <w:szCs w:val="18"/>
          <w:color w:val="auto"/>
        </w:rPr>
        <w:t>____________________________</w:t>
      </w:r>
    </w:p>
    <w:p>
      <w:pPr>
        <w:spacing w:after="0" w:line="36" w:lineRule="exact"/>
        <w:rPr>
          <w:sz w:val="20"/>
          <w:szCs w:val="20"/>
          <w:color w:val="auto"/>
        </w:rPr>
      </w:pPr>
    </w:p>
    <w:p>
      <w:pPr>
        <w:ind w:left="340" w:right="20" w:hanging="332"/>
        <w:spacing w:after="0" w:line="308" w:lineRule="auto"/>
        <w:tabs>
          <w:tab w:leader="none" w:pos="451" w:val="left"/>
        </w:tabs>
        <w:numPr>
          <w:ilvl w:val="0"/>
          <w:numId w:val="13"/>
        </w:numPr>
        <w:rPr>
          <w:rFonts w:ascii="Arial" w:cs="Arial" w:eastAsia="Arial" w:hAnsi="Arial"/>
          <w:sz w:val="17"/>
          <w:szCs w:val="17"/>
          <w:color w:val="auto"/>
        </w:rPr>
      </w:pPr>
      <w:r>
        <w:rPr>
          <w:rFonts w:ascii="Arial" w:cs="Arial" w:eastAsia="Arial" w:hAnsi="Arial"/>
          <w:sz w:val="17"/>
          <w:szCs w:val="17"/>
          <w:color w:val="auto"/>
        </w:rPr>
        <w:t>NAV per share is determined as of the last day in the relevant quarter and therefore may not reflect the NAV per share on the date of the high and low sales prices. The values reflect shareholders’ equity per share/NAV and are based on outstanding shares at the end of each period.</w:t>
      </w:r>
    </w:p>
    <w:p>
      <w:pPr>
        <w:spacing w:after="0" w:line="173" w:lineRule="exact"/>
        <w:rPr>
          <w:rFonts w:ascii="Arial" w:cs="Arial" w:eastAsia="Arial" w:hAnsi="Arial"/>
          <w:sz w:val="17"/>
          <w:szCs w:val="17"/>
          <w:color w:val="auto"/>
        </w:rPr>
      </w:pPr>
    </w:p>
    <w:p>
      <w:pPr>
        <w:ind w:left="340" w:right="480" w:hanging="332"/>
        <w:spacing w:after="0" w:line="277" w:lineRule="auto"/>
        <w:tabs>
          <w:tab w:leader="none" w:pos="451" w:val="left"/>
        </w:tabs>
        <w:numPr>
          <w:ilvl w:val="0"/>
          <w:numId w:val="13"/>
        </w:numPr>
        <w:rPr>
          <w:rFonts w:ascii="Arial" w:cs="Arial" w:eastAsia="Arial" w:hAnsi="Arial"/>
          <w:sz w:val="18"/>
          <w:szCs w:val="18"/>
          <w:color w:val="auto"/>
        </w:rPr>
      </w:pPr>
      <w:r>
        <w:rPr>
          <w:rFonts w:ascii="Arial" w:cs="Arial" w:eastAsia="Arial" w:hAnsi="Arial"/>
          <w:sz w:val="18"/>
          <w:szCs w:val="18"/>
          <w:color w:val="auto"/>
        </w:rPr>
        <w:t>Calculated as the respective high or low sales price less NAV or shareholders’ equity per share, as applicable, divided by NAV or shareholders’ equity per share, as applicable and subtracting 1.</w:t>
      </w:r>
    </w:p>
    <w:p>
      <w:pPr>
        <w:spacing w:after="0" w:line="197" w:lineRule="exact"/>
        <w:rPr>
          <w:sz w:val="20"/>
          <w:szCs w:val="20"/>
          <w:color w:val="auto"/>
        </w:rPr>
      </w:pPr>
    </w:p>
    <w:p>
      <w:pPr>
        <w:ind w:left="320" w:hanging="312"/>
        <w:spacing w:after="0"/>
        <w:tabs>
          <w:tab w:leader="none" w:pos="3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Not determinable at time of filing.</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Shareholder Considerations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Dilution</w:t>
      </w:r>
    </w:p>
    <w:p>
      <w:pPr>
        <w:spacing w:after="0" w:line="225"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 xml:space="preserve">Before voting on this Proposal 1 or giving proxies with regard to this matter, shareholders should consider the potentially dilutive effect of the issuance of the Company’s Common Shares at a price that is less than the NAV per share and the expenses associated with such issuance on the NAV per outstanding Common Shares. Any sale of Common Shares at a price below NAV would result in an immediate decrease (often called dilution) in the NAV of the Common Shares held by existing common shareholders. This dilution would include reduction in the NAV per share as a result of the issuance of shares at a price below the NAV per share and a disproportionately greater decrease in a shareholder’s interest in the earnings and assets of the Company and voting interest in the Company than the increase in the assets of the Company resulting from such issuance. </w:t>
      </w:r>
      <w:r>
        <w:rPr>
          <w:rFonts w:ascii="Arial" w:cs="Arial" w:eastAsia="Arial" w:hAnsi="Arial"/>
          <w:sz w:val="17"/>
          <w:szCs w:val="17"/>
          <w:b w:val="1"/>
          <w:bCs w:val="1"/>
          <w:u w:val="single" w:color="auto"/>
          <w:color w:val="auto"/>
        </w:rPr>
        <w:t>Subject to the condition that the</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auto"/>
        </w:rPr>
        <w:t>cumulative number of Common Shares issued and sold pursuant to such authority does not exceed 20% of the Company’s then outstanding Common Shares immediately prior to each such sale, there will be no limit on the percentage below NAV at which Common Shares may be sold in an offering by the Company under this Proposal 1.</w:t>
      </w:r>
      <w:r>
        <w:rPr>
          <w:rFonts w:ascii="Arial" w:cs="Arial" w:eastAsia="Arial" w:hAnsi="Arial"/>
          <w:sz w:val="17"/>
          <w:szCs w:val="17"/>
          <w:b w:val="1"/>
          <w:bCs w:val="1"/>
          <w:color w:val="auto"/>
        </w:rPr>
        <w:t xml:space="preserve"> </w:t>
      </w:r>
      <w:r>
        <w:rPr>
          <w:rFonts w:ascii="Arial" w:cs="Arial" w:eastAsia="Arial" w:hAnsi="Arial"/>
          <w:sz w:val="17"/>
          <w:szCs w:val="17"/>
          <w:color w:val="auto"/>
        </w:rPr>
        <w:t>The Board of Directors of the Company will consider the potential dilutive effect of the issuance of</w:t>
      </w:r>
      <w:r>
        <w:rPr>
          <w:rFonts w:ascii="Arial" w:cs="Arial" w:eastAsia="Arial" w:hAnsi="Arial"/>
          <w:sz w:val="17"/>
          <w:szCs w:val="17"/>
          <w:b w:val="1"/>
          <w:bCs w:val="1"/>
          <w:color w:val="auto"/>
        </w:rPr>
        <w:t xml:space="preserve"> </w:t>
      </w:r>
      <w:r>
        <w:rPr>
          <w:rFonts w:ascii="Arial" w:cs="Arial" w:eastAsia="Arial" w:hAnsi="Arial"/>
          <w:sz w:val="17"/>
          <w:szCs w:val="17"/>
          <w:color w:val="auto"/>
        </w:rPr>
        <w:t>Common Shares at a price below the NAV per share and will consider again such dilutive effect when considering whether to authorize any specific issuance of Common Shares below NAV.</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20"/>
          </w:cols>
          <w:pgMar w:left="320" w:top="1440" w:right="359" w:bottom="1440" w:gutter="0" w:footer="0" w:header="0"/>
        </w:sectPr>
      </w:pPr>
    </w:p>
    <w:bookmarkStart w:id="15" w:name="page16"/>
    <w:bookmarkEnd w:id="15"/>
    <w:p>
      <w:pPr>
        <w:ind w:firstLine="324"/>
        <w:spacing w:after="0" w:line="270" w:lineRule="auto"/>
        <w:rPr>
          <w:sz w:val="20"/>
          <w:szCs w:val="20"/>
          <w:color w:val="auto"/>
        </w:rPr>
      </w:pPr>
      <w:r>
        <w:rPr>
          <w:rFonts w:ascii="Arial" w:cs="Arial" w:eastAsia="Arial" w:hAnsi="Arial"/>
          <w:sz w:val="17"/>
          <w:szCs w:val="17"/>
          <w:color w:val="auto"/>
        </w:rPr>
        <w:t>In addition, shareholders should consider the risk that the approval of this Proposal 1 could cause the market price of the Company’s Common Shares to decline in anticipation of sales of its Common Shares below NAV, thus causing the Company’s Common Shares to trade at a discount to NAV. The 1940 Act establishes a connection between common share sale price and NAV because, when common shares are sold at a sale price below NAV per share, the resulting increase in the number of outstanding shares reduces NAV per share. Shareholders should also consider that they will have no subscription, preferential or preemptive rights to additional Common Shares proposed to be authorized for issuance, and thus any future issuance of Common Shares will dilute such shareholders’ holdings of Common Shares as a percentage of the Company’s Common Shares outstanding to the extent shareholders do not purchase sufficient Common Shares in the offering or otherwise to maintain their percentage interest. Further, if current shareholders of the Company do not purchase any Common Shares to maintain their percentage interest, regardless of whether such offering is above or below the then-current NAV, their voting power will be diluted.</w:t>
      </w:r>
    </w:p>
    <w:p>
      <w:pPr>
        <w:spacing w:after="0" w:line="181" w:lineRule="exact"/>
        <w:rPr>
          <w:sz w:val="20"/>
          <w:szCs w:val="20"/>
          <w:color w:val="auto"/>
        </w:rPr>
      </w:pPr>
    </w:p>
    <w:p>
      <w:pPr>
        <w:ind w:right="100" w:firstLine="324"/>
        <w:spacing w:after="0" w:line="279" w:lineRule="auto"/>
        <w:rPr>
          <w:sz w:val="20"/>
          <w:szCs w:val="20"/>
          <w:color w:val="auto"/>
        </w:rPr>
      </w:pPr>
      <w:r>
        <w:rPr>
          <w:rFonts w:ascii="Arial" w:cs="Arial" w:eastAsia="Arial" w:hAnsi="Arial"/>
          <w:sz w:val="17"/>
          <w:szCs w:val="17"/>
          <w:color w:val="auto"/>
        </w:rPr>
        <w:t>The precise extent of any such dilution cannot be estimated before the terms of a Common Share offering are set. As a general proposition, however, the amount of potential dilution will increase as the size of the offering increases. Another factor that will influence the amount of dilution in an offering is the amount of net proceeds that the Company receives from such offering. The Board of Directors would expect that the net proceeds to the Company will be equal to the price that investors pay per share less the amount of any underwriting discounts and commissions.</w:t>
      </w:r>
    </w:p>
    <w:p>
      <w:pPr>
        <w:spacing w:after="0" w:line="171" w:lineRule="exact"/>
        <w:rPr>
          <w:sz w:val="20"/>
          <w:szCs w:val="20"/>
          <w:color w:val="auto"/>
        </w:rPr>
      </w:pPr>
    </w:p>
    <w:p>
      <w:pPr>
        <w:ind w:right="520" w:firstLine="324"/>
        <w:spacing w:after="0" w:line="308" w:lineRule="auto"/>
        <w:rPr>
          <w:sz w:val="20"/>
          <w:szCs w:val="20"/>
          <w:color w:val="auto"/>
        </w:rPr>
      </w:pPr>
      <w:r>
        <w:rPr>
          <w:rFonts w:ascii="Arial" w:cs="Arial" w:eastAsia="Arial" w:hAnsi="Arial"/>
          <w:sz w:val="17"/>
          <w:szCs w:val="17"/>
          <w:color w:val="auto"/>
        </w:rPr>
        <w:t>As discussed above, it should be noted that the cumulative number of Common Shares issued and sold from an offering of Company’s Common Shares will not exceed 20% of the Company’s then outstanding Common Shares immediately prior to each such sale.</w:t>
      </w:r>
    </w:p>
    <w:p>
      <w:pPr>
        <w:spacing w:after="0" w:line="146" w:lineRule="exact"/>
        <w:rPr>
          <w:sz w:val="20"/>
          <w:szCs w:val="20"/>
          <w:color w:val="auto"/>
        </w:rPr>
      </w:pPr>
    </w:p>
    <w:p>
      <w:pPr>
        <w:jc w:val="both"/>
        <w:ind w:right="240" w:firstLine="324"/>
        <w:spacing w:after="0" w:line="259" w:lineRule="auto"/>
        <w:rPr>
          <w:sz w:val="20"/>
          <w:szCs w:val="20"/>
          <w:color w:val="auto"/>
        </w:rPr>
      </w:pPr>
      <w:r>
        <w:rPr>
          <w:rFonts w:ascii="Arial" w:cs="Arial" w:eastAsia="Arial" w:hAnsi="Arial"/>
          <w:sz w:val="18"/>
          <w:szCs w:val="18"/>
          <w:color w:val="auto"/>
        </w:rPr>
        <w:t>The tables below provide hypothetical examples of the impact that an offering at a price less than NAV per share may have on the NAV per share of shareholders and investors who do and do not participate in such an offering. However, the tables below do not show, nor are they intended to show, any potential changes in market price that may occur from an offering at a price less than NAV per share and it is not possible to predict any potential market price change that may occur from such an offering.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on Existing Shareholders Who Do Not Participate in an Offering of Common Shares</w:t>
      </w:r>
    </w:p>
    <w:p>
      <w:pPr>
        <w:spacing w:after="0" w:line="229"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color w:val="auto"/>
        </w:rPr>
        <w:t>The Company’s existing shareholders who do not participate in an offering below net asset value per share or who do not buy additional Common Shares in the secondary market at the same or lower price the Company obtains in the offering (after expenses and commissions) face the greatest potential risk of an immediate decrease (often called dilution) in the net asset value of the Common Shares they hold and their net asset value per share. These shareholders will experience a disproportionately greater decrease in their participation in the Company’s earnings and assets and their voting power than the increase the Company will experience in its assets, potential earning power and voting interests due to the offering. These shareholders also may experience a decline in the market price of their Common Shares, which often reflects to some degree announced or potential increases and decreases in net asset value per share. This decrease could be more pronounced as the size of the offering and level of discounts increases.</w:t>
      </w:r>
    </w:p>
    <w:p>
      <w:pPr>
        <w:spacing w:after="0" w:line="166" w:lineRule="exact"/>
        <w:rPr>
          <w:sz w:val="20"/>
          <w:szCs w:val="20"/>
          <w:color w:val="auto"/>
        </w:rPr>
      </w:pPr>
    </w:p>
    <w:p>
      <w:pPr>
        <w:ind w:right="220" w:firstLine="324"/>
        <w:spacing w:after="0" w:line="263" w:lineRule="auto"/>
        <w:rPr>
          <w:sz w:val="20"/>
          <w:szCs w:val="20"/>
          <w:color w:val="auto"/>
        </w:rPr>
      </w:pPr>
      <w:r>
        <w:rPr>
          <w:rFonts w:ascii="Arial" w:cs="Arial" w:eastAsia="Arial" w:hAnsi="Arial"/>
          <w:sz w:val="18"/>
          <w:szCs w:val="18"/>
          <w:color w:val="auto"/>
        </w:rPr>
        <w:t>The following chart illustrates the level of net asset value dilution that would be experienced by a nonparticipating shareholder in three different hypothetical offerings of different sizes and levels of discount from net asset value per share. It is not possible to predict the level of market price decline that may occur.</w:t>
      </w:r>
    </w:p>
    <w:p>
      <w:pPr>
        <w:spacing w:after="0" w:line="184" w:lineRule="exact"/>
        <w:rPr>
          <w:sz w:val="20"/>
          <w:szCs w:val="20"/>
          <w:color w:val="auto"/>
        </w:rPr>
      </w:pPr>
    </w:p>
    <w:p>
      <w:pPr>
        <w:ind w:right="120" w:firstLine="324"/>
        <w:spacing w:after="0" w:line="255" w:lineRule="auto"/>
        <w:rPr>
          <w:sz w:val="20"/>
          <w:szCs w:val="20"/>
          <w:color w:val="auto"/>
        </w:rPr>
      </w:pPr>
      <w:r>
        <w:rPr>
          <w:rFonts w:ascii="Arial" w:cs="Arial" w:eastAsia="Arial" w:hAnsi="Arial"/>
          <w:sz w:val="18"/>
          <w:szCs w:val="18"/>
          <w:color w:val="auto"/>
        </w:rPr>
        <w:t>The examples assume that the issuer has 22,530,000 Common Shares outstanding, $903,569,000 in total assets and $536,718,000 in total liabilities. The current net asset value and net asset value per share are thus $366,851,000 and $16.28. The chart illustrates the dilutive effect on Shareholder A of (1) an offering of 1,126,500 Common Shares (5% of the outstanding Common Shares) at $15.47 per share after offering expenses and commission (a 5% discount from net asset value), (2) an offering of 2,253,000 Common Shares (10% of the outstanding Common Shares) at $14.65 per share after offering expenses and commissions (a 10% discount from net asset value), (3) an offering of 4,506,000 Common Shares (20% of the outstanding Common Shares) at $13.02 per share after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40"/>
          </w:cols>
          <w:pgMar w:left="320" w:top="1421" w:right="339" w:bottom="1440" w:gutter="0" w:footer="0" w:header="0"/>
        </w:sectPr>
      </w:pPr>
    </w:p>
    <w:bookmarkStart w:id="16" w:name="page17"/>
    <w:bookmarkEnd w:id="16"/>
    <w:p>
      <w:pPr>
        <w:ind w:right="400"/>
        <w:spacing w:after="0" w:line="277" w:lineRule="auto"/>
        <w:rPr>
          <w:sz w:val="20"/>
          <w:szCs w:val="20"/>
          <w:color w:val="auto"/>
        </w:rPr>
      </w:pPr>
      <w:r>
        <w:rPr>
          <w:rFonts w:ascii="Arial" w:cs="Arial" w:eastAsia="Arial" w:hAnsi="Arial"/>
          <w:sz w:val="18"/>
          <w:szCs w:val="18"/>
          <w:color w:val="auto"/>
        </w:rPr>
        <w:t>expenses and commissions (a 20% discount from net asset value) and (4) an offering of 4,506,000 Common Shares (20% of the outstanding Common Shares) at $0.02 per share after offering expenses and commissions (a 100% discount from net asset value).</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0" w:type="dxa"/>
            <w:vAlign w:val="bottom"/>
            <w:gridSpan w:val="5"/>
          </w:tcPr>
          <w:p>
            <w:pPr>
              <w:jc w:val="center"/>
              <w:ind w:right="220"/>
              <w:spacing w:after="0"/>
              <w:rPr>
                <w:sz w:val="20"/>
                <w:szCs w:val="20"/>
                <w:color w:val="auto"/>
              </w:rPr>
            </w:pPr>
            <w:r>
              <w:rPr>
                <w:rFonts w:ascii="Arial" w:cs="Arial" w:eastAsia="Arial" w:hAnsi="Arial"/>
                <w:sz w:val="16"/>
                <w:szCs w:val="16"/>
                <w:b w:val="1"/>
                <w:bCs w:val="1"/>
                <w:color w:val="auto"/>
                <w:w w:val="93"/>
              </w:rPr>
              <w:t>Example 1</w:t>
            </w:r>
          </w:p>
        </w:tc>
        <w:tc>
          <w:tcPr>
            <w:tcW w:w="160" w:type="dxa"/>
            <w:vAlign w:val="bottom"/>
          </w:tcPr>
          <w:p>
            <w:pPr>
              <w:spacing w:after="0"/>
              <w:rPr>
                <w:sz w:val="16"/>
                <w:szCs w:val="16"/>
                <w:color w:val="auto"/>
              </w:rPr>
            </w:pPr>
          </w:p>
        </w:tc>
        <w:tc>
          <w:tcPr>
            <w:tcW w:w="2000" w:type="dxa"/>
            <w:vAlign w:val="bottom"/>
            <w:gridSpan w:val="3"/>
          </w:tcPr>
          <w:p>
            <w:pPr>
              <w:jc w:val="center"/>
              <w:ind w:right="240"/>
              <w:spacing w:after="0"/>
              <w:rPr>
                <w:sz w:val="20"/>
                <w:szCs w:val="20"/>
                <w:color w:val="auto"/>
              </w:rPr>
            </w:pPr>
            <w:r>
              <w:rPr>
                <w:rFonts w:ascii="Arial" w:cs="Arial" w:eastAsia="Arial" w:hAnsi="Arial"/>
                <w:sz w:val="16"/>
                <w:szCs w:val="16"/>
                <w:b w:val="1"/>
                <w:bCs w:val="1"/>
                <w:color w:val="auto"/>
                <w:w w:val="90"/>
              </w:rPr>
              <w:t>Example 2</w:t>
            </w:r>
          </w:p>
        </w:tc>
        <w:tc>
          <w:tcPr>
            <w:tcW w:w="160" w:type="dxa"/>
            <w:vAlign w:val="bottom"/>
          </w:tcPr>
          <w:p>
            <w:pPr>
              <w:spacing w:after="0"/>
              <w:rPr>
                <w:sz w:val="16"/>
                <w:szCs w:val="16"/>
                <w:color w:val="auto"/>
              </w:rPr>
            </w:pPr>
          </w:p>
        </w:tc>
        <w:tc>
          <w:tcPr>
            <w:tcW w:w="2060" w:type="dxa"/>
            <w:vAlign w:val="bottom"/>
            <w:gridSpan w:val="3"/>
          </w:tcPr>
          <w:p>
            <w:pPr>
              <w:jc w:val="center"/>
              <w:ind w:right="280"/>
              <w:spacing w:after="0"/>
              <w:rPr>
                <w:sz w:val="20"/>
                <w:szCs w:val="20"/>
                <w:color w:val="auto"/>
              </w:rPr>
            </w:pPr>
            <w:r>
              <w:rPr>
                <w:rFonts w:ascii="Arial" w:cs="Arial" w:eastAsia="Arial" w:hAnsi="Arial"/>
                <w:sz w:val="16"/>
                <w:szCs w:val="16"/>
                <w:b w:val="1"/>
                <w:bCs w:val="1"/>
                <w:color w:val="auto"/>
                <w:w w:val="93"/>
              </w:rPr>
              <w:t>Example 3</w:t>
            </w:r>
          </w:p>
        </w:tc>
        <w:tc>
          <w:tcPr>
            <w:tcW w:w="160" w:type="dxa"/>
            <w:vAlign w:val="bottom"/>
          </w:tcPr>
          <w:p>
            <w:pPr>
              <w:spacing w:after="0"/>
              <w:rPr>
                <w:sz w:val="16"/>
                <w:szCs w:val="16"/>
                <w:color w:val="auto"/>
              </w:rPr>
            </w:pPr>
          </w:p>
        </w:tc>
        <w:tc>
          <w:tcPr>
            <w:tcW w:w="1960" w:type="dxa"/>
            <w:vAlign w:val="bottom"/>
            <w:gridSpan w:val="2"/>
          </w:tcPr>
          <w:p>
            <w:pPr>
              <w:jc w:val="center"/>
              <w:ind w:right="119"/>
              <w:spacing w:after="0"/>
              <w:rPr>
                <w:sz w:val="20"/>
                <w:szCs w:val="20"/>
                <w:color w:val="auto"/>
              </w:rPr>
            </w:pPr>
            <w:r>
              <w:rPr>
                <w:rFonts w:ascii="Arial" w:cs="Arial" w:eastAsia="Arial" w:hAnsi="Arial"/>
                <w:sz w:val="16"/>
                <w:szCs w:val="16"/>
                <w:b w:val="1"/>
                <w:bCs w:val="1"/>
                <w:color w:val="auto"/>
                <w:w w:val="90"/>
              </w:rPr>
              <w:t>Example 4</w:t>
            </w:r>
          </w:p>
        </w:tc>
        <w:tc>
          <w:tcPr>
            <w:tcW w:w="0" w:type="dxa"/>
            <w:vAlign w:val="bottom"/>
          </w:tcPr>
          <w:p>
            <w:pPr>
              <w:spacing w:after="0"/>
              <w:rPr>
                <w:sz w:val="1"/>
                <w:szCs w:val="1"/>
                <w:color w:val="auto"/>
              </w:rPr>
            </w:pPr>
          </w:p>
        </w:tc>
      </w:tr>
      <w:tr>
        <w:trPr>
          <w:trHeight w:val="162"/>
        </w:trPr>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0" w:type="dxa"/>
            <w:vAlign w:val="bottom"/>
            <w:gridSpan w:val="5"/>
          </w:tcPr>
          <w:p>
            <w:pPr>
              <w:jc w:val="center"/>
              <w:ind w:right="200"/>
              <w:spacing w:after="0" w:line="162" w:lineRule="exact"/>
              <w:rPr>
                <w:sz w:val="20"/>
                <w:szCs w:val="20"/>
                <w:color w:val="auto"/>
              </w:rPr>
            </w:pPr>
            <w:r>
              <w:rPr>
                <w:rFonts w:ascii="Arial" w:cs="Arial" w:eastAsia="Arial" w:hAnsi="Arial"/>
                <w:sz w:val="16"/>
                <w:szCs w:val="16"/>
                <w:b w:val="1"/>
                <w:bCs w:val="1"/>
                <w:color w:val="auto"/>
                <w:w w:val="97"/>
              </w:rPr>
              <w:t>5% Offering</w:t>
            </w:r>
          </w:p>
        </w:tc>
        <w:tc>
          <w:tcPr>
            <w:tcW w:w="160" w:type="dxa"/>
            <w:vAlign w:val="bottom"/>
          </w:tcPr>
          <w:p>
            <w:pPr>
              <w:spacing w:after="0"/>
              <w:rPr>
                <w:sz w:val="14"/>
                <w:szCs w:val="14"/>
                <w:color w:val="auto"/>
              </w:rPr>
            </w:pPr>
          </w:p>
        </w:tc>
        <w:tc>
          <w:tcPr>
            <w:tcW w:w="2000" w:type="dxa"/>
            <w:vAlign w:val="bottom"/>
            <w:gridSpan w:val="3"/>
          </w:tcPr>
          <w:p>
            <w:pPr>
              <w:jc w:val="center"/>
              <w:ind w:right="200"/>
              <w:spacing w:after="0" w:line="162" w:lineRule="exact"/>
              <w:rPr>
                <w:sz w:val="20"/>
                <w:szCs w:val="20"/>
                <w:color w:val="auto"/>
              </w:rPr>
            </w:pPr>
            <w:r>
              <w:rPr>
                <w:rFonts w:ascii="Arial" w:cs="Arial" w:eastAsia="Arial" w:hAnsi="Arial"/>
                <w:sz w:val="16"/>
                <w:szCs w:val="16"/>
                <w:b w:val="1"/>
                <w:bCs w:val="1"/>
                <w:color w:val="auto"/>
                <w:w w:val="97"/>
              </w:rPr>
              <w:t>10% Offering</w:t>
            </w:r>
          </w:p>
        </w:tc>
        <w:tc>
          <w:tcPr>
            <w:tcW w:w="160" w:type="dxa"/>
            <w:vAlign w:val="bottom"/>
          </w:tcPr>
          <w:p>
            <w:pPr>
              <w:spacing w:after="0"/>
              <w:rPr>
                <w:sz w:val="14"/>
                <w:szCs w:val="14"/>
                <w:color w:val="auto"/>
              </w:rPr>
            </w:pPr>
          </w:p>
        </w:tc>
        <w:tc>
          <w:tcPr>
            <w:tcW w:w="2060" w:type="dxa"/>
            <w:vAlign w:val="bottom"/>
            <w:gridSpan w:val="3"/>
          </w:tcPr>
          <w:p>
            <w:pPr>
              <w:jc w:val="center"/>
              <w:ind w:right="260"/>
              <w:spacing w:after="0" w:line="162" w:lineRule="exact"/>
              <w:rPr>
                <w:sz w:val="20"/>
                <w:szCs w:val="20"/>
                <w:color w:val="auto"/>
              </w:rPr>
            </w:pPr>
            <w:r>
              <w:rPr>
                <w:rFonts w:ascii="Arial" w:cs="Arial" w:eastAsia="Arial" w:hAnsi="Arial"/>
                <w:sz w:val="16"/>
                <w:szCs w:val="16"/>
                <w:b w:val="1"/>
                <w:bCs w:val="1"/>
                <w:color w:val="auto"/>
                <w:w w:val="97"/>
              </w:rPr>
              <w:t>20% Offering</w:t>
            </w:r>
          </w:p>
        </w:tc>
        <w:tc>
          <w:tcPr>
            <w:tcW w:w="160" w:type="dxa"/>
            <w:vAlign w:val="bottom"/>
          </w:tcPr>
          <w:p>
            <w:pPr>
              <w:spacing w:after="0"/>
              <w:rPr>
                <w:sz w:val="14"/>
                <w:szCs w:val="14"/>
                <w:color w:val="auto"/>
              </w:rPr>
            </w:pPr>
          </w:p>
        </w:tc>
        <w:tc>
          <w:tcPr>
            <w:tcW w:w="1960" w:type="dxa"/>
            <w:vAlign w:val="bottom"/>
            <w:gridSpan w:val="2"/>
          </w:tcPr>
          <w:p>
            <w:pPr>
              <w:jc w:val="center"/>
              <w:ind w:right="79"/>
              <w:spacing w:after="0" w:line="162" w:lineRule="exact"/>
              <w:rPr>
                <w:sz w:val="20"/>
                <w:szCs w:val="20"/>
                <w:color w:val="auto"/>
              </w:rPr>
            </w:pPr>
            <w:r>
              <w:rPr>
                <w:rFonts w:ascii="Arial" w:cs="Arial" w:eastAsia="Arial" w:hAnsi="Arial"/>
                <w:sz w:val="16"/>
                <w:szCs w:val="16"/>
                <w:b w:val="1"/>
                <w:bCs w:val="1"/>
                <w:color w:val="auto"/>
                <w:w w:val="97"/>
              </w:rPr>
              <w:t>20% Offering</w:t>
            </w:r>
          </w:p>
        </w:tc>
        <w:tc>
          <w:tcPr>
            <w:tcW w:w="0" w:type="dxa"/>
            <w:vAlign w:val="bottom"/>
          </w:tcPr>
          <w:p>
            <w:pPr>
              <w:spacing w:after="0"/>
              <w:rPr>
                <w:sz w:val="1"/>
                <w:szCs w:val="1"/>
                <w:color w:val="auto"/>
              </w:rPr>
            </w:pPr>
          </w:p>
        </w:tc>
      </w:tr>
      <w:tr>
        <w:trPr>
          <w:trHeight w:val="162"/>
        </w:trPr>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3"/>
          </w:tcPr>
          <w:p>
            <w:pPr>
              <w:jc w:val="center"/>
              <w:ind w:left="579"/>
              <w:spacing w:after="0" w:line="162" w:lineRule="exact"/>
              <w:rPr>
                <w:sz w:val="20"/>
                <w:szCs w:val="20"/>
                <w:color w:val="auto"/>
              </w:rPr>
            </w:pPr>
            <w:r>
              <w:rPr>
                <w:rFonts w:ascii="Arial" w:cs="Arial" w:eastAsia="Arial" w:hAnsi="Arial"/>
                <w:sz w:val="16"/>
                <w:szCs w:val="16"/>
                <w:b w:val="1"/>
                <w:bCs w:val="1"/>
                <w:color w:val="auto"/>
              </w:rPr>
              <w:t>at 5%</w:t>
            </w: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0" w:type="dxa"/>
            <w:vAlign w:val="bottom"/>
            <w:gridSpan w:val="3"/>
          </w:tcPr>
          <w:p>
            <w:pPr>
              <w:jc w:val="center"/>
              <w:ind w:right="260"/>
              <w:spacing w:after="0" w:line="162" w:lineRule="exact"/>
              <w:rPr>
                <w:sz w:val="20"/>
                <w:szCs w:val="20"/>
                <w:color w:val="auto"/>
              </w:rPr>
            </w:pPr>
            <w:r>
              <w:rPr>
                <w:rFonts w:ascii="Arial" w:cs="Arial" w:eastAsia="Arial" w:hAnsi="Arial"/>
                <w:sz w:val="16"/>
                <w:szCs w:val="16"/>
                <w:b w:val="1"/>
                <w:bCs w:val="1"/>
                <w:color w:val="auto"/>
                <w:w w:val="98"/>
              </w:rPr>
              <w:t>at 10%</w:t>
            </w:r>
          </w:p>
        </w:tc>
        <w:tc>
          <w:tcPr>
            <w:tcW w:w="160" w:type="dxa"/>
            <w:vAlign w:val="bottom"/>
          </w:tcPr>
          <w:p>
            <w:pPr>
              <w:spacing w:after="0"/>
              <w:rPr>
                <w:sz w:val="14"/>
                <w:szCs w:val="14"/>
                <w:color w:val="auto"/>
              </w:rPr>
            </w:pPr>
          </w:p>
        </w:tc>
        <w:tc>
          <w:tcPr>
            <w:tcW w:w="2060" w:type="dxa"/>
            <w:vAlign w:val="bottom"/>
            <w:gridSpan w:val="3"/>
          </w:tcPr>
          <w:p>
            <w:pPr>
              <w:jc w:val="center"/>
              <w:ind w:right="240"/>
              <w:spacing w:after="0" w:line="162" w:lineRule="exact"/>
              <w:rPr>
                <w:sz w:val="20"/>
                <w:szCs w:val="20"/>
                <w:color w:val="auto"/>
              </w:rPr>
            </w:pPr>
            <w:r>
              <w:rPr>
                <w:rFonts w:ascii="Arial" w:cs="Arial" w:eastAsia="Arial" w:hAnsi="Arial"/>
                <w:sz w:val="16"/>
                <w:szCs w:val="16"/>
                <w:b w:val="1"/>
                <w:bCs w:val="1"/>
                <w:color w:val="auto"/>
                <w:w w:val="98"/>
              </w:rPr>
              <w:t>at 20%</w:t>
            </w:r>
          </w:p>
        </w:tc>
        <w:tc>
          <w:tcPr>
            <w:tcW w:w="160" w:type="dxa"/>
            <w:vAlign w:val="bottom"/>
          </w:tcPr>
          <w:p>
            <w:pPr>
              <w:spacing w:after="0"/>
              <w:rPr>
                <w:sz w:val="14"/>
                <w:szCs w:val="14"/>
                <w:color w:val="auto"/>
              </w:rPr>
            </w:pPr>
          </w:p>
        </w:tc>
        <w:tc>
          <w:tcPr>
            <w:tcW w:w="1960" w:type="dxa"/>
            <w:vAlign w:val="bottom"/>
            <w:gridSpan w:val="2"/>
          </w:tcPr>
          <w:p>
            <w:pPr>
              <w:jc w:val="center"/>
              <w:ind w:right="79"/>
              <w:spacing w:after="0" w:line="162" w:lineRule="exact"/>
              <w:rPr>
                <w:sz w:val="20"/>
                <w:szCs w:val="20"/>
                <w:color w:val="auto"/>
              </w:rPr>
            </w:pPr>
            <w:r>
              <w:rPr>
                <w:rFonts w:ascii="Arial" w:cs="Arial" w:eastAsia="Arial" w:hAnsi="Arial"/>
                <w:sz w:val="16"/>
                <w:szCs w:val="16"/>
                <w:b w:val="1"/>
                <w:bCs w:val="1"/>
                <w:color w:val="auto"/>
              </w:rPr>
              <w:t>at 100%</w:t>
            </w:r>
          </w:p>
        </w:tc>
        <w:tc>
          <w:tcPr>
            <w:tcW w:w="0" w:type="dxa"/>
            <w:vAlign w:val="bottom"/>
          </w:tcPr>
          <w:p>
            <w:pPr>
              <w:spacing w:after="0"/>
              <w:rPr>
                <w:sz w:val="1"/>
                <w:szCs w:val="1"/>
                <w:color w:val="auto"/>
              </w:rPr>
            </w:pPr>
          </w:p>
        </w:tc>
      </w:tr>
      <w:tr>
        <w:trPr>
          <w:trHeight w:val="210"/>
        </w:trPr>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gridSpan w:val="4"/>
          </w:tcPr>
          <w:p>
            <w:pPr>
              <w:jc w:val="center"/>
              <w:ind w:right="59"/>
              <w:spacing w:after="0"/>
              <w:rPr>
                <w:sz w:val="20"/>
                <w:szCs w:val="20"/>
                <w:color w:val="auto"/>
              </w:rPr>
            </w:pPr>
            <w:r>
              <w:rPr>
                <w:rFonts w:ascii="Arial" w:cs="Arial" w:eastAsia="Arial" w:hAnsi="Arial"/>
                <w:sz w:val="16"/>
                <w:szCs w:val="16"/>
                <w:b w:val="1"/>
                <w:bCs w:val="1"/>
                <w:color w:val="auto"/>
                <w:w w:val="90"/>
              </w:rPr>
              <w:t>Discount</w:t>
            </w: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gridSpan w:val="2"/>
          </w:tcPr>
          <w:p>
            <w:pPr>
              <w:jc w:val="center"/>
              <w:ind w:right="79"/>
              <w:spacing w:after="0"/>
              <w:rPr>
                <w:sz w:val="20"/>
                <w:szCs w:val="20"/>
                <w:color w:val="auto"/>
              </w:rPr>
            </w:pPr>
            <w:r>
              <w:rPr>
                <w:rFonts w:ascii="Arial" w:cs="Arial" w:eastAsia="Arial" w:hAnsi="Arial"/>
                <w:sz w:val="16"/>
                <w:szCs w:val="16"/>
                <w:b w:val="1"/>
                <w:bCs w:val="1"/>
                <w:color w:val="auto"/>
                <w:w w:val="87"/>
              </w:rPr>
              <w:t>Discount</w:t>
            </w: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gridSpan w:val="2"/>
          </w:tcPr>
          <w:p>
            <w:pPr>
              <w:jc w:val="center"/>
              <w:ind w:right="59"/>
              <w:spacing w:after="0"/>
              <w:rPr>
                <w:sz w:val="20"/>
                <w:szCs w:val="20"/>
                <w:color w:val="auto"/>
              </w:rPr>
            </w:pPr>
            <w:r>
              <w:rPr>
                <w:rFonts w:ascii="Arial" w:cs="Arial" w:eastAsia="Arial" w:hAnsi="Arial"/>
                <w:sz w:val="16"/>
                <w:szCs w:val="16"/>
                <w:b w:val="1"/>
                <w:bCs w:val="1"/>
                <w:color w:val="auto"/>
                <w:w w:val="90"/>
              </w:rPr>
              <w:t>Discount</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gridSpan w:val="2"/>
          </w:tcPr>
          <w:p>
            <w:pPr>
              <w:jc w:val="center"/>
              <w:ind w:right="79"/>
              <w:spacing w:after="0"/>
              <w:rPr>
                <w:sz w:val="20"/>
                <w:szCs w:val="20"/>
                <w:color w:val="auto"/>
              </w:rPr>
            </w:pPr>
            <w:r>
              <w:rPr>
                <w:rFonts w:ascii="Arial" w:cs="Arial" w:eastAsia="Arial" w:hAnsi="Arial"/>
                <w:sz w:val="16"/>
                <w:szCs w:val="16"/>
                <w:b w:val="1"/>
                <w:bCs w:val="1"/>
                <w:color w:val="auto"/>
                <w:w w:val="87"/>
              </w:rPr>
              <w:t>Discount</w:t>
            </w:r>
          </w:p>
        </w:tc>
        <w:tc>
          <w:tcPr>
            <w:tcW w:w="0" w:type="dxa"/>
            <w:vAlign w:val="bottom"/>
          </w:tcPr>
          <w:p>
            <w:pPr>
              <w:spacing w:after="0"/>
              <w:rPr>
                <w:sz w:val="1"/>
                <w:szCs w:val="1"/>
                <w:color w:val="auto"/>
              </w:rPr>
            </w:pPr>
          </w:p>
        </w:tc>
      </w:tr>
      <w:tr>
        <w:trPr>
          <w:trHeight w:val="148"/>
        </w:trPr>
        <w:tc>
          <w:tcPr>
            <w:tcW w:w="1360" w:type="dxa"/>
            <w:vAlign w:val="bottom"/>
            <w:gridSpan w:val="2"/>
          </w:tcPr>
          <w:p>
            <w:pPr>
              <w:ind w:left="20"/>
              <w:spacing w:after="0" w:line="148" w:lineRule="exact"/>
              <w:rPr>
                <w:sz w:val="20"/>
                <w:szCs w:val="20"/>
                <w:color w:val="auto"/>
              </w:rPr>
            </w:pPr>
            <w:r>
              <w:rPr>
                <w:rFonts w:ascii="Arial" w:cs="Arial" w:eastAsia="Arial" w:hAnsi="Arial"/>
                <w:sz w:val="16"/>
                <w:szCs w:val="16"/>
                <w:b w:val="1"/>
                <w:bCs w:val="1"/>
                <w:color w:val="auto"/>
              </w:rPr>
              <w:t>Prior to Sale</w:t>
            </w:r>
          </w:p>
        </w:tc>
        <w:tc>
          <w:tcPr>
            <w:tcW w:w="100" w:type="dxa"/>
            <w:vAlign w:val="bottom"/>
          </w:tcPr>
          <w:p>
            <w:pPr>
              <w:spacing w:after="0"/>
              <w:rPr>
                <w:sz w:val="12"/>
                <w:szCs w:val="12"/>
                <w:color w:val="auto"/>
              </w:rPr>
            </w:pPr>
          </w:p>
        </w:tc>
        <w:tc>
          <w:tcPr>
            <w:tcW w:w="1000" w:type="dxa"/>
            <w:vAlign w:val="bottom"/>
            <w:vMerge w:val="restart"/>
          </w:tcPr>
          <w:p>
            <w:pPr>
              <w:jc w:val="right"/>
              <w:ind w:right="39"/>
              <w:spacing w:after="0"/>
              <w:rPr>
                <w:sz w:val="20"/>
                <w:szCs w:val="20"/>
                <w:color w:val="auto"/>
              </w:rPr>
            </w:pPr>
            <w:r>
              <w:rPr>
                <w:rFonts w:ascii="Arial" w:cs="Arial" w:eastAsia="Arial" w:hAnsi="Arial"/>
                <w:sz w:val="16"/>
                <w:szCs w:val="16"/>
                <w:b w:val="1"/>
                <w:bCs w:val="1"/>
                <w:color w:val="auto"/>
                <w:w w:val="91"/>
              </w:rPr>
              <w:t>Prior to Sale</w:t>
            </w:r>
          </w:p>
        </w:tc>
        <w:tc>
          <w:tcPr>
            <w:tcW w:w="100" w:type="dxa"/>
            <w:vAlign w:val="bottom"/>
            <w:vMerge w:val="restart"/>
          </w:tcPr>
          <w:p>
            <w:pPr>
              <w:spacing w:after="0"/>
              <w:rPr>
                <w:sz w:val="12"/>
                <w:szCs w:val="12"/>
                <w:color w:val="auto"/>
              </w:rPr>
            </w:pPr>
          </w:p>
        </w:tc>
        <w:tc>
          <w:tcPr>
            <w:tcW w:w="112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w w:val="92"/>
              </w:rPr>
              <w:t>Following Sale</w:t>
            </w:r>
          </w:p>
        </w:tc>
        <w:tc>
          <w:tcPr>
            <w:tcW w:w="100" w:type="dxa"/>
            <w:vAlign w:val="bottom"/>
            <w:vMerge w:val="restart"/>
          </w:tcPr>
          <w:p>
            <w:pPr>
              <w:spacing w:after="0"/>
              <w:rPr>
                <w:sz w:val="12"/>
                <w:szCs w:val="12"/>
                <w:color w:val="auto"/>
              </w:rPr>
            </w:pPr>
          </w:p>
        </w:tc>
        <w:tc>
          <w:tcPr>
            <w:tcW w:w="40" w:type="dxa"/>
            <w:vAlign w:val="bottom"/>
            <w:vMerge w:val="restart"/>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b w:val="1"/>
                <w:bCs w:val="1"/>
                <w:color w:val="auto"/>
                <w:w w:val="93"/>
              </w:rPr>
              <w:t>% Change</w:t>
            </w:r>
          </w:p>
        </w:tc>
        <w:tc>
          <w:tcPr>
            <w:tcW w:w="80" w:type="dxa"/>
            <w:vAlign w:val="bottom"/>
            <w:vMerge w:val="restart"/>
          </w:tcPr>
          <w:p>
            <w:pPr>
              <w:spacing w:after="0"/>
              <w:rPr>
                <w:sz w:val="12"/>
                <w:szCs w:val="12"/>
                <w:color w:val="auto"/>
              </w:rPr>
            </w:pPr>
          </w:p>
        </w:tc>
        <w:tc>
          <w:tcPr>
            <w:tcW w:w="1200" w:type="dxa"/>
            <w:vAlign w:val="bottom"/>
            <w:gridSpan w:val="2"/>
            <w:vMerge w:val="restart"/>
          </w:tcPr>
          <w:p>
            <w:pPr>
              <w:jc w:val="right"/>
              <w:ind w:right="39"/>
              <w:spacing w:after="0"/>
              <w:rPr>
                <w:sz w:val="20"/>
                <w:szCs w:val="20"/>
                <w:color w:val="auto"/>
              </w:rPr>
            </w:pPr>
            <w:r>
              <w:rPr>
                <w:rFonts w:ascii="Arial" w:cs="Arial" w:eastAsia="Arial" w:hAnsi="Arial"/>
                <w:sz w:val="16"/>
                <w:szCs w:val="16"/>
                <w:b w:val="1"/>
                <w:bCs w:val="1"/>
                <w:color w:val="auto"/>
                <w:w w:val="94"/>
              </w:rPr>
              <w:t>Following Sale</w:t>
            </w:r>
          </w:p>
        </w:tc>
        <w:tc>
          <w:tcPr>
            <w:tcW w:w="8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 Change</w:t>
            </w:r>
          </w:p>
        </w:tc>
        <w:tc>
          <w:tcPr>
            <w:tcW w:w="80" w:type="dxa"/>
            <w:vAlign w:val="bottom"/>
            <w:vMerge w:val="restart"/>
          </w:tcPr>
          <w:p>
            <w:pPr>
              <w:spacing w:after="0"/>
              <w:rPr>
                <w:sz w:val="12"/>
                <w:szCs w:val="12"/>
                <w:color w:val="auto"/>
              </w:rPr>
            </w:pPr>
          </w:p>
        </w:tc>
        <w:tc>
          <w:tcPr>
            <w:tcW w:w="1220" w:type="dxa"/>
            <w:vAlign w:val="bottom"/>
            <w:gridSpan w:val="2"/>
            <w:vMerge w:val="restart"/>
          </w:tcPr>
          <w:p>
            <w:pPr>
              <w:jc w:val="right"/>
              <w:ind w:right="59"/>
              <w:spacing w:after="0"/>
              <w:rPr>
                <w:sz w:val="20"/>
                <w:szCs w:val="20"/>
                <w:color w:val="auto"/>
              </w:rPr>
            </w:pPr>
            <w:r>
              <w:rPr>
                <w:rFonts w:ascii="Arial" w:cs="Arial" w:eastAsia="Arial" w:hAnsi="Arial"/>
                <w:sz w:val="16"/>
                <w:szCs w:val="16"/>
                <w:b w:val="1"/>
                <w:bCs w:val="1"/>
                <w:color w:val="auto"/>
                <w:w w:val="94"/>
              </w:rPr>
              <w:t>Following Sale</w:t>
            </w:r>
          </w:p>
        </w:tc>
        <w:tc>
          <w:tcPr>
            <w:tcW w:w="9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 Change</w:t>
            </w:r>
          </w:p>
        </w:tc>
        <w:tc>
          <w:tcPr>
            <w:tcW w:w="100" w:type="dxa"/>
            <w:vAlign w:val="bottom"/>
            <w:vMerge w:val="restart"/>
          </w:tcPr>
          <w:p>
            <w:pPr>
              <w:spacing w:after="0"/>
              <w:rPr>
                <w:sz w:val="12"/>
                <w:szCs w:val="12"/>
                <w:color w:val="auto"/>
              </w:rPr>
            </w:pPr>
          </w:p>
        </w:tc>
        <w:tc>
          <w:tcPr>
            <w:tcW w:w="1220" w:type="dxa"/>
            <w:vAlign w:val="bottom"/>
            <w:gridSpan w:val="2"/>
            <w:vMerge w:val="restart"/>
          </w:tcPr>
          <w:p>
            <w:pPr>
              <w:jc w:val="right"/>
              <w:ind w:right="59"/>
              <w:spacing w:after="0"/>
              <w:rPr>
                <w:sz w:val="20"/>
                <w:szCs w:val="20"/>
                <w:color w:val="auto"/>
              </w:rPr>
            </w:pPr>
            <w:r>
              <w:rPr>
                <w:rFonts w:ascii="Arial" w:cs="Arial" w:eastAsia="Arial" w:hAnsi="Arial"/>
                <w:sz w:val="16"/>
                <w:szCs w:val="16"/>
                <w:b w:val="1"/>
                <w:bCs w:val="1"/>
                <w:color w:val="auto"/>
                <w:w w:val="94"/>
              </w:rPr>
              <w:t>Following Sale</w:t>
            </w:r>
          </w:p>
        </w:tc>
        <w:tc>
          <w:tcPr>
            <w:tcW w:w="9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13"/>
        </w:trPr>
        <w:tc>
          <w:tcPr>
            <w:tcW w:w="12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Below NAV</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1120" w:type="dxa"/>
            <w:vAlign w:val="bottom"/>
            <w:tcBorders>
              <w:bottom w:val="single" w:sz="8" w:color="auto"/>
            </w:tcBorders>
            <w:gridSpan w:val="2"/>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40" w:type="dxa"/>
            <w:vAlign w:val="bottom"/>
            <w:tcBorders>
              <w:bottom w:val="single" w:sz="8" w:color="auto"/>
            </w:tcBorders>
            <w:vMerge w:val="continue"/>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80" w:type="dxa"/>
            <w:vAlign w:val="bottom"/>
            <w:vMerge w:val="continue"/>
          </w:tcPr>
          <w:p>
            <w:pPr>
              <w:spacing w:after="0"/>
              <w:rPr>
                <w:sz w:val="18"/>
                <w:szCs w:val="18"/>
                <w:color w:val="auto"/>
              </w:rPr>
            </w:pPr>
          </w:p>
        </w:tc>
        <w:tc>
          <w:tcPr>
            <w:tcW w:w="1200" w:type="dxa"/>
            <w:vAlign w:val="bottom"/>
            <w:tcBorders>
              <w:bottom w:val="single" w:sz="8" w:color="auto"/>
            </w:tcBorders>
            <w:gridSpan w:val="2"/>
            <w:vMerge w:val="continue"/>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80" w:type="dxa"/>
            <w:vAlign w:val="bottom"/>
            <w:vMerge w:val="continue"/>
          </w:tcPr>
          <w:p>
            <w:pPr>
              <w:spacing w:after="0"/>
              <w:rPr>
                <w:sz w:val="18"/>
                <w:szCs w:val="18"/>
                <w:color w:val="auto"/>
              </w:rPr>
            </w:pPr>
          </w:p>
        </w:tc>
        <w:tc>
          <w:tcPr>
            <w:tcW w:w="1220" w:type="dxa"/>
            <w:vAlign w:val="bottom"/>
            <w:tcBorders>
              <w:bottom w:val="single" w:sz="8" w:color="auto"/>
            </w:tcBorders>
            <w:gridSpan w:val="2"/>
            <w:vMerge w:val="continue"/>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1220" w:type="dxa"/>
            <w:vAlign w:val="bottom"/>
            <w:tcBorders>
              <w:bottom w:val="single" w:sz="8" w:color="auto"/>
            </w:tcBorders>
            <w:gridSpan w:val="2"/>
            <w:vMerge w:val="continue"/>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360" w:type="dxa"/>
            <w:vAlign w:val="bottom"/>
            <w:gridSpan w:val="2"/>
          </w:tcPr>
          <w:p>
            <w:pPr>
              <w:ind w:left="20"/>
              <w:spacing w:after="0"/>
              <w:rPr>
                <w:sz w:val="20"/>
                <w:szCs w:val="20"/>
                <w:color w:val="auto"/>
              </w:rPr>
            </w:pPr>
            <w:r>
              <w:rPr>
                <w:rFonts w:ascii="Arial" w:cs="Arial" w:eastAsia="Arial" w:hAnsi="Arial"/>
                <w:sz w:val="16"/>
                <w:szCs w:val="16"/>
                <w:b w:val="1"/>
                <w:bCs w:val="1"/>
                <w:i w:val="1"/>
                <w:iCs w:val="1"/>
                <w:color w:val="auto"/>
              </w:rPr>
              <w:t>Offering Price</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1360" w:type="dxa"/>
            <w:vAlign w:val="bottom"/>
            <w:gridSpan w:val="2"/>
            <w:shd w:val="clear" w:color="auto" w:fill="CCEEFF"/>
          </w:tcPr>
          <w:p>
            <w:pPr>
              <w:ind w:left="60"/>
              <w:spacing w:after="0" w:line="169" w:lineRule="exact"/>
              <w:rPr>
                <w:sz w:val="20"/>
                <w:szCs w:val="20"/>
                <w:color w:val="auto"/>
              </w:rPr>
            </w:pPr>
            <w:r>
              <w:rPr>
                <w:rFonts w:ascii="Arial" w:cs="Arial" w:eastAsia="Arial" w:hAnsi="Arial"/>
                <w:sz w:val="16"/>
                <w:szCs w:val="16"/>
                <w:color w:val="auto"/>
                <w:w w:val="99"/>
              </w:rPr>
              <w:t>Price per Share to</w:t>
            </w:r>
          </w:p>
        </w:tc>
        <w:tc>
          <w:tcPr>
            <w:tcW w:w="100" w:type="dxa"/>
            <w:vAlign w:val="bottom"/>
            <w:shd w:val="clear" w:color="auto" w:fill="CCEEFF"/>
          </w:tcPr>
          <w:p>
            <w:pPr>
              <w:spacing w:after="0"/>
              <w:rPr>
                <w:sz w:val="14"/>
                <w:szCs w:val="14"/>
                <w:color w:val="auto"/>
              </w:rPr>
            </w:pPr>
          </w:p>
        </w:tc>
        <w:tc>
          <w:tcPr>
            <w:tcW w:w="1100" w:type="dxa"/>
            <w:vAlign w:val="bottom"/>
            <w:gridSpan w:val="2"/>
            <w:vMerge w:val="restart"/>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color w:val="auto"/>
              </w:rPr>
              <w:t>16.28</w:t>
            </w: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jc w:val="center"/>
              <w:ind w:left="39"/>
              <w:spacing w:after="0"/>
              <w:rPr>
                <w:sz w:val="20"/>
                <w:szCs w:val="20"/>
                <w:color w:val="auto"/>
              </w:rPr>
            </w:pPr>
            <w:r>
              <w:rPr>
                <w:rFonts w:ascii="Arial" w:cs="Arial" w:eastAsia="Arial" w:hAnsi="Arial"/>
                <w:sz w:val="16"/>
                <w:szCs w:val="16"/>
                <w:color w:val="auto"/>
                <w:w w:val="99"/>
              </w:rPr>
              <w:t>—</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vMerge w:val="restart"/>
            <w:shd w:val="clear" w:color="auto" w:fill="CCEEFF"/>
          </w:tcPr>
          <w:p>
            <w:pPr>
              <w:jc w:val="right"/>
              <w:ind w:right="199"/>
              <w:spacing w:after="0"/>
              <w:rPr>
                <w:sz w:val="20"/>
                <w:szCs w:val="20"/>
                <w:color w:val="auto"/>
              </w:rPr>
            </w:pPr>
            <w:r>
              <w:rPr>
                <w:rFonts w:ascii="Arial" w:cs="Arial" w:eastAsia="Arial" w:hAnsi="Arial"/>
                <w:sz w:val="16"/>
                <w:szCs w:val="16"/>
                <w:color w:val="auto"/>
              </w:rPr>
              <w:t>15.42</w:t>
            </w:r>
          </w:p>
        </w:tc>
        <w:tc>
          <w:tcPr>
            <w:tcW w:w="960" w:type="dxa"/>
            <w:vAlign w:val="bottom"/>
            <w:gridSpan w:val="2"/>
            <w:vMerge w:val="restart"/>
            <w:shd w:val="clear" w:color="auto" w:fill="CCEEFF"/>
          </w:tcPr>
          <w:p>
            <w:pPr>
              <w:jc w:val="center"/>
              <w:ind w:left="119"/>
              <w:spacing w:after="0"/>
              <w:rPr>
                <w:sz w:val="20"/>
                <w:szCs w:val="20"/>
                <w:color w:val="auto"/>
              </w:rPr>
            </w:pPr>
            <w:r>
              <w:rPr>
                <w:rFonts w:ascii="Arial" w:cs="Arial" w:eastAsia="Arial" w:hAnsi="Arial"/>
                <w:sz w:val="16"/>
                <w:szCs w:val="16"/>
                <w:color w:val="auto"/>
                <w:w w:val="99"/>
              </w:rPr>
              <w:t>—</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vMerge w:val="restart"/>
            <w:shd w:val="clear" w:color="auto" w:fill="CCEEFF"/>
          </w:tcPr>
          <w:p>
            <w:pPr>
              <w:jc w:val="right"/>
              <w:ind w:right="199"/>
              <w:spacing w:after="0"/>
              <w:rPr>
                <w:sz w:val="20"/>
                <w:szCs w:val="20"/>
                <w:color w:val="auto"/>
              </w:rPr>
            </w:pPr>
            <w:r>
              <w:rPr>
                <w:rFonts w:ascii="Arial" w:cs="Arial" w:eastAsia="Arial" w:hAnsi="Arial"/>
                <w:sz w:val="16"/>
                <w:szCs w:val="16"/>
                <w:color w:val="auto"/>
              </w:rPr>
              <w:t>13.71</w:t>
            </w:r>
          </w:p>
        </w:tc>
        <w:tc>
          <w:tcPr>
            <w:tcW w:w="1000" w:type="dxa"/>
            <w:vAlign w:val="bottom"/>
            <w:gridSpan w:val="2"/>
            <w:vMerge w:val="restart"/>
            <w:shd w:val="clear" w:color="auto" w:fill="CCEEFF"/>
          </w:tcPr>
          <w:p>
            <w:pPr>
              <w:jc w:val="center"/>
              <w:ind w:left="159"/>
              <w:spacing w:after="0"/>
              <w:rPr>
                <w:sz w:val="20"/>
                <w:szCs w:val="20"/>
                <w:color w:val="auto"/>
              </w:rPr>
            </w:pPr>
            <w:r>
              <w:rPr>
                <w:rFonts w:ascii="Arial" w:cs="Arial" w:eastAsia="Arial" w:hAnsi="Arial"/>
                <w:sz w:val="16"/>
                <w:szCs w:val="16"/>
                <w:color w:val="auto"/>
                <w:w w:val="99"/>
              </w:rPr>
              <w:t>—</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vMerge w:val="restart"/>
            <w:shd w:val="clear" w:color="auto" w:fill="CCEEFF"/>
          </w:tcPr>
          <w:p>
            <w:pPr>
              <w:jc w:val="right"/>
              <w:ind w:right="199"/>
              <w:spacing w:after="0"/>
              <w:rPr>
                <w:sz w:val="20"/>
                <w:szCs w:val="20"/>
                <w:color w:val="auto"/>
              </w:rPr>
            </w:pPr>
            <w:r>
              <w:rPr>
                <w:rFonts w:ascii="Arial" w:cs="Arial" w:eastAsia="Arial" w:hAnsi="Arial"/>
                <w:sz w:val="16"/>
                <w:szCs w:val="16"/>
                <w:color w:val="auto"/>
              </w:rPr>
              <w:t>0.02</w:t>
            </w:r>
          </w:p>
        </w:tc>
        <w:tc>
          <w:tcPr>
            <w:tcW w:w="90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136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rPr>
              <w:t>Public</w:t>
            </w:r>
          </w:p>
        </w:tc>
        <w:tc>
          <w:tcPr>
            <w:tcW w:w="100" w:type="dxa"/>
            <w:vAlign w:val="bottom"/>
            <w:shd w:val="clear" w:color="auto" w:fill="CCEEFF"/>
          </w:tcPr>
          <w:p>
            <w:pPr>
              <w:spacing w:after="0"/>
              <w:rPr>
                <w:sz w:val="18"/>
                <w:szCs w:val="18"/>
                <w:color w:val="auto"/>
              </w:rPr>
            </w:pPr>
          </w:p>
        </w:tc>
        <w:tc>
          <w:tcPr>
            <w:tcW w:w="1100" w:type="dxa"/>
            <w:vAlign w:val="bottom"/>
            <w:gridSpan w:val="2"/>
            <w:vMerge w:val="continue"/>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1360" w:type="dxa"/>
            <w:vAlign w:val="bottom"/>
            <w:gridSpan w:val="2"/>
          </w:tcPr>
          <w:p>
            <w:pPr>
              <w:ind w:left="60"/>
              <w:spacing w:after="0" w:line="166" w:lineRule="exact"/>
              <w:rPr>
                <w:sz w:val="20"/>
                <w:szCs w:val="20"/>
                <w:color w:val="auto"/>
              </w:rPr>
            </w:pPr>
            <w:r>
              <w:rPr>
                <w:rFonts w:ascii="Arial" w:cs="Arial" w:eastAsia="Arial" w:hAnsi="Arial"/>
                <w:sz w:val="16"/>
                <w:szCs w:val="16"/>
                <w:color w:val="auto"/>
              </w:rPr>
              <w:t>Net Proceeds per</w:t>
            </w:r>
          </w:p>
        </w:tc>
        <w:tc>
          <w:tcPr>
            <w:tcW w:w="100" w:type="dxa"/>
            <w:vAlign w:val="bottom"/>
          </w:tcPr>
          <w:p>
            <w:pPr>
              <w:spacing w:after="0"/>
              <w:rPr>
                <w:sz w:val="14"/>
                <w:szCs w:val="14"/>
                <w:color w:val="auto"/>
              </w:rPr>
            </w:pPr>
          </w:p>
        </w:tc>
        <w:tc>
          <w:tcPr>
            <w:tcW w:w="1100" w:type="dxa"/>
            <w:vAlign w:val="bottom"/>
            <w:gridSpan w:val="2"/>
            <w:vMerge w:val="restart"/>
          </w:tcPr>
          <w:p>
            <w:pPr>
              <w:jc w:val="right"/>
              <w:ind w:right="300"/>
              <w:spacing w:after="0"/>
              <w:rPr>
                <w:sz w:val="20"/>
                <w:szCs w:val="20"/>
                <w:color w:val="auto"/>
              </w:rPr>
            </w:pPr>
            <w:r>
              <w:rPr>
                <w:rFonts w:ascii="Arial" w:cs="Arial" w:eastAsia="Arial" w:hAnsi="Arial"/>
                <w:sz w:val="16"/>
                <w:szCs w:val="16"/>
                <w:color w:val="auto"/>
              </w:rPr>
              <w:t>—</w:t>
            </w: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vMerge w:val="restart"/>
          </w:tcPr>
          <w:p>
            <w:pPr>
              <w:jc w:val="right"/>
              <w:ind w:right="119"/>
              <w:spacing w:after="0"/>
              <w:rPr>
                <w:sz w:val="20"/>
                <w:szCs w:val="20"/>
                <w:color w:val="auto"/>
              </w:rPr>
            </w:pPr>
            <w:r>
              <w:rPr>
                <w:rFonts w:ascii="Arial" w:cs="Arial" w:eastAsia="Arial" w:hAnsi="Arial"/>
                <w:sz w:val="16"/>
                <w:szCs w:val="16"/>
                <w:color w:val="auto"/>
              </w:rPr>
              <w:t>15.47</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80" w:type="dxa"/>
            <w:vAlign w:val="bottom"/>
            <w:gridSpan w:val="2"/>
            <w:vMerge w:val="restart"/>
          </w:tcPr>
          <w:p>
            <w:pPr>
              <w:jc w:val="center"/>
              <w:ind w:left="39"/>
              <w:spacing w:after="0"/>
              <w:rPr>
                <w:sz w:val="20"/>
                <w:szCs w:val="20"/>
                <w:color w:val="auto"/>
              </w:rPr>
            </w:pPr>
            <w:r>
              <w:rPr>
                <w:rFonts w:ascii="Arial" w:cs="Arial" w:eastAsia="Arial" w:hAnsi="Arial"/>
                <w:sz w:val="16"/>
                <w:szCs w:val="16"/>
                <w:color w:val="auto"/>
                <w:w w:val="99"/>
              </w:rPr>
              <w:t>—</w:t>
            </w:r>
          </w:p>
        </w:tc>
        <w:tc>
          <w:tcPr>
            <w:tcW w:w="16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vMerge w:val="restart"/>
          </w:tcPr>
          <w:p>
            <w:pPr>
              <w:jc w:val="right"/>
              <w:ind w:right="199"/>
              <w:spacing w:after="0"/>
              <w:rPr>
                <w:sz w:val="20"/>
                <w:szCs w:val="20"/>
                <w:color w:val="auto"/>
              </w:rPr>
            </w:pPr>
            <w:r>
              <w:rPr>
                <w:rFonts w:ascii="Arial" w:cs="Arial" w:eastAsia="Arial" w:hAnsi="Arial"/>
                <w:sz w:val="16"/>
                <w:szCs w:val="16"/>
                <w:color w:val="auto"/>
              </w:rPr>
              <w:t>14.65</w:t>
            </w:r>
          </w:p>
        </w:tc>
        <w:tc>
          <w:tcPr>
            <w:tcW w:w="960" w:type="dxa"/>
            <w:vAlign w:val="bottom"/>
            <w:gridSpan w:val="2"/>
            <w:vMerge w:val="restart"/>
          </w:tcPr>
          <w:p>
            <w:pPr>
              <w:jc w:val="center"/>
              <w:ind w:left="119"/>
              <w:spacing w:after="0"/>
              <w:rPr>
                <w:sz w:val="20"/>
                <w:szCs w:val="20"/>
                <w:color w:val="auto"/>
              </w:rPr>
            </w:pPr>
            <w:r>
              <w:rPr>
                <w:rFonts w:ascii="Arial" w:cs="Arial" w:eastAsia="Arial" w:hAnsi="Arial"/>
                <w:sz w:val="16"/>
                <w:szCs w:val="16"/>
                <w:color w:val="auto"/>
                <w:w w:val="99"/>
              </w:rPr>
              <w:t>—</w:t>
            </w:r>
          </w:p>
        </w:tc>
        <w:tc>
          <w:tcPr>
            <w:tcW w:w="16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vMerge w:val="restart"/>
          </w:tcPr>
          <w:p>
            <w:pPr>
              <w:jc w:val="right"/>
              <w:ind w:right="199"/>
              <w:spacing w:after="0"/>
              <w:rPr>
                <w:sz w:val="20"/>
                <w:szCs w:val="20"/>
                <w:color w:val="auto"/>
              </w:rPr>
            </w:pPr>
            <w:r>
              <w:rPr>
                <w:rFonts w:ascii="Arial" w:cs="Arial" w:eastAsia="Arial" w:hAnsi="Arial"/>
                <w:sz w:val="16"/>
                <w:szCs w:val="16"/>
                <w:color w:val="auto"/>
              </w:rPr>
              <w:t>13.02</w:t>
            </w:r>
          </w:p>
        </w:tc>
        <w:tc>
          <w:tcPr>
            <w:tcW w:w="1000" w:type="dxa"/>
            <w:vAlign w:val="bottom"/>
            <w:gridSpan w:val="2"/>
            <w:vMerge w:val="restart"/>
          </w:tcPr>
          <w:p>
            <w:pPr>
              <w:jc w:val="center"/>
              <w:ind w:left="159"/>
              <w:spacing w:after="0"/>
              <w:rPr>
                <w:sz w:val="20"/>
                <w:szCs w:val="20"/>
                <w:color w:val="auto"/>
              </w:rPr>
            </w:pPr>
            <w:r>
              <w:rPr>
                <w:rFonts w:ascii="Arial" w:cs="Arial" w:eastAsia="Arial" w:hAnsi="Arial"/>
                <w:sz w:val="16"/>
                <w:szCs w:val="16"/>
                <w:color w:val="auto"/>
                <w:w w:val="99"/>
              </w:rPr>
              <w:t>—</w:t>
            </w:r>
          </w:p>
        </w:tc>
        <w:tc>
          <w:tcPr>
            <w:tcW w:w="16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vMerge w:val="restart"/>
          </w:tcPr>
          <w:p>
            <w:pPr>
              <w:jc w:val="right"/>
              <w:ind w:right="199"/>
              <w:spacing w:after="0"/>
              <w:rPr>
                <w:sz w:val="20"/>
                <w:szCs w:val="20"/>
                <w:color w:val="auto"/>
              </w:rPr>
            </w:pPr>
            <w:r>
              <w:rPr>
                <w:rFonts w:ascii="Arial" w:cs="Arial" w:eastAsia="Arial" w:hAnsi="Arial"/>
                <w:sz w:val="16"/>
                <w:szCs w:val="16"/>
                <w:color w:val="auto"/>
              </w:rPr>
              <w:t>0.02</w:t>
            </w:r>
          </w:p>
        </w:tc>
        <w:tc>
          <w:tcPr>
            <w:tcW w:w="900" w:type="dxa"/>
            <w:vAlign w:val="bottom"/>
            <w:vMerge w:val="restart"/>
          </w:tcPr>
          <w:p>
            <w:pPr>
              <w:jc w:val="right"/>
              <w:ind w:right="1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1360" w:type="dxa"/>
            <w:vAlign w:val="bottom"/>
            <w:gridSpan w:val="2"/>
          </w:tcPr>
          <w:p>
            <w:pPr>
              <w:ind w:left="60"/>
              <w:spacing w:after="0"/>
              <w:rPr>
                <w:sz w:val="20"/>
                <w:szCs w:val="20"/>
                <w:color w:val="auto"/>
              </w:rPr>
            </w:pPr>
            <w:r>
              <w:rPr>
                <w:rFonts w:ascii="Arial" w:cs="Arial" w:eastAsia="Arial" w:hAnsi="Arial"/>
                <w:sz w:val="16"/>
                <w:szCs w:val="16"/>
                <w:color w:val="auto"/>
              </w:rPr>
              <w:t>Share to Issuer</w:t>
            </w:r>
          </w:p>
        </w:tc>
        <w:tc>
          <w:tcPr>
            <w:tcW w:w="10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140" w:type="dxa"/>
            <w:vAlign w:val="bottom"/>
            <w:vMerge w:val="continue"/>
          </w:tcPr>
          <w:p>
            <w:pPr>
              <w:spacing w:after="0"/>
              <w:rPr>
                <w:sz w:val="18"/>
                <w:szCs w:val="18"/>
                <w:color w:val="auto"/>
              </w:rPr>
            </w:pPr>
          </w:p>
        </w:tc>
        <w:tc>
          <w:tcPr>
            <w:tcW w:w="9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60" w:type="dxa"/>
            <w:vAlign w:val="bottom"/>
            <w:vMerge w:val="continue"/>
          </w:tcPr>
          <w:p>
            <w:pPr>
              <w:spacing w:after="0"/>
              <w:rPr>
                <w:sz w:val="18"/>
                <w:szCs w:val="18"/>
                <w:color w:val="auto"/>
              </w:rPr>
            </w:pPr>
          </w:p>
        </w:tc>
        <w:tc>
          <w:tcPr>
            <w:tcW w:w="1040" w:type="dxa"/>
            <w:vAlign w:val="bottom"/>
            <w:vMerge w:val="continue"/>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60" w:type="dxa"/>
            <w:vAlign w:val="bottom"/>
            <w:vMerge w:val="continue"/>
          </w:tcPr>
          <w:p>
            <w:pPr>
              <w:spacing w:after="0"/>
              <w:rPr>
                <w:sz w:val="18"/>
                <w:szCs w:val="18"/>
                <w:color w:val="auto"/>
              </w:rPr>
            </w:pPr>
          </w:p>
        </w:tc>
        <w:tc>
          <w:tcPr>
            <w:tcW w:w="1060" w:type="dxa"/>
            <w:vAlign w:val="bottom"/>
            <w:vMerge w:val="continue"/>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60" w:type="dxa"/>
            <w:vAlign w:val="bottom"/>
            <w:vMerge w:val="continue"/>
          </w:tcPr>
          <w:p>
            <w:pPr>
              <w:spacing w:after="0"/>
              <w:rPr>
                <w:sz w:val="18"/>
                <w:szCs w:val="18"/>
                <w:color w:val="auto"/>
              </w:rPr>
            </w:pPr>
          </w:p>
        </w:tc>
        <w:tc>
          <w:tcPr>
            <w:tcW w:w="1060" w:type="dxa"/>
            <w:vAlign w:val="bottom"/>
            <w:vMerge w:val="continue"/>
          </w:tcPr>
          <w:p>
            <w:pPr>
              <w:spacing w:after="0"/>
              <w:rPr>
                <w:sz w:val="18"/>
                <w:szCs w:val="18"/>
                <w:color w:val="auto"/>
              </w:rPr>
            </w:pPr>
          </w:p>
        </w:tc>
        <w:tc>
          <w:tcPr>
            <w:tcW w:w="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1360" w:type="dxa"/>
            <w:vAlign w:val="bottom"/>
            <w:gridSpan w:val="2"/>
            <w:shd w:val="clear" w:color="auto" w:fill="CCEEFF"/>
          </w:tcPr>
          <w:p>
            <w:pPr>
              <w:ind w:left="60"/>
              <w:spacing w:after="0" w:line="169" w:lineRule="exact"/>
              <w:rPr>
                <w:sz w:val="20"/>
                <w:szCs w:val="20"/>
                <w:color w:val="auto"/>
              </w:rPr>
            </w:pPr>
            <w:r>
              <w:rPr>
                <w:rFonts w:ascii="Arial" w:cs="Arial" w:eastAsia="Arial" w:hAnsi="Arial"/>
                <w:sz w:val="16"/>
                <w:szCs w:val="16"/>
                <w:b w:val="1"/>
                <w:bCs w:val="1"/>
                <w:i w:val="1"/>
                <w:iCs w:val="1"/>
                <w:color w:val="auto"/>
              </w:rPr>
              <w:t>Decrease to Net</w:t>
            </w: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1360" w:type="dxa"/>
            <w:vAlign w:val="bottom"/>
            <w:gridSpan w:val="2"/>
            <w:shd w:val="clear" w:color="auto" w:fill="CCEEFF"/>
          </w:tcPr>
          <w:p>
            <w:pPr>
              <w:ind w:left="60"/>
              <w:spacing w:after="0"/>
              <w:rPr>
                <w:sz w:val="20"/>
                <w:szCs w:val="20"/>
                <w:color w:val="auto"/>
              </w:rPr>
            </w:pPr>
            <w:r>
              <w:rPr>
                <w:rFonts w:ascii="Arial" w:cs="Arial" w:eastAsia="Arial" w:hAnsi="Arial"/>
                <w:sz w:val="16"/>
                <w:szCs w:val="16"/>
                <w:b w:val="1"/>
                <w:bCs w:val="1"/>
                <w:i w:val="1"/>
                <w:iCs w:val="1"/>
                <w:color w:val="auto"/>
              </w:rPr>
              <w:t>Asset Value</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1360" w:type="dxa"/>
            <w:vAlign w:val="bottom"/>
            <w:gridSpan w:val="2"/>
          </w:tcPr>
          <w:p>
            <w:pPr>
              <w:ind w:left="60"/>
              <w:spacing w:after="0" w:line="166" w:lineRule="exact"/>
              <w:rPr>
                <w:sz w:val="20"/>
                <w:szCs w:val="20"/>
                <w:color w:val="auto"/>
              </w:rPr>
            </w:pPr>
            <w:r>
              <w:rPr>
                <w:rFonts w:ascii="Arial" w:cs="Arial" w:eastAsia="Arial" w:hAnsi="Arial"/>
                <w:sz w:val="16"/>
                <w:szCs w:val="16"/>
                <w:color w:val="auto"/>
              </w:rPr>
              <w:t>Total Shares</w:t>
            </w:r>
          </w:p>
        </w:tc>
        <w:tc>
          <w:tcPr>
            <w:tcW w:w="100" w:type="dxa"/>
            <w:vAlign w:val="bottom"/>
          </w:tcPr>
          <w:p>
            <w:pPr>
              <w:spacing w:after="0"/>
              <w:rPr>
                <w:sz w:val="14"/>
                <w:szCs w:val="14"/>
                <w:color w:val="auto"/>
              </w:rPr>
            </w:pPr>
          </w:p>
        </w:tc>
        <w:tc>
          <w:tcPr>
            <w:tcW w:w="1000" w:type="dxa"/>
            <w:vAlign w:val="bottom"/>
            <w:vMerge w:val="restart"/>
          </w:tcPr>
          <w:p>
            <w:pPr>
              <w:jc w:val="right"/>
              <w:ind w:right="99"/>
              <w:spacing w:after="0"/>
              <w:rPr>
                <w:sz w:val="20"/>
                <w:szCs w:val="20"/>
                <w:color w:val="auto"/>
              </w:rPr>
            </w:pPr>
            <w:r>
              <w:rPr>
                <w:rFonts w:ascii="Arial" w:cs="Arial" w:eastAsia="Arial" w:hAnsi="Arial"/>
                <w:sz w:val="16"/>
                <w:szCs w:val="16"/>
                <w:color w:val="auto"/>
                <w:w w:val="99"/>
              </w:rPr>
              <w:t>22,530,000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vMerge w:val="restart"/>
          </w:tcPr>
          <w:p>
            <w:pPr>
              <w:jc w:val="right"/>
              <w:ind w:right="119"/>
              <w:spacing w:after="0"/>
              <w:rPr>
                <w:sz w:val="20"/>
                <w:szCs w:val="20"/>
                <w:color w:val="auto"/>
              </w:rPr>
            </w:pPr>
            <w:r>
              <w:rPr>
                <w:rFonts w:ascii="Arial" w:cs="Arial" w:eastAsia="Arial" w:hAnsi="Arial"/>
                <w:sz w:val="16"/>
                <w:szCs w:val="16"/>
                <w:color w:val="auto"/>
                <w:w w:val="94"/>
              </w:rPr>
              <w:t>23,656,500</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5.00 %</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vMerge w:val="restart"/>
          </w:tcPr>
          <w:p>
            <w:pPr>
              <w:jc w:val="right"/>
              <w:ind w:right="179"/>
              <w:spacing w:after="0"/>
              <w:rPr>
                <w:sz w:val="20"/>
                <w:szCs w:val="20"/>
                <w:color w:val="auto"/>
              </w:rPr>
            </w:pPr>
            <w:r>
              <w:rPr>
                <w:rFonts w:ascii="Arial" w:cs="Arial" w:eastAsia="Arial" w:hAnsi="Arial"/>
                <w:sz w:val="16"/>
                <w:szCs w:val="16"/>
                <w:color w:val="auto"/>
                <w:w w:val="94"/>
              </w:rPr>
              <w:t>24,783,000</w:t>
            </w: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10.00 %</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vMerge w:val="restart"/>
          </w:tcPr>
          <w:p>
            <w:pPr>
              <w:jc w:val="right"/>
              <w:ind w:right="199"/>
              <w:spacing w:after="0"/>
              <w:rPr>
                <w:sz w:val="20"/>
                <w:szCs w:val="20"/>
                <w:color w:val="auto"/>
              </w:rPr>
            </w:pPr>
            <w:r>
              <w:rPr>
                <w:rFonts w:ascii="Arial" w:cs="Arial" w:eastAsia="Arial" w:hAnsi="Arial"/>
                <w:sz w:val="16"/>
                <w:szCs w:val="16"/>
                <w:color w:val="auto"/>
                <w:w w:val="94"/>
              </w:rPr>
              <w:t>27,036,000</w:t>
            </w: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20.00 %</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vMerge w:val="restart"/>
          </w:tcPr>
          <w:p>
            <w:pPr>
              <w:jc w:val="right"/>
              <w:ind w:right="199"/>
              <w:spacing w:after="0"/>
              <w:rPr>
                <w:sz w:val="20"/>
                <w:szCs w:val="20"/>
                <w:color w:val="auto"/>
              </w:rPr>
            </w:pPr>
            <w:r>
              <w:rPr>
                <w:rFonts w:ascii="Arial" w:cs="Arial" w:eastAsia="Arial" w:hAnsi="Arial"/>
                <w:sz w:val="16"/>
                <w:szCs w:val="16"/>
                <w:color w:val="auto"/>
                <w:w w:val="94"/>
              </w:rPr>
              <w:t>27,036,000</w:t>
            </w: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20.00 %</w:t>
            </w:r>
          </w:p>
        </w:tc>
        <w:tc>
          <w:tcPr>
            <w:tcW w:w="0" w:type="dxa"/>
            <w:vAlign w:val="bottom"/>
          </w:tcPr>
          <w:p>
            <w:pPr>
              <w:spacing w:after="0"/>
              <w:rPr>
                <w:sz w:val="1"/>
                <w:szCs w:val="1"/>
                <w:color w:val="auto"/>
              </w:rPr>
            </w:pPr>
          </w:p>
        </w:tc>
      </w:tr>
      <w:tr>
        <w:trPr>
          <w:trHeight w:val="209"/>
        </w:trPr>
        <w:tc>
          <w:tcPr>
            <w:tcW w:w="1360" w:type="dxa"/>
            <w:vAlign w:val="bottom"/>
            <w:gridSpan w:val="2"/>
          </w:tcPr>
          <w:p>
            <w:pPr>
              <w:ind w:left="60"/>
              <w:spacing w:after="0"/>
              <w:rPr>
                <w:sz w:val="20"/>
                <w:szCs w:val="20"/>
                <w:color w:val="auto"/>
              </w:rPr>
            </w:pPr>
            <w:r>
              <w:rPr>
                <w:rFonts w:ascii="Arial" w:cs="Arial" w:eastAsia="Arial" w:hAnsi="Arial"/>
                <w:sz w:val="16"/>
                <w:szCs w:val="16"/>
                <w:color w:val="auto"/>
              </w:rPr>
              <w:t>Outstanding</w:t>
            </w:r>
          </w:p>
        </w:tc>
        <w:tc>
          <w:tcPr>
            <w:tcW w:w="10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8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9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1360" w:type="dxa"/>
            <w:vAlign w:val="bottom"/>
            <w:gridSpan w:val="2"/>
            <w:shd w:val="clear" w:color="auto" w:fill="CCEEFF"/>
          </w:tcPr>
          <w:p>
            <w:pPr>
              <w:ind w:left="60"/>
              <w:spacing w:after="0" w:line="169" w:lineRule="exact"/>
              <w:rPr>
                <w:sz w:val="20"/>
                <w:szCs w:val="20"/>
                <w:color w:val="auto"/>
              </w:rPr>
            </w:pPr>
            <w:r>
              <w:rPr>
                <w:rFonts w:ascii="Arial" w:cs="Arial" w:eastAsia="Arial" w:hAnsi="Arial"/>
                <w:sz w:val="16"/>
                <w:szCs w:val="16"/>
                <w:color w:val="auto"/>
              </w:rPr>
              <w:t>Net Asset Value</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color w:val="auto"/>
              </w:rPr>
              <w:t>16.28</w:t>
            </w:r>
          </w:p>
        </w:tc>
        <w:tc>
          <w:tcPr>
            <w:tcW w:w="100" w:type="dxa"/>
            <w:vAlign w:val="bottom"/>
            <w:shd w:val="clear" w:color="auto" w:fill="CCEEFF"/>
          </w:tcPr>
          <w:p>
            <w:pPr>
              <w:spacing w:after="0"/>
              <w:rPr>
                <w:sz w:val="14"/>
                <w:szCs w:val="14"/>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color w:val="auto"/>
              </w:rPr>
              <w:t>16.24</w:t>
            </w: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center"/>
              <w:ind w:left="139"/>
              <w:spacing w:after="0"/>
              <w:rPr>
                <w:sz w:val="20"/>
                <w:szCs w:val="20"/>
                <w:color w:val="auto"/>
              </w:rPr>
            </w:pPr>
            <w:r>
              <w:rPr>
                <w:rFonts w:ascii="Arial" w:cs="Arial" w:eastAsia="Arial" w:hAnsi="Arial"/>
                <w:sz w:val="16"/>
                <w:szCs w:val="16"/>
                <w:color w:val="auto"/>
                <w:w w:val="96"/>
              </w:rPr>
              <w:t>(0.22)%</w:t>
            </w:r>
          </w:p>
        </w:tc>
        <w:tc>
          <w:tcPr>
            <w:tcW w:w="80" w:type="dxa"/>
            <w:vAlign w:val="bottom"/>
            <w:shd w:val="clear" w:color="auto" w:fill="CCEEFF"/>
          </w:tcPr>
          <w:p>
            <w:pPr>
              <w:spacing w:after="0"/>
              <w:rPr>
                <w:sz w:val="14"/>
                <w:szCs w:val="14"/>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vMerge w:val="restart"/>
            <w:shd w:val="clear" w:color="auto" w:fill="CCEEFF"/>
          </w:tcPr>
          <w:p>
            <w:pPr>
              <w:jc w:val="right"/>
              <w:ind w:right="199"/>
              <w:spacing w:after="0"/>
              <w:rPr>
                <w:sz w:val="20"/>
                <w:szCs w:val="20"/>
                <w:color w:val="auto"/>
              </w:rPr>
            </w:pPr>
            <w:r>
              <w:rPr>
                <w:rFonts w:ascii="Arial" w:cs="Arial" w:eastAsia="Arial" w:hAnsi="Arial"/>
                <w:sz w:val="16"/>
                <w:szCs w:val="16"/>
                <w:color w:val="auto"/>
              </w:rPr>
              <w:t>16.13</w:t>
            </w:r>
          </w:p>
        </w:tc>
        <w:tc>
          <w:tcPr>
            <w:tcW w:w="880" w:type="dxa"/>
            <w:vAlign w:val="bottom"/>
            <w:vMerge w:val="restart"/>
            <w:shd w:val="clear" w:color="auto" w:fill="CCEEFF"/>
          </w:tcPr>
          <w:p>
            <w:pPr>
              <w:jc w:val="center"/>
              <w:ind w:left="219"/>
              <w:spacing w:after="0"/>
              <w:rPr>
                <w:sz w:val="20"/>
                <w:szCs w:val="20"/>
                <w:color w:val="auto"/>
              </w:rPr>
            </w:pPr>
            <w:r>
              <w:rPr>
                <w:rFonts w:ascii="Arial" w:cs="Arial" w:eastAsia="Arial" w:hAnsi="Arial"/>
                <w:sz w:val="16"/>
                <w:szCs w:val="16"/>
                <w:color w:val="auto"/>
                <w:w w:val="96"/>
              </w:rPr>
              <w:t>(0.89)%</w:t>
            </w:r>
          </w:p>
        </w:tc>
        <w:tc>
          <w:tcPr>
            <w:tcW w:w="80" w:type="dxa"/>
            <w:vAlign w:val="bottom"/>
            <w:shd w:val="clear" w:color="auto" w:fill="CCEEFF"/>
          </w:tcPr>
          <w:p>
            <w:pPr>
              <w:spacing w:after="0"/>
              <w:rPr>
                <w:sz w:val="14"/>
                <w:szCs w:val="14"/>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vMerge w:val="restart"/>
            <w:shd w:val="clear" w:color="auto" w:fill="CCEEFF"/>
          </w:tcPr>
          <w:p>
            <w:pPr>
              <w:jc w:val="right"/>
              <w:ind w:right="199"/>
              <w:spacing w:after="0"/>
              <w:rPr>
                <w:sz w:val="20"/>
                <w:szCs w:val="20"/>
                <w:color w:val="auto"/>
              </w:rPr>
            </w:pPr>
            <w:r>
              <w:rPr>
                <w:rFonts w:ascii="Arial" w:cs="Arial" w:eastAsia="Arial" w:hAnsi="Arial"/>
                <w:sz w:val="16"/>
                <w:szCs w:val="16"/>
                <w:color w:val="auto"/>
              </w:rPr>
              <w:t>15.74</w:t>
            </w:r>
          </w:p>
        </w:tc>
        <w:tc>
          <w:tcPr>
            <w:tcW w:w="900" w:type="dxa"/>
            <w:vAlign w:val="bottom"/>
            <w:vMerge w:val="restart"/>
            <w:shd w:val="clear" w:color="auto" w:fill="CCEEFF"/>
          </w:tcPr>
          <w:p>
            <w:pPr>
              <w:jc w:val="center"/>
              <w:ind w:left="259"/>
              <w:spacing w:after="0"/>
              <w:rPr>
                <w:sz w:val="20"/>
                <w:szCs w:val="20"/>
                <w:color w:val="auto"/>
              </w:rPr>
            </w:pPr>
            <w:r>
              <w:rPr>
                <w:rFonts w:ascii="Arial" w:cs="Arial" w:eastAsia="Arial" w:hAnsi="Arial"/>
                <w:sz w:val="16"/>
                <w:szCs w:val="16"/>
                <w:color w:val="auto"/>
                <w:w w:val="92"/>
              </w:rPr>
              <w:t>(3.32)%</w:t>
            </w:r>
          </w:p>
        </w:tc>
        <w:tc>
          <w:tcPr>
            <w:tcW w:w="100" w:type="dxa"/>
            <w:vAlign w:val="bottom"/>
            <w:shd w:val="clear" w:color="auto" w:fill="CCEEFF"/>
          </w:tcPr>
          <w:p>
            <w:pPr>
              <w:spacing w:after="0"/>
              <w:rPr>
                <w:sz w:val="14"/>
                <w:szCs w:val="14"/>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vMerge w:val="restart"/>
            <w:shd w:val="clear" w:color="auto" w:fill="CCEEFF"/>
          </w:tcPr>
          <w:p>
            <w:pPr>
              <w:jc w:val="right"/>
              <w:ind w:right="199"/>
              <w:spacing w:after="0"/>
              <w:rPr>
                <w:sz w:val="20"/>
                <w:szCs w:val="20"/>
                <w:color w:val="auto"/>
              </w:rPr>
            </w:pPr>
            <w:r>
              <w:rPr>
                <w:rFonts w:ascii="Arial" w:cs="Arial" w:eastAsia="Arial" w:hAnsi="Arial"/>
                <w:sz w:val="16"/>
                <w:szCs w:val="16"/>
                <w:color w:val="auto"/>
              </w:rPr>
              <w:t>13.57</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(16.63)%</w:t>
            </w:r>
          </w:p>
        </w:tc>
        <w:tc>
          <w:tcPr>
            <w:tcW w:w="0" w:type="dxa"/>
            <w:vAlign w:val="bottom"/>
          </w:tcPr>
          <w:p>
            <w:pPr>
              <w:spacing w:after="0"/>
              <w:rPr>
                <w:sz w:val="1"/>
                <w:szCs w:val="1"/>
                <w:color w:val="auto"/>
              </w:rPr>
            </w:pPr>
          </w:p>
        </w:tc>
      </w:tr>
      <w:tr>
        <w:trPr>
          <w:trHeight w:val="212"/>
        </w:trPr>
        <w:tc>
          <w:tcPr>
            <w:tcW w:w="136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rPr>
              <w:t>per Share</w:t>
            </w:r>
          </w:p>
        </w:tc>
        <w:tc>
          <w:tcPr>
            <w:tcW w:w="100" w:type="dxa"/>
            <w:vAlign w:val="bottom"/>
            <w:vMerge w:val="continue"/>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1360" w:type="dxa"/>
            <w:vAlign w:val="bottom"/>
            <w:gridSpan w:val="2"/>
          </w:tcPr>
          <w:p>
            <w:pPr>
              <w:ind w:left="60"/>
              <w:spacing w:after="0" w:line="166" w:lineRule="exact"/>
              <w:rPr>
                <w:sz w:val="20"/>
                <w:szCs w:val="20"/>
                <w:color w:val="auto"/>
              </w:rPr>
            </w:pPr>
            <w:r>
              <w:rPr>
                <w:rFonts w:ascii="Arial" w:cs="Arial" w:eastAsia="Arial" w:hAnsi="Arial"/>
                <w:sz w:val="16"/>
                <w:szCs w:val="16"/>
                <w:b w:val="1"/>
                <w:bCs w:val="1"/>
                <w:i w:val="1"/>
                <w:iCs w:val="1"/>
                <w:color w:val="auto"/>
              </w:rPr>
              <w:t>Dilution to Non-</w:t>
            </w: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60" w:type="dxa"/>
            <w:vAlign w:val="bottom"/>
            <w:gridSpan w:val="2"/>
          </w:tcPr>
          <w:p>
            <w:pPr>
              <w:ind w:left="60"/>
              <w:spacing w:after="0" w:line="162" w:lineRule="exact"/>
              <w:rPr>
                <w:sz w:val="20"/>
                <w:szCs w:val="20"/>
                <w:color w:val="auto"/>
              </w:rPr>
            </w:pPr>
            <w:r>
              <w:rPr>
                <w:rFonts w:ascii="Arial" w:cs="Arial" w:eastAsia="Arial" w:hAnsi="Arial"/>
                <w:sz w:val="16"/>
                <w:szCs w:val="16"/>
                <w:b w:val="1"/>
                <w:bCs w:val="1"/>
                <w:i w:val="1"/>
                <w:iCs w:val="1"/>
                <w:color w:val="auto"/>
              </w:rPr>
              <w:t>participating</w:t>
            </w: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1360" w:type="dxa"/>
            <w:vAlign w:val="bottom"/>
            <w:gridSpan w:val="2"/>
          </w:tcPr>
          <w:p>
            <w:pPr>
              <w:ind w:left="60"/>
              <w:spacing w:after="0"/>
              <w:rPr>
                <w:sz w:val="20"/>
                <w:szCs w:val="20"/>
                <w:color w:val="auto"/>
              </w:rPr>
            </w:pPr>
            <w:r>
              <w:rPr>
                <w:rFonts w:ascii="Arial" w:cs="Arial" w:eastAsia="Arial" w:hAnsi="Arial"/>
                <w:sz w:val="16"/>
                <w:szCs w:val="16"/>
                <w:b w:val="1"/>
                <w:bCs w:val="1"/>
                <w:i w:val="1"/>
                <w:iCs w:val="1"/>
                <w:color w:val="auto"/>
              </w:rPr>
              <w:t>Stockholder</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1360" w:type="dxa"/>
            <w:vAlign w:val="bottom"/>
            <w:gridSpan w:val="2"/>
            <w:shd w:val="clear" w:color="auto" w:fill="CCEEFF"/>
          </w:tcPr>
          <w:p>
            <w:pPr>
              <w:ind w:left="60"/>
              <w:spacing w:after="0" w:line="169" w:lineRule="exact"/>
              <w:rPr>
                <w:sz w:val="20"/>
                <w:szCs w:val="20"/>
                <w:color w:val="auto"/>
              </w:rPr>
            </w:pPr>
            <w:r>
              <w:rPr>
                <w:rFonts w:ascii="Arial" w:cs="Arial" w:eastAsia="Arial" w:hAnsi="Arial"/>
                <w:sz w:val="16"/>
                <w:szCs w:val="16"/>
                <w:color w:val="auto"/>
              </w:rPr>
              <w:t>Shares Held by</w:t>
            </w:r>
          </w:p>
        </w:tc>
        <w:tc>
          <w:tcPr>
            <w:tcW w:w="10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225,300</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225,300</w:t>
            </w: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225,300</w:t>
            </w:r>
          </w:p>
        </w:tc>
        <w:tc>
          <w:tcPr>
            <w:tcW w:w="9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225,300</w:t>
            </w:r>
          </w:p>
        </w:tc>
        <w:tc>
          <w:tcPr>
            <w:tcW w:w="10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225,300</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136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rPr>
              <w:t>Stockholder A</w:t>
            </w:r>
          </w:p>
        </w:tc>
        <w:tc>
          <w:tcPr>
            <w:tcW w:w="100" w:type="dxa"/>
            <w:vAlign w:val="bottom"/>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1360" w:type="dxa"/>
            <w:vAlign w:val="bottom"/>
            <w:gridSpan w:val="2"/>
          </w:tcPr>
          <w:p>
            <w:pPr>
              <w:ind w:left="60"/>
              <w:spacing w:after="0" w:line="166" w:lineRule="exact"/>
              <w:rPr>
                <w:sz w:val="20"/>
                <w:szCs w:val="20"/>
                <w:color w:val="auto"/>
              </w:rPr>
            </w:pPr>
            <w:r>
              <w:rPr>
                <w:rFonts w:ascii="Arial" w:cs="Arial" w:eastAsia="Arial" w:hAnsi="Arial"/>
                <w:sz w:val="16"/>
                <w:szCs w:val="16"/>
                <w:color w:val="auto"/>
              </w:rPr>
              <w:t>Percentage Held</w:t>
            </w:r>
          </w:p>
        </w:tc>
        <w:tc>
          <w:tcPr>
            <w:tcW w:w="10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1.00 %</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0.95 %</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vMerge w:val="restart"/>
          </w:tcPr>
          <w:p>
            <w:pPr>
              <w:jc w:val="center"/>
              <w:ind w:left="139"/>
              <w:spacing w:after="0"/>
              <w:rPr>
                <w:sz w:val="20"/>
                <w:szCs w:val="20"/>
                <w:color w:val="auto"/>
              </w:rPr>
            </w:pPr>
            <w:r>
              <w:rPr>
                <w:rFonts w:ascii="Arial" w:cs="Arial" w:eastAsia="Arial" w:hAnsi="Arial"/>
                <w:sz w:val="16"/>
                <w:szCs w:val="16"/>
                <w:color w:val="auto"/>
                <w:w w:val="96"/>
              </w:rPr>
              <w:t>(4.76)%</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vMerge w:val="restart"/>
          </w:tcPr>
          <w:p>
            <w:pPr>
              <w:jc w:val="right"/>
              <w:ind w:right="19"/>
              <w:spacing w:after="0"/>
              <w:rPr>
                <w:sz w:val="20"/>
                <w:szCs w:val="20"/>
                <w:color w:val="auto"/>
              </w:rPr>
            </w:pPr>
            <w:r>
              <w:rPr>
                <w:rFonts w:ascii="Arial" w:cs="Arial" w:eastAsia="Arial" w:hAnsi="Arial"/>
                <w:sz w:val="16"/>
                <w:szCs w:val="16"/>
                <w:color w:val="auto"/>
              </w:rPr>
              <w:t>0.91 %</w:t>
            </w:r>
          </w:p>
        </w:tc>
        <w:tc>
          <w:tcPr>
            <w:tcW w:w="880" w:type="dxa"/>
            <w:vAlign w:val="bottom"/>
            <w:vMerge w:val="restart"/>
          </w:tcPr>
          <w:p>
            <w:pPr>
              <w:jc w:val="center"/>
              <w:ind w:left="219"/>
              <w:spacing w:after="0"/>
              <w:rPr>
                <w:sz w:val="20"/>
                <w:szCs w:val="20"/>
                <w:color w:val="auto"/>
              </w:rPr>
            </w:pPr>
            <w:r>
              <w:rPr>
                <w:rFonts w:ascii="Arial" w:cs="Arial" w:eastAsia="Arial" w:hAnsi="Arial"/>
                <w:sz w:val="16"/>
                <w:szCs w:val="16"/>
                <w:color w:val="auto"/>
                <w:w w:val="96"/>
              </w:rPr>
              <w:t>(9.09)%</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vMerge w:val="restart"/>
          </w:tcPr>
          <w:p>
            <w:pPr>
              <w:jc w:val="right"/>
              <w:ind w:right="19"/>
              <w:spacing w:after="0"/>
              <w:rPr>
                <w:sz w:val="20"/>
                <w:szCs w:val="20"/>
                <w:color w:val="auto"/>
              </w:rPr>
            </w:pPr>
            <w:r>
              <w:rPr>
                <w:rFonts w:ascii="Arial" w:cs="Arial" w:eastAsia="Arial" w:hAnsi="Arial"/>
                <w:sz w:val="16"/>
                <w:szCs w:val="16"/>
                <w:color w:val="auto"/>
              </w:rPr>
              <w:t>0.83 %</w:t>
            </w: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(16.67)%</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vMerge w:val="restart"/>
          </w:tcPr>
          <w:p>
            <w:pPr>
              <w:jc w:val="right"/>
              <w:ind w:right="19"/>
              <w:spacing w:after="0"/>
              <w:rPr>
                <w:sz w:val="20"/>
                <w:szCs w:val="20"/>
                <w:color w:val="auto"/>
              </w:rPr>
            </w:pPr>
            <w:r>
              <w:rPr>
                <w:rFonts w:ascii="Arial" w:cs="Arial" w:eastAsia="Arial" w:hAnsi="Arial"/>
                <w:sz w:val="16"/>
                <w:szCs w:val="16"/>
                <w:color w:val="auto"/>
              </w:rPr>
              <w:t>0.83 %</w:t>
            </w: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(16.67)%</w:t>
            </w:r>
          </w:p>
        </w:tc>
        <w:tc>
          <w:tcPr>
            <w:tcW w:w="0" w:type="dxa"/>
            <w:vAlign w:val="bottom"/>
          </w:tcPr>
          <w:p>
            <w:pPr>
              <w:spacing w:after="0"/>
              <w:rPr>
                <w:sz w:val="1"/>
                <w:szCs w:val="1"/>
                <w:color w:val="auto"/>
              </w:rPr>
            </w:pPr>
          </w:p>
        </w:tc>
      </w:tr>
      <w:tr>
        <w:trPr>
          <w:trHeight w:val="209"/>
        </w:trPr>
        <w:tc>
          <w:tcPr>
            <w:tcW w:w="1360" w:type="dxa"/>
            <w:vAlign w:val="bottom"/>
            <w:gridSpan w:val="2"/>
          </w:tcPr>
          <w:p>
            <w:pPr>
              <w:ind w:left="60"/>
              <w:spacing w:after="0"/>
              <w:rPr>
                <w:sz w:val="20"/>
                <w:szCs w:val="20"/>
                <w:color w:val="auto"/>
              </w:rPr>
            </w:pPr>
            <w:r>
              <w:rPr>
                <w:rFonts w:ascii="Arial" w:cs="Arial" w:eastAsia="Arial" w:hAnsi="Arial"/>
                <w:sz w:val="16"/>
                <w:szCs w:val="16"/>
                <w:color w:val="auto"/>
              </w:rPr>
              <w:t>by Stockholder A</w:t>
            </w:r>
          </w:p>
        </w:tc>
        <w:tc>
          <w:tcPr>
            <w:tcW w:w="10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8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9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1360" w:type="dxa"/>
            <w:vAlign w:val="bottom"/>
            <w:gridSpan w:val="2"/>
            <w:shd w:val="clear" w:color="auto" w:fill="CCEEFF"/>
          </w:tcPr>
          <w:p>
            <w:pPr>
              <w:ind w:left="60"/>
              <w:spacing w:after="0" w:line="169" w:lineRule="exact"/>
              <w:rPr>
                <w:sz w:val="20"/>
                <w:szCs w:val="20"/>
                <w:color w:val="auto"/>
              </w:rPr>
            </w:pPr>
            <w:r>
              <w:rPr>
                <w:rFonts w:ascii="Arial" w:cs="Arial" w:eastAsia="Arial" w:hAnsi="Arial"/>
                <w:sz w:val="16"/>
                <w:szCs w:val="16"/>
                <w:color w:val="auto"/>
              </w:rPr>
              <w:t>Total Net Asset</w:t>
            </w: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60" w:type="dxa"/>
            <w:vAlign w:val="bottom"/>
            <w:gridSpan w:val="2"/>
            <w:shd w:val="clear" w:color="auto" w:fill="CCEEFF"/>
          </w:tcPr>
          <w:p>
            <w:pPr>
              <w:ind w:left="60"/>
              <w:spacing w:after="0" w:line="162" w:lineRule="exact"/>
              <w:rPr>
                <w:sz w:val="20"/>
                <w:szCs w:val="20"/>
                <w:color w:val="auto"/>
              </w:rPr>
            </w:pPr>
            <w:r>
              <w:rPr>
                <w:rFonts w:ascii="Arial" w:cs="Arial" w:eastAsia="Arial" w:hAnsi="Arial"/>
                <w:sz w:val="16"/>
                <w:szCs w:val="16"/>
                <w:color w:val="auto"/>
              </w:rPr>
              <w:t>Value Held by</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color w:val="auto"/>
              </w:rPr>
              <w:t>3,667,884</w:t>
            </w:r>
          </w:p>
        </w:tc>
        <w:tc>
          <w:tcPr>
            <w:tcW w:w="100" w:type="dxa"/>
            <w:vAlign w:val="bottom"/>
            <w:shd w:val="clear" w:color="auto" w:fill="CCEEFF"/>
          </w:tcPr>
          <w:p>
            <w:pPr>
              <w:spacing w:after="0"/>
              <w:rPr>
                <w:sz w:val="14"/>
                <w:szCs w:val="14"/>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color w:val="auto"/>
              </w:rPr>
              <w:t>3,659,747</w:t>
            </w: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center"/>
              <w:ind w:left="139"/>
              <w:spacing w:after="0"/>
              <w:rPr>
                <w:sz w:val="20"/>
                <w:szCs w:val="20"/>
                <w:color w:val="auto"/>
              </w:rPr>
            </w:pPr>
            <w:r>
              <w:rPr>
                <w:rFonts w:ascii="Arial" w:cs="Arial" w:eastAsia="Arial" w:hAnsi="Arial"/>
                <w:sz w:val="16"/>
                <w:szCs w:val="16"/>
                <w:color w:val="auto"/>
                <w:w w:val="96"/>
              </w:rPr>
              <w:t>(0.22)%</w:t>
            </w:r>
          </w:p>
        </w:tc>
        <w:tc>
          <w:tcPr>
            <w:tcW w:w="80" w:type="dxa"/>
            <w:vAlign w:val="bottom"/>
            <w:shd w:val="clear" w:color="auto" w:fill="CCEEFF"/>
          </w:tcPr>
          <w:p>
            <w:pPr>
              <w:spacing w:after="0"/>
              <w:rPr>
                <w:sz w:val="14"/>
                <w:szCs w:val="14"/>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vMerge w:val="restart"/>
            <w:shd w:val="clear" w:color="auto" w:fill="CCEEFF"/>
          </w:tcPr>
          <w:p>
            <w:pPr>
              <w:jc w:val="right"/>
              <w:ind w:right="199"/>
              <w:spacing w:after="0"/>
              <w:rPr>
                <w:sz w:val="20"/>
                <w:szCs w:val="20"/>
                <w:color w:val="auto"/>
              </w:rPr>
            </w:pPr>
            <w:r>
              <w:rPr>
                <w:rFonts w:ascii="Arial" w:cs="Arial" w:eastAsia="Arial" w:hAnsi="Arial"/>
                <w:sz w:val="16"/>
                <w:szCs w:val="16"/>
                <w:color w:val="auto"/>
              </w:rPr>
              <w:t>3,635,109</w:t>
            </w:r>
          </w:p>
        </w:tc>
        <w:tc>
          <w:tcPr>
            <w:tcW w:w="880" w:type="dxa"/>
            <w:vAlign w:val="bottom"/>
            <w:vMerge w:val="restart"/>
            <w:shd w:val="clear" w:color="auto" w:fill="CCEEFF"/>
          </w:tcPr>
          <w:p>
            <w:pPr>
              <w:jc w:val="center"/>
              <w:ind w:left="219"/>
              <w:spacing w:after="0"/>
              <w:rPr>
                <w:sz w:val="20"/>
                <w:szCs w:val="20"/>
                <w:color w:val="auto"/>
              </w:rPr>
            </w:pPr>
            <w:r>
              <w:rPr>
                <w:rFonts w:ascii="Arial" w:cs="Arial" w:eastAsia="Arial" w:hAnsi="Arial"/>
                <w:sz w:val="16"/>
                <w:szCs w:val="16"/>
                <w:color w:val="auto"/>
                <w:w w:val="96"/>
              </w:rPr>
              <w:t>(0.89)%</w:t>
            </w:r>
          </w:p>
        </w:tc>
        <w:tc>
          <w:tcPr>
            <w:tcW w:w="80" w:type="dxa"/>
            <w:vAlign w:val="bottom"/>
            <w:shd w:val="clear" w:color="auto" w:fill="CCEEFF"/>
          </w:tcPr>
          <w:p>
            <w:pPr>
              <w:spacing w:after="0"/>
              <w:rPr>
                <w:sz w:val="14"/>
                <w:szCs w:val="14"/>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vMerge w:val="restart"/>
            <w:shd w:val="clear" w:color="auto" w:fill="CCEEFF"/>
          </w:tcPr>
          <w:p>
            <w:pPr>
              <w:jc w:val="right"/>
              <w:ind w:right="199"/>
              <w:spacing w:after="0"/>
              <w:rPr>
                <w:sz w:val="20"/>
                <w:szCs w:val="20"/>
                <w:color w:val="auto"/>
              </w:rPr>
            </w:pPr>
            <w:r>
              <w:rPr>
                <w:rFonts w:ascii="Arial" w:cs="Arial" w:eastAsia="Arial" w:hAnsi="Arial"/>
                <w:sz w:val="16"/>
                <w:szCs w:val="16"/>
                <w:color w:val="auto"/>
              </w:rPr>
              <w:t>3,546,143</w:t>
            </w:r>
          </w:p>
        </w:tc>
        <w:tc>
          <w:tcPr>
            <w:tcW w:w="900" w:type="dxa"/>
            <w:vAlign w:val="bottom"/>
            <w:vMerge w:val="restart"/>
            <w:shd w:val="clear" w:color="auto" w:fill="CCEEFF"/>
          </w:tcPr>
          <w:p>
            <w:pPr>
              <w:jc w:val="center"/>
              <w:ind w:left="259"/>
              <w:spacing w:after="0"/>
              <w:rPr>
                <w:sz w:val="20"/>
                <w:szCs w:val="20"/>
                <w:color w:val="auto"/>
              </w:rPr>
            </w:pPr>
            <w:r>
              <w:rPr>
                <w:rFonts w:ascii="Arial" w:cs="Arial" w:eastAsia="Arial" w:hAnsi="Arial"/>
                <w:sz w:val="16"/>
                <w:szCs w:val="16"/>
                <w:color w:val="auto"/>
                <w:w w:val="92"/>
              </w:rPr>
              <w:t>(3.32)%</w:t>
            </w:r>
          </w:p>
        </w:tc>
        <w:tc>
          <w:tcPr>
            <w:tcW w:w="100" w:type="dxa"/>
            <w:vAlign w:val="bottom"/>
            <w:shd w:val="clear" w:color="auto" w:fill="CCEEFF"/>
          </w:tcPr>
          <w:p>
            <w:pPr>
              <w:spacing w:after="0"/>
              <w:rPr>
                <w:sz w:val="14"/>
                <w:szCs w:val="14"/>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vMerge w:val="restart"/>
            <w:shd w:val="clear" w:color="auto" w:fill="CCEEFF"/>
          </w:tcPr>
          <w:p>
            <w:pPr>
              <w:jc w:val="right"/>
              <w:ind w:right="199"/>
              <w:spacing w:after="0"/>
              <w:rPr>
                <w:sz w:val="20"/>
                <w:szCs w:val="20"/>
                <w:color w:val="auto"/>
              </w:rPr>
            </w:pPr>
            <w:r>
              <w:rPr>
                <w:rFonts w:ascii="Arial" w:cs="Arial" w:eastAsia="Arial" w:hAnsi="Arial"/>
                <w:sz w:val="16"/>
                <w:szCs w:val="16"/>
                <w:color w:val="auto"/>
              </w:rPr>
              <w:t>3,057,843</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(16.63)%</w:t>
            </w:r>
          </w:p>
        </w:tc>
        <w:tc>
          <w:tcPr>
            <w:tcW w:w="0" w:type="dxa"/>
            <w:vAlign w:val="bottom"/>
          </w:tcPr>
          <w:p>
            <w:pPr>
              <w:spacing w:after="0"/>
              <w:rPr>
                <w:sz w:val="1"/>
                <w:szCs w:val="1"/>
                <w:color w:val="auto"/>
              </w:rPr>
            </w:pPr>
          </w:p>
        </w:tc>
      </w:tr>
      <w:tr>
        <w:trPr>
          <w:trHeight w:val="212"/>
        </w:trPr>
        <w:tc>
          <w:tcPr>
            <w:tcW w:w="136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rPr>
              <w:t>Stockholder A</w:t>
            </w:r>
          </w:p>
        </w:tc>
        <w:tc>
          <w:tcPr>
            <w:tcW w:w="100" w:type="dxa"/>
            <w:vAlign w:val="bottom"/>
            <w:vMerge w:val="continue"/>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1360" w:type="dxa"/>
            <w:vAlign w:val="bottom"/>
            <w:gridSpan w:val="2"/>
          </w:tcPr>
          <w:p>
            <w:pPr>
              <w:ind w:left="60"/>
              <w:spacing w:after="0" w:line="166" w:lineRule="exact"/>
              <w:rPr>
                <w:sz w:val="20"/>
                <w:szCs w:val="20"/>
                <w:color w:val="auto"/>
              </w:rPr>
            </w:pPr>
            <w:r>
              <w:rPr>
                <w:rFonts w:ascii="Arial" w:cs="Arial" w:eastAsia="Arial" w:hAnsi="Arial"/>
                <w:sz w:val="16"/>
                <w:szCs w:val="16"/>
                <w:color w:val="auto"/>
              </w:rPr>
              <w:t>Total Investment</w:t>
            </w: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60" w:type="dxa"/>
            <w:vAlign w:val="bottom"/>
            <w:gridSpan w:val="2"/>
          </w:tcPr>
          <w:p>
            <w:pPr>
              <w:ind w:left="60"/>
              <w:spacing w:after="0" w:line="162" w:lineRule="exact"/>
              <w:rPr>
                <w:sz w:val="20"/>
                <w:szCs w:val="20"/>
                <w:color w:val="auto"/>
              </w:rPr>
            </w:pPr>
            <w:r>
              <w:rPr>
                <w:rFonts w:ascii="Arial" w:cs="Arial" w:eastAsia="Arial" w:hAnsi="Arial"/>
                <w:sz w:val="16"/>
                <w:szCs w:val="16"/>
                <w:color w:val="auto"/>
              </w:rPr>
              <w:t>by Stockholder A</w:t>
            </w: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60" w:type="dxa"/>
            <w:vAlign w:val="bottom"/>
            <w:gridSpan w:val="2"/>
          </w:tcPr>
          <w:p>
            <w:pPr>
              <w:ind w:left="60"/>
              <w:spacing w:after="0" w:line="162" w:lineRule="exact"/>
              <w:rPr>
                <w:sz w:val="20"/>
                <w:szCs w:val="20"/>
                <w:color w:val="auto"/>
              </w:rPr>
            </w:pPr>
            <w:r>
              <w:rPr>
                <w:rFonts w:ascii="Arial" w:cs="Arial" w:eastAsia="Arial" w:hAnsi="Arial"/>
                <w:sz w:val="16"/>
                <w:szCs w:val="16"/>
                <w:color w:val="auto"/>
              </w:rPr>
              <w:t>(Assumed to be</w:t>
            </w:r>
          </w:p>
        </w:tc>
        <w:tc>
          <w:tcPr>
            <w:tcW w:w="10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vMerge w:val="restart"/>
          </w:tcPr>
          <w:p>
            <w:pPr>
              <w:jc w:val="right"/>
              <w:ind w:right="119"/>
              <w:spacing w:after="0"/>
              <w:rPr>
                <w:sz w:val="20"/>
                <w:szCs w:val="20"/>
                <w:color w:val="auto"/>
              </w:rPr>
            </w:pPr>
            <w:r>
              <w:rPr>
                <w:rFonts w:ascii="Arial" w:cs="Arial" w:eastAsia="Arial" w:hAnsi="Arial"/>
                <w:sz w:val="16"/>
                <w:szCs w:val="16"/>
                <w:color w:val="auto"/>
              </w:rPr>
              <w:t>3,667,884</w:t>
            </w:r>
          </w:p>
        </w:tc>
        <w:tc>
          <w:tcPr>
            <w:tcW w:w="100" w:type="dxa"/>
            <w:vAlign w:val="bottom"/>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vMerge w:val="restart"/>
          </w:tcPr>
          <w:p>
            <w:pPr>
              <w:jc w:val="right"/>
              <w:ind w:right="119"/>
              <w:spacing w:after="0"/>
              <w:rPr>
                <w:sz w:val="20"/>
                <w:szCs w:val="20"/>
                <w:color w:val="auto"/>
              </w:rPr>
            </w:pPr>
            <w:r>
              <w:rPr>
                <w:rFonts w:ascii="Arial" w:cs="Arial" w:eastAsia="Arial" w:hAnsi="Arial"/>
                <w:sz w:val="16"/>
                <w:szCs w:val="16"/>
                <w:color w:val="auto"/>
              </w:rPr>
              <w:t>3,667,884</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80" w:type="dxa"/>
            <w:vAlign w:val="bottom"/>
            <w:gridSpan w:val="2"/>
            <w:vMerge w:val="restart"/>
          </w:tcPr>
          <w:p>
            <w:pPr>
              <w:jc w:val="center"/>
              <w:ind w:left="39"/>
              <w:spacing w:after="0"/>
              <w:rPr>
                <w:sz w:val="20"/>
                <w:szCs w:val="20"/>
                <w:color w:val="auto"/>
              </w:rPr>
            </w:pPr>
            <w:r>
              <w:rPr>
                <w:rFonts w:ascii="Arial" w:cs="Arial" w:eastAsia="Arial" w:hAnsi="Arial"/>
                <w:sz w:val="16"/>
                <w:szCs w:val="16"/>
                <w:color w:val="auto"/>
                <w:w w:val="99"/>
              </w:rPr>
              <w:t>—</w:t>
            </w:r>
          </w:p>
        </w:tc>
        <w:tc>
          <w:tcPr>
            <w:tcW w:w="16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vMerge w:val="restart"/>
          </w:tcPr>
          <w:p>
            <w:pPr>
              <w:jc w:val="right"/>
              <w:ind w:right="199"/>
              <w:spacing w:after="0"/>
              <w:rPr>
                <w:sz w:val="20"/>
                <w:szCs w:val="20"/>
                <w:color w:val="auto"/>
              </w:rPr>
            </w:pPr>
            <w:r>
              <w:rPr>
                <w:rFonts w:ascii="Arial" w:cs="Arial" w:eastAsia="Arial" w:hAnsi="Arial"/>
                <w:sz w:val="16"/>
                <w:szCs w:val="16"/>
                <w:color w:val="auto"/>
              </w:rPr>
              <w:t>3,667,884</w:t>
            </w:r>
          </w:p>
        </w:tc>
        <w:tc>
          <w:tcPr>
            <w:tcW w:w="960" w:type="dxa"/>
            <w:vAlign w:val="bottom"/>
            <w:gridSpan w:val="2"/>
            <w:vMerge w:val="restart"/>
          </w:tcPr>
          <w:p>
            <w:pPr>
              <w:jc w:val="center"/>
              <w:ind w:left="119"/>
              <w:spacing w:after="0"/>
              <w:rPr>
                <w:sz w:val="20"/>
                <w:szCs w:val="20"/>
                <w:color w:val="auto"/>
              </w:rPr>
            </w:pPr>
            <w:r>
              <w:rPr>
                <w:rFonts w:ascii="Arial" w:cs="Arial" w:eastAsia="Arial" w:hAnsi="Arial"/>
                <w:sz w:val="16"/>
                <w:szCs w:val="16"/>
                <w:color w:val="auto"/>
                <w:w w:val="99"/>
              </w:rPr>
              <w:t>—</w:t>
            </w:r>
          </w:p>
        </w:tc>
        <w:tc>
          <w:tcPr>
            <w:tcW w:w="16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vMerge w:val="restart"/>
          </w:tcPr>
          <w:p>
            <w:pPr>
              <w:jc w:val="right"/>
              <w:ind w:right="199"/>
              <w:spacing w:after="0"/>
              <w:rPr>
                <w:sz w:val="20"/>
                <w:szCs w:val="20"/>
                <w:color w:val="auto"/>
              </w:rPr>
            </w:pPr>
            <w:r>
              <w:rPr>
                <w:rFonts w:ascii="Arial" w:cs="Arial" w:eastAsia="Arial" w:hAnsi="Arial"/>
                <w:sz w:val="16"/>
                <w:szCs w:val="16"/>
                <w:color w:val="auto"/>
              </w:rPr>
              <w:t>3,667,884</w:t>
            </w:r>
          </w:p>
        </w:tc>
        <w:tc>
          <w:tcPr>
            <w:tcW w:w="1000" w:type="dxa"/>
            <w:vAlign w:val="bottom"/>
            <w:gridSpan w:val="2"/>
            <w:vMerge w:val="restart"/>
          </w:tcPr>
          <w:p>
            <w:pPr>
              <w:jc w:val="center"/>
              <w:ind w:left="159"/>
              <w:spacing w:after="0"/>
              <w:rPr>
                <w:sz w:val="20"/>
                <w:szCs w:val="20"/>
                <w:color w:val="auto"/>
              </w:rPr>
            </w:pPr>
            <w:r>
              <w:rPr>
                <w:rFonts w:ascii="Arial" w:cs="Arial" w:eastAsia="Arial" w:hAnsi="Arial"/>
                <w:sz w:val="16"/>
                <w:szCs w:val="16"/>
                <w:color w:val="auto"/>
                <w:w w:val="99"/>
              </w:rPr>
              <w:t>—</w:t>
            </w:r>
          </w:p>
        </w:tc>
        <w:tc>
          <w:tcPr>
            <w:tcW w:w="16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vMerge w:val="restart"/>
          </w:tcPr>
          <w:p>
            <w:pPr>
              <w:jc w:val="right"/>
              <w:ind w:right="199"/>
              <w:spacing w:after="0"/>
              <w:rPr>
                <w:sz w:val="20"/>
                <w:szCs w:val="20"/>
                <w:color w:val="auto"/>
              </w:rPr>
            </w:pPr>
            <w:r>
              <w:rPr>
                <w:rFonts w:ascii="Arial" w:cs="Arial" w:eastAsia="Arial" w:hAnsi="Arial"/>
                <w:sz w:val="16"/>
                <w:szCs w:val="16"/>
                <w:color w:val="auto"/>
              </w:rPr>
              <w:t>3,667,884</w:t>
            </w:r>
          </w:p>
        </w:tc>
        <w:tc>
          <w:tcPr>
            <w:tcW w:w="900" w:type="dxa"/>
            <w:vAlign w:val="bottom"/>
            <w:vMerge w:val="restart"/>
          </w:tcPr>
          <w:p>
            <w:pPr>
              <w:jc w:val="right"/>
              <w:ind w:right="1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1360" w:type="dxa"/>
            <w:vAlign w:val="bottom"/>
            <w:gridSpan w:val="2"/>
          </w:tcPr>
          <w:p>
            <w:pPr>
              <w:ind w:left="60"/>
              <w:spacing w:after="0"/>
              <w:rPr>
                <w:sz w:val="20"/>
                <w:szCs w:val="20"/>
                <w:color w:val="auto"/>
              </w:rPr>
            </w:pPr>
            <w:r>
              <w:rPr>
                <w:rFonts w:ascii="Arial" w:cs="Arial" w:eastAsia="Arial" w:hAnsi="Arial"/>
                <w:sz w:val="16"/>
                <w:szCs w:val="16"/>
                <w:color w:val="auto"/>
                <w:w w:val="99"/>
              </w:rPr>
              <w:t>$16.28 per Share)</w:t>
            </w:r>
          </w:p>
        </w:tc>
        <w:tc>
          <w:tcPr>
            <w:tcW w:w="100" w:type="dxa"/>
            <w:vAlign w:val="bottom"/>
            <w:vMerge w:val="continue"/>
          </w:tcPr>
          <w:p>
            <w:pPr>
              <w:spacing w:after="0"/>
              <w:rPr>
                <w:sz w:val="18"/>
                <w:szCs w:val="18"/>
                <w:color w:val="auto"/>
              </w:rPr>
            </w:pPr>
          </w:p>
        </w:tc>
        <w:tc>
          <w:tcPr>
            <w:tcW w:w="10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9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60" w:type="dxa"/>
            <w:vAlign w:val="bottom"/>
            <w:vMerge w:val="continue"/>
          </w:tcPr>
          <w:p>
            <w:pPr>
              <w:spacing w:after="0"/>
              <w:rPr>
                <w:sz w:val="18"/>
                <w:szCs w:val="18"/>
                <w:color w:val="auto"/>
              </w:rPr>
            </w:pPr>
          </w:p>
        </w:tc>
        <w:tc>
          <w:tcPr>
            <w:tcW w:w="1040" w:type="dxa"/>
            <w:vAlign w:val="bottom"/>
            <w:vMerge w:val="continue"/>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60" w:type="dxa"/>
            <w:vAlign w:val="bottom"/>
            <w:vMerge w:val="continue"/>
          </w:tcPr>
          <w:p>
            <w:pPr>
              <w:spacing w:after="0"/>
              <w:rPr>
                <w:sz w:val="18"/>
                <w:szCs w:val="18"/>
                <w:color w:val="auto"/>
              </w:rPr>
            </w:pPr>
          </w:p>
        </w:tc>
        <w:tc>
          <w:tcPr>
            <w:tcW w:w="1060" w:type="dxa"/>
            <w:vAlign w:val="bottom"/>
            <w:vMerge w:val="continue"/>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60" w:type="dxa"/>
            <w:vAlign w:val="bottom"/>
            <w:vMerge w:val="continue"/>
          </w:tcPr>
          <w:p>
            <w:pPr>
              <w:spacing w:after="0"/>
              <w:rPr>
                <w:sz w:val="18"/>
                <w:szCs w:val="18"/>
                <w:color w:val="auto"/>
              </w:rPr>
            </w:pPr>
          </w:p>
        </w:tc>
        <w:tc>
          <w:tcPr>
            <w:tcW w:w="1060" w:type="dxa"/>
            <w:vAlign w:val="bottom"/>
            <w:vMerge w:val="continue"/>
          </w:tcPr>
          <w:p>
            <w:pPr>
              <w:spacing w:after="0"/>
              <w:rPr>
                <w:sz w:val="18"/>
                <w:szCs w:val="18"/>
                <w:color w:val="auto"/>
              </w:rPr>
            </w:pPr>
          </w:p>
        </w:tc>
        <w:tc>
          <w:tcPr>
            <w:tcW w:w="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1360" w:type="dxa"/>
            <w:vAlign w:val="bottom"/>
            <w:gridSpan w:val="2"/>
            <w:shd w:val="clear" w:color="auto" w:fill="CCEEFF"/>
          </w:tcPr>
          <w:p>
            <w:pPr>
              <w:ind w:left="60"/>
              <w:spacing w:after="0" w:line="169" w:lineRule="exact"/>
              <w:rPr>
                <w:sz w:val="20"/>
                <w:szCs w:val="20"/>
                <w:color w:val="auto"/>
              </w:rPr>
            </w:pPr>
            <w:r>
              <w:rPr>
                <w:rFonts w:ascii="Arial" w:cs="Arial" w:eastAsia="Arial" w:hAnsi="Arial"/>
                <w:sz w:val="16"/>
                <w:szCs w:val="16"/>
                <w:color w:val="auto"/>
              </w:rPr>
              <w:t>Total Dilution to</w:t>
            </w: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60" w:type="dxa"/>
            <w:vAlign w:val="bottom"/>
            <w:gridSpan w:val="2"/>
            <w:shd w:val="clear" w:color="auto" w:fill="CCEEFF"/>
          </w:tcPr>
          <w:p>
            <w:pPr>
              <w:ind w:left="60"/>
              <w:spacing w:after="0" w:line="162" w:lineRule="exact"/>
              <w:rPr>
                <w:sz w:val="20"/>
                <w:szCs w:val="20"/>
                <w:color w:val="auto"/>
              </w:rPr>
            </w:pPr>
            <w:r>
              <w:rPr>
                <w:rFonts w:ascii="Arial" w:cs="Arial" w:eastAsia="Arial" w:hAnsi="Arial"/>
                <w:sz w:val="16"/>
                <w:szCs w:val="16"/>
                <w:color w:val="auto"/>
              </w:rPr>
              <w:t>Stockholder A</w:t>
            </w: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60" w:type="dxa"/>
            <w:vAlign w:val="bottom"/>
            <w:gridSpan w:val="2"/>
            <w:shd w:val="clear" w:color="auto" w:fill="CCEEFF"/>
          </w:tcPr>
          <w:p>
            <w:pPr>
              <w:ind w:left="60"/>
              <w:spacing w:after="0" w:line="162" w:lineRule="exact"/>
              <w:rPr>
                <w:sz w:val="20"/>
                <w:szCs w:val="20"/>
                <w:color w:val="auto"/>
              </w:rPr>
            </w:pPr>
            <w:r>
              <w:rPr>
                <w:rFonts w:ascii="Arial" w:cs="Arial" w:eastAsia="Arial" w:hAnsi="Arial"/>
                <w:sz w:val="16"/>
                <w:szCs w:val="16"/>
                <w:color w:val="auto"/>
              </w:rPr>
              <w:t>(Total Net Asset</w:t>
            </w: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60" w:type="dxa"/>
            <w:vAlign w:val="bottom"/>
            <w:gridSpan w:val="2"/>
            <w:shd w:val="clear" w:color="auto" w:fill="CCEEFF"/>
          </w:tcPr>
          <w:p>
            <w:pPr>
              <w:ind w:left="60"/>
              <w:spacing w:after="0" w:line="162" w:lineRule="exact"/>
              <w:rPr>
                <w:sz w:val="20"/>
                <w:szCs w:val="20"/>
                <w:color w:val="auto"/>
              </w:rPr>
            </w:pPr>
            <w:r>
              <w:rPr>
                <w:rFonts w:ascii="Arial" w:cs="Arial" w:eastAsia="Arial" w:hAnsi="Arial"/>
                <w:sz w:val="16"/>
                <w:szCs w:val="16"/>
                <w:color w:val="auto"/>
              </w:rPr>
              <w:t>Value Less Total</w:t>
            </w:r>
          </w:p>
        </w:tc>
        <w:tc>
          <w:tcPr>
            <w:tcW w:w="100" w:type="dxa"/>
            <w:vAlign w:val="bottom"/>
            <w:shd w:val="clear" w:color="auto" w:fill="CCEEFF"/>
          </w:tcPr>
          <w:p>
            <w:pPr>
              <w:spacing w:after="0"/>
              <w:rPr>
                <w:sz w:val="14"/>
                <w:szCs w:val="14"/>
                <w:color w:val="auto"/>
              </w:rPr>
            </w:pPr>
          </w:p>
        </w:tc>
        <w:tc>
          <w:tcPr>
            <w:tcW w:w="1100" w:type="dxa"/>
            <w:vAlign w:val="bottom"/>
            <w:gridSpan w:val="2"/>
            <w:vMerge w:val="restart"/>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rPr>
              <w:t>(8,137)</w:t>
            </w: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jc w:val="center"/>
              <w:ind w:left="39"/>
              <w:spacing w:after="0"/>
              <w:rPr>
                <w:sz w:val="20"/>
                <w:szCs w:val="20"/>
                <w:color w:val="auto"/>
              </w:rPr>
            </w:pPr>
            <w:r>
              <w:rPr>
                <w:rFonts w:ascii="Arial" w:cs="Arial" w:eastAsia="Arial" w:hAnsi="Arial"/>
                <w:sz w:val="16"/>
                <w:szCs w:val="16"/>
                <w:color w:val="auto"/>
                <w:w w:val="99"/>
              </w:rPr>
              <w:t>—</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vMerge w:val="restart"/>
            <w:shd w:val="clear" w:color="auto" w:fill="CCEEFF"/>
          </w:tcPr>
          <w:p>
            <w:pPr>
              <w:jc w:val="right"/>
              <w:ind w:right="159"/>
              <w:spacing w:after="0"/>
              <w:rPr>
                <w:sz w:val="20"/>
                <w:szCs w:val="20"/>
                <w:color w:val="auto"/>
              </w:rPr>
            </w:pPr>
            <w:r>
              <w:rPr>
                <w:rFonts w:ascii="Arial" w:cs="Arial" w:eastAsia="Arial" w:hAnsi="Arial"/>
                <w:sz w:val="16"/>
                <w:szCs w:val="16"/>
                <w:color w:val="auto"/>
              </w:rPr>
              <w:t>(32,775)</w:t>
            </w:r>
          </w:p>
        </w:tc>
        <w:tc>
          <w:tcPr>
            <w:tcW w:w="960" w:type="dxa"/>
            <w:vAlign w:val="bottom"/>
            <w:gridSpan w:val="2"/>
            <w:vMerge w:val="restart"/>
            <w:shd w:val="clear" w:color="auto" w:fill="CCEEFF"/>
          </w:tcPr>
          <w:p>
            <w:pPr>
              <w:jc w:val="center"/>
              <w:ind w:left="119"/>
              <w:spacing w:after="0"/>
              <w:rPr>
                <w:sz w:val="20"/>
                <w:szCs w:val="20"/>
                <w:color w:val="auto"/>
              </w:rPr>
            </w:pPr>
            <w:r>
              <w:rPr>
                <w:rFonts w:ascii="Arial" w:cs="Arial" w:eastAsia="Arial" w:hAnsi="Arial"/>
                <w:sz w:val="16"/>
                <w:szCs w:val="16"/>
                <w:color w:val="auto"/>
                <w:w w:val="99"/>
              </w:rPr>
              <w:t>—</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vMerge w:val="restart"/>
            <w:shd w:val="clear" w:color="auto" w:fill="CCEEFF"/>
          </w:tcPr>
          <w:p>
            <w:pPr>
              <w:jc w:val="right"/>
              <w:ind w:right="159"/>
              <w:spacing w:after="0"/>
              <w:rPr>
                <w:sz w:val="20"/>
                <w:szCs w:val="20"/>
                <w:color w:val="auto"/>
              </w:rPr>
            </w:pPr>
            <w:r>
              <w:rPr>
                <w:rFonts w:ascii="Arial" w:cs="Arial" w:eastAsia="Arial" w:hAnsi="Arial"/>
                <w:sz w:val="16"/>
                <w:szCs w:val="16"/>
                <w:color w:val="auto"/>
              </w:rPr>
              <w:t>(121,741)</w:t>
            </w:r>
          </w:p>
        </w:tc>
        <w:tc>
          <w:tcPr>
            <w:tcW w:w="1000" w:type="dxa"/>
            <w:vAlign w:val="bottom"/>
            <w:gridSpan w:val="2"/>
            <w:vMerge w:val="restart"/>
            <w:shd w:val="clear" w:color="auto" w:fill="CCEEFF"/>
          </w:tcPr>
          <w:p>
            <w:pPr>
              <w:jc w:val="center"/>
              <w:ind w:left="159"/>
              <w:spacing w:after="0"/>
              <w:rPr>
                <w:sz w:val="20"/>
                <w:szCs w:val="20"/>
                <w:color w:val="auto"/>
              </w:rPr>
            </w:pPr>
            <w:r>
              <w:rPr>
                <w:rFonts w:ascii="Arial" w:cs="Arial" w:eastAsia="Arial" w:hAnsi="Arial"/>
                <w:sz w:val="16"/>
                <w:szCs w:val="16"/>
                <w:color w:val="auto"/>
                <w:w w:val="99"/>
              </w:rPr>
              <w:t>—</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vMerge w:val="restart"/>
            <w:shd w:val="clear" w:color="auto" w:fill="CCEEFF"/>
          </w:tcPr>
          <w:p>
            <w:pPr>
              <w:jc w:val="right"/>
              <w:ind w:right="159"/>
              <w:spacing w:after="0"/>
              <w:rPr>
                <w:sz w:val="20"/>
                <w:szCs w:val="20"/>
                <w:color w:val="auto"/>
              </w:rPr>
            </w:pPr>
            <w:r>
              <w:rPr>
                <w:rFonts w:ascii="Arial" w:cs="Arial" w:eastAsia="Arial" w:hAnsi="Arial"/>
                <w:sz w:val="16"/>
                <w:szCs w:val="16"/>
                <w:color w:val="auto"/>
              </w:rPr>
              <w:t>(610,041)</w:t>
            </w:r>
          </w:p>
        </w:tc>
        <w:tc>
          <w:tcPr>
            <w:tcW w:w="90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136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rPr>
              <w:t>Investment)</w:t>
            </w:r>
          </w:p>
        </w:tc>
        <w:tc>
          <w:tcPr>
            <w:tcW w:w="100" w:type="dxa"/>
            <w:vAlign w:val="bottom"/>
            <w:shd w:val="clear" w:color="auto" w:fill="CCEEFF"/>
          </w:tcPr>
          <w:p>
            <w:pPr>
              <w:spacing w:after="0"/>
              <w:rPr>
                <w:sz w:val="18"/>
                <w:szCs w:val="18"/>
                <w:color w:val="auto"/>
              </w:rPr>
            </w:pPr>
          </w:p>
        </w:tc>
        <w:tc>
          <w:tcPr>
            <w:tcW w:w="1100" w:type="dxa"/>
            <w:vAlign w:val="bottom"/>
            <w:gridSpan w:val="2"/>
            <w:vMerge w:val="continue"/>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1360" w:type="dxa"/>
            <w:vAlign w:val="bottom"/>
            <w:gridSpan w:val="2"/>
          </w:tcPr>
          <w:p>
            <w:pPr>
              <w:ind w:left="60"/>
              <w:spacing w:after="0" w:line="166" w:lineRule="exact"/>
              <w:rPr>
                <w:sz w:val="20"/>
                <w:szCs w:val="20"/>
                <w:color w:val="auto"/>
              </w:rPr>
            </w:pPr>
            <w:r>
              <w:rPr>
                <w:rFonts w:ascii="Arial" w:cs="Arial" w:eastAsia="Arial" w:hAnsi="Arial"/>
                <w:sz w:val="16"/>
                <w:szCs w:val="16"/>
                <w:color w:val="auto"/>
              </w:rPr>
              <w:t>Net Asset Value</w:t>
            </w: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60" w:type="dxa"/>
            <w:vAlign w:val="bottom"/>
            <w:gridSpan w:val="2"/>
          </w:tcPr>
          <w:p>
            <w:pPr>
              <w:ind w:left="60"/>
              <w:spacing w:after="0" w:line="162" w:lineRule="exact"/>
              <w:rPr>
                <w:sz w:val="20"/>
                <w:szCs w:val="20"/>
                <w:color w:val="auto"/>
              </w:rPr>
            </w:pPr>
            <w:r>
              <w:rPr>
                <w:rFonts w:ascii="Arial" w:cs="Arial" w:eastAsia="Arial" w:hAnsi="Arial"/>
                <w:sz w:val="16"/>
                <w:szCs w:val="16"/>
                <w:color w:val="auto"/>
                <w:w w:val="99"/>
              </w:rPr>
              <w:t>per Share Held by</w:t>
            </w:r>
          </w:p>
        </w:tc>
        <w:tc>
          <w:tcPr>
            <w:tcW w:w="10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vMerge w:val="restart"/>
          </w:tcPr>
          <w:p>
            <w:pPr>
              <w:jc w:val="right"/>
              <w:ind w:right="119"/>
              <w:spacing w:after="0"/>
              <w:rPr>
                <w:sz w:val="20"/>
                <w:szCs w:val="20"/>
                <w:color w:val="auto"/>
              </w:rPr>
            </w:pPr>
            <w:r>
              <w:rPr>
                <w:rFonts w:ascii="Arial" w:cs="Arial" w:eastAsia="Arial" w:hAnsi="Arial"/>
                <w:sz w:val="16"/>
                <w:szCs w:val="16"/>
                <w:color w:val="auto"/>
              </w:rPr>
              <w:t>16.28</w:t>
            </w:r>
          </w:p>
        </w:tc>
        <w:tc>
          <w:tcPr>
            <w:tcW w:w="100" w:type="dxa"/>
            <w:vAlign w:val="bottom"/>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vMerge w:val="restart"/>
          </w:tcPr>
          <w:p>
            <w:pPr>
              <w:jc w:val="right"/>
              <w:ind w:right="119"/>
              <w:spacing w:after="0"/>
              <w:rPr>
                <w:sz w:val="20"/>
                <w:szCs w:val="20"/>
                <w:color w:val="auto"/>
              </w:rPr>
            </w:pPr>
            <w:r>
              <w:rPr>
                <w:rFonts w:ascii="Arial" w:cs="Arial" w:eastAsia="Arial" w:hAnsi="Arial"/>
                <w:sz w:val="16"/>
                <w:szCs w:val="16"/>
                <w:color w:val="auto"/>
              </w:rPr>
              <w:t>16.24</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80" w:type="dxa"/>
            <w:vAlign w:val="bottom"/>
            <w:gridSpan w:val="2"/>
            <w:vMerge w:val="restart"/>
          </w:tcPr>
          <w:p>
            <w:pPr>
              <w:jc w:val="center"/>
              <w:ind w:left="39"/>
              <w:spacing w:after="0"/>
              <w:rPr>
                <w:sz w:val="20"/>
                <w:szCs w:val="20"/>
                <w:color w:val="auto"/>
              </w:rPr>
            </w:pPr>
            <w:r>
              <w:rPr>
                <w:rFonts w:ascii="Arial" w:cs="Arial" w:eastAsia="Arial" w:hAnsi="Arial"/>
                <w:sz w:val="16"/>
                <w:szCs w:val="16"/>
                <w:color w:val="auto"/>
                <w:w w:val="99"/>
              </w:rPr>
              <w:t>—</w:t>
            </w:r>
          </w:p>
        </w:tc>
        <w:tc>
          <w:tcPr>
            <w:tcW w:w="16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vMerge w:val="restart"/>
          </w:tcPr>
          <w:p>
            <w:pPr>
              <w:jc w:val="right"/>
              <w:ind w:right="199"/>
              <w:spacing w:after="0"/>
              <w:rPr>
                <w:sz w:val="20"/>
                <w:szCs w:val="20"/>
                <w:color w:val="auto"/>
              </w:rPr>
            </w:pPr>
            <w:r>
              <w:rPr>
                <w:rFonts w:ascii="Arial" w:cs="Arial" w:eastAsia="Arial" w:hAnsi="Arial"/>
                <w:sz w:val="16"/>
                <w:szCs w:val="16"/>
                <w:color w:val="auto"/>
              </w:rPr>
              <w:t>16.13</w:t>
            </w:r>
          </w:p>
        </w:tc>
        <w:tc>
          <w:tcPr>
            <w:tcW w:w="960" w:type="dxa"/>
            <w:vAlign w:val="bottom"/>
            <w:gridSpan w:val="2"/>
            <w:vMerge w:val="restart"/>
          </w:tcPr>
          <w:p>
            <w:pPr>
              <w:jc w:val="center"/>
              <w:ind w:left="119"/>
              <w:spacing w:after="0"/>
              <w:rPr>
                <w:sz w:val="20"/>
                <w:szCs w:val="20"/>
                <w:color w:val="auto"/>
              </w:rPr>
            </w:pPr>
            <w:r>
              <w:rPr>
                <w:rFonts w:ascii="Arial" w:cs="Arial" w:eastAsia="Arial" w:hAnsi="Arial"/>
                <w:sz w:val="16"/>
                <w:szCs w:val="16"/>
                <w:color w:val="auto"/>
                <w:w w:val="99"/>
              </w:rPr>
              <w:t>—</w:t>
            </w:r>
          </w:p>
        </w:tc>
        <w:tc>
          <w:tcPr>
            <w:tcW w:w="16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vMerge w:val="restart"/>
          </w:tcPr>
          <w:p>
            <w:pPr>
              <w:jc w:val="right"/>
              <w:ind w:right="199"/>
              <w:spacing w:after="0"/>
              <w:rPr>
                <w:sz w:val="20"/>
                <w:szCs w:val="20"/>
                <w:color w:val="auto"/>
              </w:rPr>
            </w:pPr>
            <w:r>
              <w:rPr>
                <w:rFonts w:ascii="Arial" w:cs="Arial" w:eastAsia="Arial" w:hAnsi="Arial"/>
                <w:sz w:val="16"/>
                <w:szCs w:val="16"/>
                <w:color w:val="auto"/>
              </w:rPr>
              <w:t>15.74</w:t>
            </w:r>
          </w:p>
        </w:tc>
        <w:tc>
          <w:tcPr>
            <w:tcW w:w="1000" w:type="dxa"/>
            <w:vAlign w:val="bottom"/>
            <w:gridSpan w:val="2"/>
            <w:vMerge w:val="restart"/>
          </w:tcPr>
          <w:p>
            <w:pPr>
              <w:jc w:val="center"/>
              <w:ind w:left="159"/>
              <w:spacing w:after="0"/>
              <w:rPr>
                <w:sz w:val="20"/>
                <w:szCs w:val="20"/>
                <w:color w:val="auto"/>
              </w:rPr>
            </w:pPr>
            <w:r>
              <w:rPr>
                <w:rFonts w:ascii="Arial" w:cs="Arial" w:eastAsia="Arial" w:hAnsi="Arial"/>
                <w:sz w:val="16"/>
                <w:szCs w:val="16"/>
                <w:color w:val="auto"/>
                <w:w w:val="99"/>
              </w:rPr>
              <w:t>—</w:t>
            </w:r>
          </w:p>
        </w:tc>
        <w:tc>
          <w:tcPr>
            <w:tcW w:w="16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vMerge w:val="restart"/>
          </w:tcPr>
          <w:p>
            <w:pPr>
              <w:jc w:val="right"/>
              <w:ind w:right="199"/>
              <w:spacing w:after="0"/>
              <w:rPr>
                <w:sz w:val="20"/>
                <w:szCs w:val="20"/>
                <w:color w:val="auto"/>
              </w:rPr>
            </w:pPr>
            <w:r>
              <w:rPr>
                <w:rFonts w:ascii="Arial" w:cs="Arial" w:eastAsia="Arial" w:hAnsi="Arial"/>
                <w:sz w:val="16"/>
                <w:szCs w:val="16"/>
                <w:color w:val="auto"/>
              </w:rPr>
              <w:t>13.57</w:t>
            </w:r>
          </w:p>
        </w:tc>
        <w:tc>
          <w:tcPr>
            <w:tcW w:w="900" w:type="dxa"/>
            <w:vAlign w:val="bottom"/>
            <w:vMerge w:val="restart"/>
          </w:tcPr>
          <w:p>
            <w:pPr>
              <w:jc w:val="right"/>
              <w:ind w:right="1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1360" w:type="dxa"/>
            <w:vAlign w:val="bottom"/>
            <w:gridSpan w:val="2"/>
          </w:tcPr>
          <w:p>
            <w:pPr>
              <w:ind w:left="60"/>
              <w:spacing w:after="0"/>
              <w:rPr>
                <w:sz w:val="20"/>
                <w:szCs w:val="20"/>
                <w:color w:val="auto"/>
              </w:rPr>
            </w:pPr>
            <w:r>
              <w:rPr>
                <w:rFonts w:ascii="Arial" w:cs="Arial" w:eastAsia="Arial" w:hAnsi="Arial"/>
                <w:sz w:val="16"/>
                <w:szCs w:val="16"/>
                <w:color w:val="auto"/>
              </w:rPr>
              <w:t>Stockholder A</w:t>
            </w:r>
          </w:p>
        </w:tc>
        <w:tc>
          <w:tcPr>
            <w:tcW w:w="100" w:type="dxa"/>
            <w:vAlign w:val="bottom"/>
            <w:vMerge w:val="continue"/>
          </w:tcPr>
          <w:p>
            <w:pPr>
              <w:spacing w:after="0"/>
              <w:rPr>
                <w:sz w:val="18"/>
                <w:szCs w:val="18"/>
                <w:color w:val="auto"/>
              </w:rPr>
            </w:pPr>
          </w:p>
        </w:tc>
        <w:tc>
          <w:tcPr>
            <w:tcW w:w="10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9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60" w:type="dxa"/>
            <w:vAlign w:val="bottom"/>
            <w:vMerge w:val="continue"/>
          </w:tcPr>
          <w:p>
            <w:pPr>
              <w:spacing w:after="0"/>
              <w:rPr>
                <w:sz w:val="18"/>
                <w:szCs w:val="18"/>
                <w:color w:val="auto"/>
              </w:rPr>
            </w:pPr>
          </w:p>
        </w:tc>
        <w:tc>
          <w:tcPr>
            <w:tcW w:w="1040" w:type="dxa"/>
            <w:vAlign w:val="bottom"/>
            <w:vMerge w:val="continue"/>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60" w:type="dxa"/>
            <w:vAlign w:val="bottom"/>
            <w:vMerge w:val="continue"/>
          </w:tcPr>
          <w:p>
            <w:pPr>
              <w:spacing w:after="0"/>
              <w:rPr>
                <w:sz w:val="18"/>
                <w:szCs w:val="18"/>
                <w:color w:val="auto"/>
              </w:rPr>
            </w:pPr>
          </w:p>
        </w:tc>
        <w:tc>
          <w:tcPr>
            <w:tcW w:w="1060" w:type="dxa"/>
            <w:vAlign w:val="bottom"/>
            <w:vMerge w:val="continue"/>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60" w:type="dxa"/>
            <w:vAlign w:val="bottom"/>
            <w:vMerge w:val="continue"/>
          </w:tcPr>
          <w:p>
            <w:pPr>
              <w:spacing w:after="0"/>
              <w:rPr>
                <w:sz w:val="18"/>
                <w:szCs w:val="18"/>
                <w:color w:val="auto"/>
              </w:rPr>
            </w:pPr>
          </w:p>
        </w:tc>
        <w:tc>
          <w:tcPr>
            <w:tcW w:w="1060" w:type="dxa"/>
            <w:vAlign w:val="bottom"/>
            <w:vMerge w:val="continue"/>
          </w:tcPr>
          <w:p>
            <w:pPr>
              <w:spacing w:after="0"/>
              <w:rPr>
                <w:sz w:val="18"/>
                <w:szCs w:val="18"/>
                <w:color w:val="auto"/>
              </w:rPr>
            </w:pPr>
          </w:p>
        </w:tc>
        <w:tc>
          <w:tcPr>
            <w:tcW w:w="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1360" w:type="dxa"/>
            <w:vAlign w:val="bottom"/>
            <w:gridSpan w:val="2"/>
            <w:shd w:val="clear" w:color="auto" w:fill="CCEEFF"/>
          </w:tcPr>
          <w:p>
            <w:pPr>
              <w:ind w:left="60"/>
              <w:spacing w:after="0" w:line="169" w:lineRule="exact"/>
              <w:rPr>
                <w:sz w:val="20"/>
                <w:szCs w:val="20"/>
                <w:color w:val="auto"/>
              </w:rPr>
            </w:pPr>
            <w:r>
              <w:rPr>
                <w:rFonts w:ascii="Arial" w:cs="Arial" w:eastAsia="Arial" w:hAnsi="Arial"/>
                <w:sz w:val="16"/>
                <w:szCs w:val="16"/>
                <w:color w:val="auto"/>
              </w:rPr>
              <w:t>Investment per</w:t>
            </w: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60" w:type="dxa"/>
            <w:vAlign w:val="bottom"/>
            <w:gridSpan w:val="2"/>
            <w:shd w:val="clear" w:color="auto" w:fill="CCEEFF"/>
          </w:tcPr>
          <w:p>
            <w:pPr>
              <w:ind w:left="60"/>
              <w:spacing w:after="0" w:line="162" w:lineRule="exact"/>
              <w:rPr>
                <w:sz w:val="20"/>
                <w:szCs w:val="20"/>
                <w:color w:val="auto"/>
              </w:rPr>
            </w:pPr>
            <w:r>
              <w:rPr>
                <w:rFonts w:ascii="Arial" w:cs="Arial" w:eastAsia="Arial" w:hAnsi="Arial"/>
                <w:sz w:val="16"/>
                <w:szCs w:val="16"/>
                <w:color w:val="auto"/>
              </w:rPr>
              <w:t>Share Held by</w:t>
            </w: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60" w:type="dxa"/>
            <w:vAlign w:val="bottom"/>
            <w:gridSpan w:val="2"/>
            <w:shd w:val="clear" w:color="auto" w:fill="CCEEFF"/>
          </w:tcPr>
          <w:p>
            <w:pPr>
              <w:ind w:left="60"/>
              <w:spacing w:after="0" w:line="162" w:lineRule="exact"/>
              <w:rPr>
                <w:sz w:val="20"/>
                <w:szCs w:val="20"/>
                <w:color w:val="auto"/>
              </w:rPr>
            </w:pPr>
            <w:r>
              <w:rPr>
                <w:rFonts w:ascii="Arial" w:cs="Arial" w:eastAsia="Arial" w:hAnsi="Arial"/>
                <w:sz w:val="16"/>
                <w:szCs w:val="16"/>
                <w:color w:val="auto"/>
              </w:rPr>
              <w:t>Stockholder A</w:t>
            </w: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60" w:type="dxa"/>
            <w:vAlign w:val="bottom"/>
            <w:gridSpan w:val="2"/>
            <w:shd w:val="clear" w:color="auto" w:fill="CCEEFF"/>
          </w:tcPr>
          <w:p>
            <w:pPr>
              <w:ind w:left="60"/>
              <w:spacing w:after="0" w:line="162" w:lineRule="exact"/>
              <w:rPr>
                <w:sz w:val="20"/>
                <w:szCs w:val="20"/>
                <w:color w:val="auto"/>
              </w:rPr>
            </w:pPr>
            <w:r>
              <w:rPr>
                <w:rFonts w:ascii="Arial" w:cs="Arial" w:eastAsia="Arial" w:hAnsi="Arial"/>
                <w:sz w:val="16"/>
                <w:szCs w:val="16"/>
                <w:color w:val="auto"/>
              </w:rPr>
              <w:t>(Assumed to be</w:t>
            </w: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60" w:type="dxa"/>
            <w:vAlign w:val="bottom"/>
            <w:gridSpan w:val="2"/>
            <w:shd w:val="clear" w:color="auto" w:fill="CCEEFF"/>
          </w:tcPr>
          <w:p>
            <w:pPr>
              <w:ind w:left="60"/>
              <w:spacing w:after="0" w:line="162" w:lineRule="exact"/>
              <w:rPr>
                <w:sz w:val="20"/>
                <w:szCs w:val="20"/>
                <w:color w:val="auto"/>
              </w:rPr>
            </w:pPr>
            <w:r>
              <w:rPr>
                <w:rFonts w:ascii="Arial" w:cs="Arial" w:eastAsia="Arial" w:hAnsi="Arial"/>
                <w:sz w:val="16"/>
                <w:szCs w:val="16"/>
                <w:color w:val="auto"/>
              </w:rPr>
              <w:t>$16.28 per Share</w:t>
            </w: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60" w:type="dxa"/>
            <w:vAlign w:val="bottom"/>
            <w:gridSpan w:val="2"/>
            <w:shd w:val="clear" w:color="auto" w:fill="CCEEFF"/>
          </w:tcPr>
          <w:p>
            <w:pPr>
              <w:ind w:left="60"/>
              <w:spacing w:after="0" w:line="162" w:lineRule="exact"/>
              <w:rPr>
                <w:sz w:val="20"/>
                <w:szCs w:val="20"/>
                <w:color w:val="auto"/>
              </w:rPr>
            </w:pPr>
            <w:r>
              <w:rPr>
                <w:rFonts w:ascii="Arial" w:cs="Arial" w:eastAsia="Arial" w:hAnsi="Arial"/>
                <w:sz w:val="16"/>
                <w:szCs w:val="16"/>
                <w:color w:val="auto"/>
              </w:rPr>
              <w:t>on Shares Held</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color w:val="auto"/>
              </w:rPr>
              <w:t>16.28</w:t>
            </w:r>
          </w:p>
        </w:tc>
        <w:tc>
          <w:tcPr>
            <w:tcW w:w="100" w:type="dxa"/>
            <w:vAlign w:val="bottom"/>
            <w:shd w:val="clear" w:color="auto" w:fill="CCEEFF"/>
          </w:tcPr>
          <w:p>
            <w:pPr>
              <w:spacing w:after="0"/>
              <w:rPr>
                <w:sz w:val="14"/>
                <w:szCs w:val="14"/>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color w:val="auto"/>
              </w:rPr>
              <w:t>16.28</w:t>
            </w: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jc w:val="center"/>
              <w:ind w:left="39"/>
              <w:spacing w:after="0"/>
              <w:rPr>
                <w:sz w:val="20"/>
                <w:szCs w:val="20"/>
                <w:color w:val="auto"/>
              </w:rPr>
            </w:pPr>
            <w:r>
              <w:rPr>
                <w:rFonts w:ascii="Arial" w:cs="Arial" w:eastAsia="Arial" w:hAnsi="Arial"/>
                <w:sz w:val="16"/>
                <w:szCs w:val="16"/>
                <w:color w:val="auto"/>
                <w:w w:val="99"/>
              </w:rPr>
              <w:t>—</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vMerge w:val="restart"/>
            <w:shd w:val="clear" w:color="auto" w:fill="CCEEFF"/>
          </w:tcPr>
          <w:p>
            <w:pPr>
              <w:jc w:val="right"/>
              <w:ind w:right="199"/>
              <w:spacing w:after="0"/>
              <w:rPr>
                <w:sz w:val="20"/>
                <w:szCs w:val="20"/>
                <w:color w:val="auto"/>
              </w:rPr>
            </w:pPr>
            <w:r>
              <w:rPr>
                <w:rFonts w:ascii="Arial" w:cs="Arial" w:eastAsia="Arial" w:hAnsi="Arial"/>
                <w:sz w:val="16"/>
                <w:szCs w:val="16"/>
                <w:color w:val="auto"/>
              </w:rPr>
              <w:t>16.28</w:t>
            </w:r>
          </w:p>
        </w:tc>
        <w:tc>
          <w:tcPr>
            <w:tcW w:w="960" w:type="dxa"/>
            <w:vAlign w:val="bottom"/>
            <w:gridSpan w:val="2"/>
            <w:vMerge w:val="restart"/>
            <w:shd w:val="clear" w:color="auto" w:fill="CCEEFF"/>
          </w:tcPr>
          <w:p>
            <w:pPr>
              <w:jc w:val="center"/>
              <w:ind w:left="119"/>
              <w:spacing w:after="0"/>
              <w:rPr>
                <w:sz w:val="20"/>
                <w:szCs w:val="20"/>
                <w:color w:val="auto"/>
              </w:rPr>
            </w:pPr>
            <w:r>
              <w:rPr>
                <w:rFonts w:ascii="Arial" w:cs="Arial" w:eastAsia="Arial" w:hAnsi="Arial"/>
                <w:sz w:val="16"/>
                <w:szCs w:val="16"/>
                <w:color w:val="auto"/>
                <w:w w:val="99"/>
              </w:rPr>
              <w:t>—</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vMerge w:val="restart"/>
            <w:shd w:val="clear" w:color="auto" w:fill="CCEEFF"/>
          </w:tcPr>
          <w:p>
            <w:pPr>
              <w:jc w:val="right"/>
              <w:ind w:right="199"/>
              <w:spacing w:after="0"/>
              <w:rPr>
                <w:sz w:val="20"/>
                <w:szCs w:val="20"/>
                <w:color w:val="auto"/>
              </w:rPr>
            </w:pPr>
            <w:r>
              <w:rPr>
                <w:rFonts w:ascii="Arial" w:cs="Arial" w:eastAsia="Arial" w:hAnsi="Arial"/>
                <w:sz w:val="16"/>
                <w:szCs w:val="16"/>
                <w:color w:val="auto"/>
              </w:rPr>
              <w:t>16.28</w:t>
            </w:r>
          </w:p>
        </w:tc>
        <w:tc>
          <w:tcPr>
            <w:tcW w:w="1000" w:type="dxa"/>
            <w:vAlign w:val="bottom"/>
            <w:gridSpan w:val="2"/>
            <w:vMerge w:val="restart"/>
            <w:shd w:val="clear" w:color="auto" w:fill="CCEEFF"/>
          </w:tcPr>
          <w:p>
            <w:pPr>
              <w:jc w:val="center"/>
              <w:ind w:left="159"/>
              <w:spacing w:after="0"/>
              <w:rPr>
                <w:sz w:val="20"/>
                <w:szCs w:val="20"/>
                <w:color w:val="auto"/>
              </w:rPr>
            </w:pPr>
            <w:r>
              <w:rPr>
                <w:rFonts w:ascii="Arial" w:cs="Arial" w:eastAsia="Arial" w:hAnsi="Arial"/>
                <w:sz w:val="16"/>
                <w:szCs w:val="16"/>
                <w:color w:val="auto"/>
                <w:w w:val="99"/>
              </w:rPr>
              <w:t>—</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vMerge w:val="restart"/>
            <w:shd w:val="clear" w:color="auto" w:fill="CCEEFF"/>
          </w:tcPr>
          <w:p>
            <w:pPr>
              <w:jc w:val="right"/>
              <w:ind w:right="199"/>
              <w:spacing w:after="0"/>
              <w:rPr>
                <w:sz w:val="20"/>
                <w:szCs w:val="20"/>
                <w:color w:val="auto"/>
              </w:rPr>
            </w:pPr>
            <w:r>
              <w:rPr>
                <w:rFonts w:ascii="Arial" w:cs="Arial" w:eastAsia="Arial" w:hAnsi="Arial"/>
                <w:sz w:val="16"/>
                <w:szCs w:val="16"/>
                <w:color w:val="auto"/>
              </w:rPr>
              <w:t>16.28</w:t>
            </w:r>
          </w:p>
        </w:tc>
        <w:tc>
          <w:tcPr>
            <w:tcW w:w="90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136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rPr>
              <w:t>Prior to Sale)</w:t>
            </w:r>
          </w:p>
        </w:tc>
        <w:tc>
          <w:tcPr>
            <w:tcW w:w="100" w:type="dxa"/>
            <w:vAlign w:val="bottom"/>
            <w:vMerge w:val="continue"/>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00"/>
          </w:cols>
          <w:pgMar w:left="320" w:top="1421" w:right="379" w:bottom="1440" w:gutter="0" w:footer="0" w:header="0"/>
        </w:sectPr>
      </w:pPr>
    </w:p>
    <w:bookmarkStart w:id="17" w:name="page18"/>
    <w:bookmarkEnd w:id="17"/>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800" w:type="dxa"/>
            <w:vAlign w:val="bottom"/>
          </w:tcPr>
          <w:p>
            <w:pPr>
              <w:ind w:left="60"/>
              <w:spacing w:after="0"/>
              <w:rPr>
                <w:sz w:val="20"/>
                <w:szCs w:val="20"/>
                <w:color w:val="auto"/>
              </w:rPr>
            </w:pPr>
            <w:r>
              <w:rPr>
                <w:rFonts w:ascii="Arial" w:cs="Arial" w:eastAsia="Arial" w:hAnsi="Arial"/>
                <w:sz w:val="16"/>
                <w:szCs w:val="16"/>
                <w:color w:val="auto"/>
              </w:rPr>
              <w:t>Dilution per Share</w:t>
            </w:r>
          </w:p>
        </w:tc>
        <w:tc>
          <w:tcPr>
            <w:tcW w:w="1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1800" w:type="dxa"/>
            <w:vAlign w:val="bottom"/>
          </w:tcPr>
          <w:p>
            <w:pPr>
              <w:ind w:left="60"/>
              <w:spacing w:after="0" w:line="162" w:lineRule="exact"/>
              <w:rPr>
                <w:sz w:val="20"/>
                <w:szCs w:val="20"/>
                <w:color w:val="auto"/>
              </w:rPr>
            </w:pPr>
            <w:r>
              <w:rPr>
                <w:rFonts w:ascii="Arial" w:cs="Arial" w:eastAsia="Arial" w:hAnsi="Arial"/>
                <w:sz w:val="16"/>
                <w:szCs w:val="16"/>
                <w:color w:val="auto"/>
              </w:rPr>
              <w:t>Held by</w:t>
            </w:r>
          </w:p>
        </w:tc>
        <w:tc>
          <w:tcPr>
            <w:tcW w:w="1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800" w:type="dxa"/>
            <w:vAlign w:val="bottom"/>
          </w:tcPr>
          <w:p>
            <w:pPr>
              <w:ind w:left="60"/>
              <w:spacing w:after="0" w:line="162" w:lineRule="exact"/>
              <w:rPr>
                <w:sz w:val="20"/>
                <w:szCs w:val="20"/>
                <w:color w:val="auto"/>
              </w:rPr>
            </w:pPr>
            <w:r>
              <w:rPr>
                <w:rFonts w:ascii="Arial" w:cs="Arial" w:eastAsia="Arial" w:hAnsi="Arial"/>
                <w:sz w:val="16"/>
                <w:szCs w:val="16"/>
                <w:color w:val="auto"/>
              </w:rPr>
              <w:t>Stockholder A (Net</w:t>
            </w:r>
          </w:p>
        </w:tc>
        <w:tc>
          <w:tcPr>
            <w:tcW w:w="1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800" w:type="dxa"/>
            <w:vAlign w:val="bottom"/>
          </w:tcPr>
          <w:p>
            <w:pPr>
              <w:ind w:left="60"/>
              <w:spacing w:after="0" w:line="162" w:lineRule="exact"/>
              <w:rPr>
                <w:sz w:val="20"/>
                <w:szCs w:val="20"/>
                <w:color w:val="auto"/>
              </w:rPr>
            </w:pPr>
            <w:r>
              <w:rPr>
                <w:rFonts w:ascii="Arial" w:cs="Arial" w:eastAsia="Arial" w:hAnsi="Arial"/>
                <w:sz w:val="16"/>
                <w:szCs w:val="16"/>
                <w:color w:val="auto"/>
              </w:rPr>
              <w:t>Asset Value per</w:t>
            </w:r>
          </w:p>
        </w:tc>
        <w:tc>
          <w:tcPr>
            <w:tcW w:w="1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800" w:type="dxa"/>
            <w:vAlign w:val="bottom"/>
          </w:tcPr>
          <w:p>
            <w:pPr>
              <w:ind w:left="60"/>
              <w:spacing w:after="0" w:line="162" w:lineRule="exact"/>
              <w:rPr>
                <w:sz w:val="20"/>
                <w:szCs w:val="20"/>
                <w:color w:val="auto"/>
              </w:rPr>
            </w:pPr>
            <w:r>
              <w:rPr>
                <w:rFonts w:ascii="Arial" w:cs="Arial" w:eastAsia="Arial" w:hAnsi="Arial"/>
                <w:sz w:val="16"/>
                <w:szCs w:val="16"/>
                <w:color w:val="auto"/>
              </w:rPr>
              <w:t>Share Less</w:t>
            </w:r>
          </w:p>
        </w:tc>
        <w:tc>
          <w:tcPr>
            <w:tcW w:w="1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800" w:type="dxa"/>
            <w:vAlign w:val="bottom"/>
          </w:tcPr>
          <w:p>
            <w:pPr>
              <w:ind w:left="60"/>
              <w:spacing w:after="0" w:line="162" w:lineRule="exact"/>
              <w:rPr>
                <w:sz w:val="20"/>
                <w:szCs w:val="20"/>
                <w:color w:val="auto"/>
              </w:rPr>
            </w:pPr>
            <w:r>
              <w:rPr>
                <w:rFonts w:ascii="Arial" w:cs="Arial" w:eastAsia="Arial" w:hAnsi="Arial"/>
                <w:sz w:val="16"/>
                <w:szCs w:val="16"/>
                <w:color w:val="auto"/>
              </w:rPr>
              <w:t>Investment per</w:t>
            </w:r>
          </w:p>
        </w:tc>
        <w:tc>
          <w:tcPr>
            <w:tcW w:w="1100" w:type="dxa"/>
            <w:vAlign w:val="bottom"/>
            <w:vMerge w:val="restart"/>
          </w:tcPr>
          <w:p>
            <w:pPr>
              <w:ind w:left="440"/>
              <w:spacing w:after="0"/>
              <w:rPr>
                <w:sz w:val="20"/>
                <w:szCs w:val="20"/>
                <w:color w:val="auto"/>
              </w:rPr>
            </w:pPr>
            <w:r>
              <w:rPr>
                <w:rFonts w:ascii="Arial" w:cs="Arial" w:eastAsia="Arial" w:hAnsi="Arial"/>
                <w:sz w:val="16"/>
                <w:szCs w:val="16"/>
                <w:color w:val="auto"/>
              </w:rPr>
              <w:t>—  $</w:t>
            </w:r>
          </w:p>
        </w:tc>
        <w:tc>
          <w:tcPr>
            <w:tcW w:w="920" w:type="dxa"/>
            <w:vAlign w:val="bottom"/>
            <w:vMerge w:val="restart"/>
          </w:tcPr>
          <w:p>
            <w:pPr>
              <w:jc w:val="right"/>
              <w:ind w:right="199"/>
              <w:spacing w:after="0"/>
              <w:rPr>
                <w:sz w:val="20"/>
                <w:szCs w:val="20"/>
                <w:color w:val="auto"/>
              </w:rPr>
            </w:pPr>
            <w:r>
              <w:rPr>
                <w:rFonts w:ascii="Arial" w:cs="Arial" w:eastAsia="Arial" w:hAnsi="Arial"/>
                <w:sz w:val="16"/>
                <w:szCs w:val="16"/>
                <w:color w:val="auto"/>
              </w:rPr>
              <w:t>(0.04)</w:t>
            </w:r>
          </w:p>
        </w:tc>
        <w:tc>
          <w:tcPr>
            <w:tcW w:w="860" w:type="dxa"/>
            <w:vAlign w:val="bottom"/>
            <w:vMerge w:val="restart"/>
          </w:tcPr>
          <w:p>
            <w:pPr>
              <w:jc w:val="center"/>
              <w:ind w:left="139"/>
              <w:spacing w:after="0"/>
              <w:rPr>
                <w:sz w:val="20"/>
                <w:szCs w:val="20"/>
                <w:color w:val="auto"/>
              </w:rPr>
            </w:pPr>
            <w:r>
              <w:rPr>
                <w:rFonts w:ascii="Arial" w:cs="Arial" w:eastAsia="Arial" w:hAnsi="Arial"/>
                <w:sz w:val="16"/>
                <w:szCs w:val="16"/>
                <w:color w:val="auto"/>
                <w:w w:val="99"/>
              </w:rPr>
              <w:t>—</w:t>
            </w:r>
          </w:p>
        </w:tc>
        <w:tc>
          <w:tcPr>
            <w:tcW w:w="400" w:type="dxa"/>
            <w:vAlign w:val="bottom"/>
            <w:vMerge w:val="restart"/>
          </w:tcPr>
          <w:p>
            <w:pPr>
              <w:jc w:val="right"/>
              <w:ind w:right="159"/>
              <w:spacing w:after="0"/>
              <w:rPr>
                <w:sz w:val="20"/>
                <w:szCs w:val="20"/>
                <w:color w:val="auto"/>
              </w:rPr>
            </w:pPr>
            <w:r>
              <w:rPr>
                <w:rFonts w:ascii="Arial" w:cs="Arial" w:eastAsia="Arial" w:hAnsi="Arial"/>
                <w:sz w:val="16"/>
                <w:szCs w:val="16"/>
                <w:color w:val="auto"/>
              </w:rPr>
              <w:t>$</w:t>
            </w:r>
          </w:p>
        </w:tc>
        <w:tc>
          <w:tcPr>
            <w:tcW w:w="900" w:type="dxa"/>
            <w:vAlign w:val="bottom"/>
            <w:vMerge w:val="restart"/>
          </w:tcPr>
          <w:p>
            <w:pPr>
              <w:jc w:val="right"/>
              <w:ind w:right="179"/>
              <w:spacing w:after="0"/>
              <w:rPr>
                <w:sz w:val="20"/>
                <w:szCs w:val="20"/>
                <w:color w:val="auto"/>
              </w:rPr>
            </w:pPr>
            <w:r>
              <w:rPr>
                <w:rFonts w:ascii="Arial" w:cs="Arial" w:eastAsia="Arial" w:hAnsi="Arial"/>
                <w:sz w:val="16"/>
                <w:szCs w:val="16"/>
                <w:color w:val="auto"/>
              </w:rPr>
              <w:t>(0.15)</w:t>
            </w:r>
          </w:p>
        </w:tc>
        <w:tc>
          <w:tcPr>
            <w:tcW w:w="880" w:type="dxa"/>
            <w:vAlign w:val="bottom"/>
            <w:vMerge w:val="restart"/>
          </w:tcPr>
          <w:p>
            <w:pPr>
              <w:jc w:val="center"/>
              <w:ind w:left="119"/>
              <w:spacing w:after="0"/>
              <w:rPr>
                <w:sz w:val="20"/>
                <w:szCs w:val="20"/>
                <w:color w:val="auto"/>
              </w:rPr>
            </w:pPr>
            <w:r>
              <w:rPr>
                <w:rFonts w:ascii="Arial" w:cs="Arial" w:eastAsia="Arial" w:hAnsi="Arial"/>
                <w:sz w:val="16"/>
                <w:szCs w:val="16"/>
                <w:color w:val="auto"/>
                <w:w w:val="99"/>
              </w:rPr>
              <w:t>—</w:t>
            </w:r>
          </w:p>
        </w:tc>
        <w:tc>
          <w:tcPr>
            <w:tcW w:w="400" w:type="dxa"/>
            <w:vAlign w:val="bottom"/>
            <w:vMerge w:val="restart"/>
          </w:tcPr>
          <w:p>
            <w:pPr>
              <w:jc w:val="right"/>
              <w:ind w:right="179"/>
              <w:spacing w:after="0"/>
              <w:rPr>
                <w:sz w:val="20"/>
                <w:szCs w:val="20"/>
                <w:color w:val="auto"/>
              </w:rPr>
            </w:pPr>
            <w:r>
              <w:rPr>
                <w:rFonts w:ascii="Arial" w:cs="Arial" w:eastAsia="Arial" w:hAnsi="Arial"/>
                <w:sz w:val="16"/>
                <w:szCs w:val="16"/>
                <w:color w:val="auto"/>
              </w:rPr>
              <w:t>$</w:t>
            </w:r>
          </w:p>
        </w:tc>
        <w:tc>
          <w:tcPr>
            <w:tcW w:w="920" w:type="dxa"/>
            <w:vAlign w:val="bottom"/>
            <w:vMerge w:val="restart"/>
          </w:tcPr>
          <w:p>
            <w:pPr>
              <w:jc w:val="right"/>
              <w:ind w:right="199"/>
              <w:spacing w:after="0"/>
              <w:rPr>
                <w:sz w:val="20"/>
                <w:szCs w:val="20"/>
                <w:color w:val="auto"/>
              </w:rPr>
            </w:pPr>
            <w:r>
              <w:rPr>
                <w:rFonts w:ascii="Arial" w:cs="Arial" w:eastAsia="Arial" w:hAnsi="Arial"/>
                <w:sz w:val="16"/>
                <w:szCs w:val="16"/>
                <w:color w:val="auto"/>
              </w:rPr>
              <w:t>(0.54)</w:t>
            </w:r>
          </w:p>
        </w:tc>
        <w:tc>
          <w:tcPr>
            <w:tcW w:w="860" w:type="dxa"/>
            <w:vAlign w:val="bottom"/>
            <w:vMerge w:val="restart"/>
          </w:tcPr>
          <w:p>
            <w:pPr>
              <w:jc w:val="center"/>
              <w:ind w:left="139"/>
              <w:spacing w:after="0"/>
              <w:rPr>
                <w:sz w:val="20"/>
                <w:szCs w:val="20"/>
                <w:color w:val="auto"/>
              </w:rPr>
            </w:pPr>
            <w:r>
              <w:rPr>
                <w:rFonts w:ascii="Arial" w:cs="Arial" w:eastAsia="Arial" w:hAnsi="Arial"/>
                <w:sz w:val="16"/>
                <w:szCs w:val="16"/>
                <w:color w:val="auto"/>
                <w:w w:val="99"/>
              </w:rPr>
              <w:t>—</w:t>
            </w:r>
          </w:p>
        </w:tc>
        <w:tc>
          <w:tcPr>
            <w:tcW w:w="400" w:type="dxa"/>
            <w:vAlign w:val="bottom"/>
            <w:vMerge w:val="restart"/>
          </w:tcPr>
          <w:p>
            <w:pPr>
              <w:jc w:val="right"/>
              <w:ind w:right="159"/>
              <w:spacing w:after="0"/>
              <w:rPr>
                <w:sz w:val="20"/>
                <w:szCs w:val="20"/>
                <w:color w:val="auto"/>
              </w:rPr>
            </w:pPr>
            <w:r>
              <w:rPr>
                <w:rFonts w:ascii="Arial" w:cs="Arial" w:eastAsia="Arial" w:hAnsi="Arial"/>
                <w:sz w:val="16"/>
                <w:szCs w:val="16"/>
                <w:color w:val="auto"/>
              </w:rPr>
              <w:t>$</w:t>
            </w:r>
          </w:p>
        </w:tc>
        <w:tc>
          <w:tcPr>
            <w:tcW w:w="880" w:type="dxa"/>
            <w:vAlign w:val="bottom"/>
            <w:vMerge w:val="restart"/>
          </w:tcPr>
          <w:p>
            <w:pPr>
              <w:jc w:val="right"/>
              <w:ind w:right="139"/>
              <w:spacing w:after="0"/>
              <w:rPr>
                <w:sz w:val="20"/>
                <w:szCs w:val="20"/>
                <w:color w:val="auto"/>
              </w:rPr>
            </w:pPr>
            <w:r>
              <w:rPr>
                <w:rFonts w:ascii="Arial" w:cs="Arial" w:eastAsia="Arial" w:hAnsi="Arial"/>
                <w:sz w:val="16"/>
                <w:szCs w:val="16"/>
                <w:color w:val="auto"/>
              </w:rPr>
              <w:t>(2.71)</w:t>
            </w:r>
          </w:p>
        </w:tc>
        <w:tc>
          <w:tcPr>
            <w:tcW w:w="880" w:type="dxa"/>
            <w:vAlign w:val="bottom"/>
            <w:vMerge w:val="restart"/>
          </w:tcPr>
          <w:p>
            <w:pPr>
              <w:jc w:val="right"/>
              <w:ind w:right="1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1800" w:type="dxa"/>
            <w:vAlign w:val="bottom"/>
          </w:tcPr>
          <w:p>
            <w:pPr>
              <w:ind w:left="60"/>
              <w:spacing w:after="0"/>
              <w:rPr>
                <w:sz w:val="20"/>
                <w:szCs w:val="20"/>
                <w:color w:val="auto"/>
              </w:rPr>
            </w:pPr>
            <w:r>
              <w:rPr>
                <w:rFonts w:ascii="Arial" w:cs="Arial" w:eastAsia="Arial" w:hAnsi="Arial"/>
                <w:sz w:val="16"/>
                <w:szCs w:val="16"/>
                <w:color w:val="auto"/>
              </w:rPr>
              <w:t>Share)</w:t>
            </w:r>
          </w:p>
        </w:tc>
        <w:tc>
          <w:tcPr>
            <w:tcW w:w="1100" w:type="dxa"/>
            <w:vAlign w:val="bottom"/>
            <w:vMerge w:val="continue"/>
          </w:tcPr>
          <w:p>
            <w:pPr>
              <w:spacing w:after="0"/>
              <w:rPr>
                <w:sz w:val="18"/>
                <w:szCs w:val="18"/>
                <w:color w:val="auto"/>
              </w:rPr>
            </w:pPr>
          </w:p>
        </w:tc>
        <w:tc>
          <w:tcPr>
            <w:tcW w:w="920" w:type="dxa"/>
            <w:vAlign w:val="bottom"/>
            <w:vMerge w:val="continue"/>
          </w:tcPr>
          <w:p>
            <w:pPr>
              <w:spacing w:after="0"/>
              <w:rPr>
                <w:sz w:val="18"/>
                <w:szCs w:val="18"/>
                <w:color w:val="auto"/>
              </w:rPr>
            </w:pPr>
          </w:p>
        </w:tc>
        <w:tc>
          <w:tcPr>
            <w:tcW w:w="860" w:type="dxa"/>
            <w:vAlign w:val="bottom"/>
            <w:vMerge w:val="continue"/>
          </w:tcPr>
          <w:p>
            <w:pPr>
              <w:spacing w:after="0"/>
              <w:rPr>
                <w:sz w:val="18"/>
                <w:szCs w:val="18"/>
                <w:color w:val="auto"/>
              </w:rPr>
            </w:pPr>
          </w:p>
        </w:tc>
        <w:tc>
          <w:tcPr>
            <w:tcW w:w="400" w:type="dxa"/>
            <w:vAlign w:val="bottom"/>
            <w:vMerge w:val="continue"/>
          </w:tcPr>
          <w:p>
            <w:pPr>
              <w:spacing w:after="0"/>
              <w:rPr>
                <w:sz w:val="18"/>
                <w:szCs w:val="18"/>
                <w:color w:val="auto"/>
              </w:rPr>
            </w:pPr>
          </w:p>
        </w:tc>
        <w:tc>
          <w:tcPr>
            <w:tcW w:w="900" w:type="dxa"/>
            <w:vAlign w:val="bottom"/>
            <w:vMerge w:val="continue"/>
          </w:tcPr>
          <w:p>
            <w:pPr>
              <w:spacing w:after="0"/>
              <w:rPr>
                <w:sz w:val="18"/>
                <w:szCs w:val="18"/>
                <w:color w:val="auto"/>
              </w:rPr>
            </w:pPr>
          </w:p>
        </w:tc>
        <w:tc>
          <w:tcPr>
            <w:tcW w:w="880" w:type="dxa"/>
            <w:vAlign w:val="bottom"/>
            <w:vMerge w:val="continue"/>
          </w:tcPr>
          <w:p>
            <w:pPr>
              <w:spacing w:after="0"/>
              <w:rPr>
                <w:sz w:val="18"/>
                <w:szCs w:val="18"/>
                <w:color w:val="auto"/>
              </w:rPr>
            </w:pPr>
          </w:p>
        </w:tc>
        <w:tc>
          <w:tcPr>
            <w:tcW w:w="400" w:type="dxa"/>
            <w:vAlign w:val="bottom"/>
            <w:vMerge w:val="continue"/>
          </w:tcPr>
          <w:p>
            <w:pPr>
              <w:spacing w:after="0"/>
              <w:rPr>
                <w:sz w:val="18"/>
                <w:szCs w:val="18"/>
                <w:color w:val="auto"/>
              </w:rPr>
            </w:pPr>
          </w:p>
        </w:tc>
        <w:tc>
          <w:tcPr>
            <w:tcW w:w="920" w:type="dxa"/>
            <w:vAlign w:val="bottom"/>
            <w:vMerge w:val="continue"/>
          </w:tcPr>
          <w:p>
            <w:pPr>
              <w:spacing w:after="0"/>
              <w:rPr>
                <w:sz w:val="18"/>
                <w:szCs w:val="18"/>
                <w:color w:val="auto"/>
              </w:rPr>
            </w:pPr>
          </w:p>
        </w:tc>
        <w:tc>
          <w:tcPr>
            <w:tcW w:w="860" w:type="dxa"/>
            <w:vAlign w:val="bottom"/>
            <w:vMerge w:val="continue"/>
          </w:tcPr>
          <w:p>
            <w:pPr>
              <w:spacing w:after="0"/>
              <w:rPr>
                <w:sz w:val="18"/>
                <w:szCs w:val="18"/>
                <w:color w:val="auto"/>
              </w:rPr>
            </w:pPr>
          </w:p>
        </w:tc>
        <w:tc>
          <w:tcPr>
            <w:tcW w:w="400" w:type="dxa"/>
            <w:vAlign w:val="bottom"/>
            <w:vMerge w:val="continue"/>
          </w:tcPr>
          <w:p>
            <w:pPr>
              <w:spacing w:after="0"/>
              <w:rPr>
                <w:sz w:val="18"/>
                <w:szCs w:val="18"/>
                <w:color w:val="auto"/>
              </w:rPr>
            </w:pPr>
          </w:p>
        </w:tc>
        <w:tc>
          <w:tcPr>
            <w:tcW w:w="880" w:type="dxa"/>
            <w:vAlign w:val="bottom"/>
            <w:vMerge w:val="continue"/>
          </w:tcPr>
          <w:p>
            <w:pPr>
              <w:spacing w:after="0"/>
              <w:rPr>
                <w:sz w:val="18"/>
                <w:szCs w:val="18"/>
                <w:color w:val="auto"/>
              </w:rPr>
            </w:pPr>
          </w:p>
        </w:tc>
        <w:tc>
          <w:tcPr>
            <w:tcW w:w="8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1800" w:type="dxa"/>
            <w:vAlign w:val="bottom"/>
            <w:shd w:val="clear" w:color="auto" w:fill="CCEEFF"/>
          </w:tcPr>
          <w:p>
            <w:pPr>
              <w:ind w:left="60"/>
              <w:spacing w:after="0" w:line="169" w:lineRule="exact"/>
              <w:rPr>
                <w:sz w:val="20"/>
                <w:szCs w:val="20"/>
                <w:color w:val="auto"/>
              </w:rPr>
            </w:pPr>
            <w:r>
              <w:rPr>
                <w:rFonts w:ascii="Arial" w:cs="Arial" w:eastAsia="Arial" w:hAnsi="Arial"/>
                <w:sz w:val="16"/>
                <w:szCs w:val="16"/>
                <w:color w:val="auto"/>
              </w:rPr>
              <w:t>Percentage Dilution</w:t>
            </w:r>
          </w:p>
        </w:tc>
        <w:tc>
          <w:tcPr>
            <w:tcW w:w="1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800" w:type="dxa"/>
            <w:vAlign w:val="bottom"/>
            <w:shd w:val="clear" w:color="auto" w:fill="CCEEFF"/>
          </w:tcPr>
          <w:p>
            <w:pPr>
              <w:ind w:left="60"/>
              <w:spacing w:after="0" w:line="162" w:lineRule="exact"/>
              <w:rPr>
                <w:sz w:val="20"/>
                <w:szCs w:val="20"/>
                <w:color w:val="auto"/>
              </w:rPr>
            </w:pPr>
            <w:r>
              <w:rPr>
                <w:rFonts w:ascii="Arial" w:cs="Arial" w:eastAsia="Arial" w:hAnsi="Arial"/>
                <w:sz w:val="16"/>
                <w:szCs w:val="16"/>
                <w:color w:val="auto"/>
              </w:rPr>
              <w:t>to Stockholder A</w:t>
            </w:r>
          </w:p>
        </w:tc>
        <w:tc>
          <w:tcPr>
            <w:tcW w:w="1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800" w:type="dxa"/>
            <w:vAlign w:val="bottom"/>
            <w:shd w:val="clear" w:color="auto" w:fill="CCEEFF"/>
          </w:tcPr>
          <w:p>
            <w:pPr>
              <w:ind w:left="60"/>
              <w:spacing w:after="0" w:line="162" w:lineRule="exact"/>
              <w:rPr>
                <w:sz w:val="20"/>
                <w:szCs w:val="20"/>
                <w:color w:val="auto"/>
              </w:rPr>
            </w:pPr>
            <w:r>
              <w:rPr>
                <w:rFonts w:ascii="Arial" w:cs="Arial" w:eastAsia="Arial" w:hAnsi="Arial"/>
                <w:sz w:val="16"/>
                <w:szCs w:val="16"/>
                <w:color w:val="auto"/>
              </w:rPr>
              <w:t>(Dilution per Share</w:t>
            </w:r>
          </w:p>
        </w:tc>
        <w:tc>
          <w:tcPr>
            <w:tcW w:w="1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800" w:type="dxa"/>
            <w:vAlign w:val="bottom"/>
            <w:shd w:val="clear" w:color="auto" w:fill="CCEEFF"/>
          </w:tcPr>
          <w:p>
            <w:pPr>
              <w:ind w:left="60"/>
              <w:spacing w:after="0" w:line="162" w:lineRule="exact"/>
              <w:rPr>
                <w:sz w:val="20"/>
                <w:szCs w:val="20"/>
                <w:color w:val="auto"/>
              </w:rPr>
            </w:pPr>
            <w:r>
              <w:rPr>
                <w:rFonts w:ascii="Arial" w:cs="Arial" w:eastAsia="Arial" w:hAnsi="Arial"/>
                <w:sz w:val="16"/>
                <w:szCs w:val="16"/>
                <w:color w:val="auto"/>
              </w:rPr>
              <w:t>Divided by</w:t>
            </w:r>
          </w:p>
        </w:tc>
        <w:tc>
          <w:tcPr>
            <w:tcW w:w="1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800" w:type="dxa"/>
            <w:vAlign w:val="bottom"/>
            <w:shd w:val="clear" w:color="auto" w:fill="CCEEFF"/>
          </w:tcPr>
          <w:p>
            <w:pPr>
              <w:ind w:left="60"/>
              <w:spacing w:after="0" w:line="162" w:lineRule="exact"/>
              <w:rPr>
                <w:sz w:val="20"/>
                <w:szCs w:val="20"/>
                <w:color w:val="auto"/>
              </w:rPr>
            </w:pPr>
            <w:r>
              <w:rPr>
                <w:rFonts w:ascii="Arial" w:cs="Arial" w:eastAsia="Arial" w:hAnsi="Arial"/>
                <w:sz w:val="16"/>
                <w:szCs w:val="16"/>
                <w:color w:val="auto"/>
              </w:rPr>
              <w:t>Investment per</w:t>
            </w:r>
          </w:p>
        </w:tc>
        <w:tc>
          <w:tcPr>
            <w:tcW w:w="1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(0.25)%</w:t>
            </w:r>
          </w:p>
        </w:tc>
        <w:tc>
          <w:tcPr>
            <w:tcW w:w="4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(0.92)%</w:t>
            </w:r>
          </w:p>
        </w:tc>
        <w:tc>
          <w:tcPr>
            <w:tcW w:w="4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(3.32)%</w:t>
            </w:r>
          </w:p>
        </w:tc>
        <w:tc>
          <w:tcPr>
            <w:tcW w:w="4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(16.65)%</w:t>
            </w:r>
          </w:p>
        </w:tc>
        <w:tc>
          <w:tcPr>
            <w:tcW w:w="0" w:type="dxa"/>
            <w:vAlign w:val="bottom"/>
          </w:tcPr>
          <w:p>
            <w:pPr>
              <w:spacing w:after="0"/>
              <w:rPr>
                <w:sz w:val="1"/>
                <w:szCs w:val="1"/>
                <w:color w:val="auto"/>
              </w:rPr>
            </w:pPr>
          </w:p>
        </w:tc>
      </w:tr>
      <w:tr>
        <w:trPr>
          <w:trHeight w:val="212"/>
        </w:trPr>
        <w:tc>
          <w:tcPr>
            <w:tcW w:w="1800" w:type="dxa"/>
            <w:vAlign w:val="bottom"/>
            <w:shd w:val="clear" w:color="auto" w:fill="CCEEFF"/>
          </w:tcPr>
          <w:p>
            <w:pPr>
              <w:ind w:left="60"/>
              <w:spacing w:after="0"/>
              <w:rPr>
                <w:sz w:val="20"/>
                <w:szCs w:val="20"/>
                <w:color w:val="auto"/>
              </w:rPr>
            </w:pPr>
            <w:r>
              <w:rPr>
                <w:rFonts w:ascii="Arial" w:cs="Arial" w:eastAsia="Arial" w:hAnsi="Arial"/>
                <w:sz w:val="16"/>
                <w:szCs w:val="16"/>
                <w:color w:val="auto"/>
              </w:rPr>
              <w:t>Share)</w:t>
            </w:r>
          </w:p>
        </w:tc>
        <w:tc>
          <w:tcPr>
            <w:tcW w:w="1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on Existing Shareholders Who Do Participate in an Offering of Common Shares</w:t>
      </w:r>
    </w:p>
    <w:p>
      <w:pPr>
        <w:spacing w:after="0" w:line="229"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The Company’s existing shareholders who participate in an offering below net asset value per share or who buy additional Common Shares in the secondary market at the same or lower price as the Company obtains in the offering (after expenses and commissions) will experience the same types of net asset value dilution as the nonparticipating shareholders, albeit at a lower level, to the extent they purchase less than the same percentage of the discounted offering as their interest in the Company’s Common Shares immediately prior to the offering. The level of net asset value dilution will decrease as the number of Common Shares such shareholders purchase increases. Existing shareholders who buy more than such percentage will experience net asset value dilution on their existing shares but will, in contrast to existing shareholders who purchase less than their proportionate share of the offering, experience an increase (often called accretion) in average net asset value per share over their investment per share and will also experience a disproportionately greater increase in their participation in the Company’s earnings and assets and their voting power than the Company’s increase in assets, potential earning power and voting interests due to the offering. The level of accretion will increase as the excess number of Common Shares such shareholders purchases increases. Even a shareholder who over-participates will, however, be subject to the risk that the Company may make additional discounted offerings in which such shareholder does not participate, in which case such a shareholder will experience net asset value dilution as described above in such subsequent offerings. These shareholders may also experience a decline in the market price of their Common Shares, which often reflects to some degree announced or potential decreases in net asset value per share. This decrease could be more pronounced as the size of the offering and level of discounts increases.</w:t>
      </w:r>
    </w:p>
    <w:p>
      <w:pPr>
        <w:spacing w:after="0" w:line="184" w:lineRule="exact"/>
        <w:rPr>
          <w:sz w:val="20"/>
          <w:szCs w:val="20"/>
          <w:color w:val="auto"/>
        </w:rPr>
      </w:pPr>
    </w:p>
    <w:p>
      <w:pPr>
        <w:ind w:right="180" w:firstLine="324"/>
        <w:spacing w:after="0" w:line="257" w:lineRule="auto"/>
        <w:rPr>
          <w:sz w:val="20"/>
          <w:szCs w:val="20"/>
          <w:color w:val="auto"/>
        </w:rPr>
      </w:pPr>
      <w:r>
        <w:rPr>
          <w:rFonts w:ascii="Arial" w:cs="Arial" w:eastAsia="Arial" w:hAnsi="Arial"/>
          <w:sz w:val="18"/>
          <w:szCs w:val="18"/>
          <w:color w:val="auto"/>
        </w:rPr>
        <w:t>The following chart illustrates the level of dilution and accretion in the hypothetical 20% discount offering from the prior chart for a shareholder that acquires Common Shares equal to (1) 50% of its proportionate share of the offering (i.e., 22,530 Common Shares, which is 0.5% of an offering of 4,506,000 Common Shares) rather than its 1.00% proportionate share and (2) 150% of such percentage (i.e. 67,590 Common Shares, which is 1.5% of an offering of 4,506,000 Common Shares rather than its 0.10% proportionate share). It is not possible to predict the level of market price decline that may occur.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40"/>
          </w:cols>
          <w:pgMar w:left="320" w:top="1440" w:right="339" w:bottom="1440" w:gutter="0" w:footer="0" w:header="0"/>
        </w:sectPr>
      </w:pPr>
    </w:p>
    <w:bookmarkStart w:id="18" w:name="page19"/>
    <w:bookmarkEnd w:id="18"/>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60" w:type="dxa"/>
            <w:vAlign w:val="bottom"/>
            <w:gridSpan w:val="5"/>
          </w:tcPr>
          <w:p>
            <w:pPr>
              <w:ind w:left="480"/>
              <w:spacing w:after="0"/>
              <w:rPr>
                <w:sz w:val="20"/>
                <w:szCs w:val="20"/>
                <w:color w:val="auto"/>
              </w:rPr>
            </w:pPr>
            <w:r>
              <w:rPr>
                <w:rFonts w:ascii="Arial" w:cs="Arial" w:eastAsia="Arial" w:hAnsi="Arial"/>
                <w:sz w:val="18"/>
                <w:szCs w:val="18"/>
                <w:b w:val="1"/>
                <w:bCs w:val="1"/>
                <w:color w:val="auto"/>
              </w:rPr>
              <w:t>50% Participation</w:t>
            </w:r>
          </w:p>
        </w:tc>
        <w:tc>
          <w:tcPr>
            <w:tcW w:w="120" w:type="dxa"/>
            <w:vAlign w:val="bottom"/>
          </w:tcPr>
          <w:p>
            <w:pPr>
              <w:spacing w:after="0"/>
              <w:rPr>
                <w:sz w:val="20"/>
                <w:szCs w:val="20"/>
                <w:color w:val="auto"/>
              </w:rPr>
            </w:pPr>
          </w:p>
        </w:tc>
        <w:tc>
          <w:tcPr>
            <w:tcW w:w="2460" w:type="dxa"/>
            <w:vAlign w:val="bottom"/>
            <w:gridSpan w:val="4"/>
          </w:tcPr>
          <w:p>
            <w:pPr>
              <w:jc w:val="right"/>
              <w:ind w:right="450"/>
              <w:spacing w:after="0"/>
              <w:rPr>
                <w:sz w:val="20"/>
                <w:szCs w:val="20"/>
                <w:color w:val="auto"/>
              </w:rPr>
            </w:pPr>
            <w:r>
              <w:rPr>
                <w:rFonts w:ascii="Arial" w:cs="Arial" w:eastAsia="Arial" w:hAnsi="Arial"/>
                <w:sz w:val="18"/>
                <w:szCs w:val="18"/>
                <w:b w:val="1"/>
                <w:bCs w:val="1"/>
                <w:color w:val="auto"/>
              </w:rPr>
              <w:t>150% Participation</w:t>
            </w:r>
          </w:p>
        </w:tc>
        <w:tc>
          <w:tcPr>
            <w:tcW w:w="0" w:type="dxa"/>
            <w:vAlign w:val="bottom"/>
          </w:tcPr>
          <w:p>
            <w:pPr>
              <w:spacing w:after="0"/>
              <w:rPr>
                <w:sz w:val="1"/>
                <w:szCs w:val="1"/>
                <w:color w:val="auto"/>
              </w:rPr>
            </w:pPr>
          </w:p>
        </w:tc>
      </w:tr>
      <w:tr>
        <w:trPr>
          <w:trHeight w:val="223"/>
        </w:trPr>
        <w:tc>
          <w:tcPr>
            <w:tcW w:w="4560" w:type="dxa"/>
            <w:vAlign w:val="bottom"/>
            <w:gridSpan w:val="2"/>
          </w:tcPr>
          <w:p>
            <w:pPr>
              <w:ind w:left="20"/>
              <w:spacing w:after="0"/>
              <w:rPr>
                <w:sz w:val="20"/>
                <w:szCs w:val="20"/>
                <w:color w:val="auto"/>
              </w:rPr>
            </w:pPr>
            <w:r>
              <w:rPr>
                <w:rFonts w:ascii="Arial" w:cs="Arial" w:eastAsia="Arial" w:hAnsi="Arial"/>
                <w:sz w:val="18"/>
                <w:szCs w:val="18"/>
                <w:b w:val="1"/>
                <w:bCs w:val="1"/>
                <w:color w:val="auto"/>
              </w:rPr>
              <w:t>Prior to Sale Below NAV</w:t>
            </w:r>
          </w:p>
        </w:tc>
        <w:tc>
          <w:tcPr>
            <w:tcW w:w="140" w:type="dxa"/>
            <w:vAlign w:val="bottom"/>
          </w:tcPr>
          <w:p>
            <w:pPr>
              <w:spacing w:after="0"/>
              <w:rPr>
                <w:sz w:val="19"/>
                <w:szCs w:val="19"/>
                <w:color w:val="auto"/>
              </w:rPr>
            </w:pPr>
          </w:p>
        </w:tc>
        <w:tc>
          <w:tcPr>
            <w:tcW w:w="1280" w:type="dxa"/>
            <w:vAlign w:val="bottom"/>
            <w:gridSpan w:val="2"/>
          </w:tcPr>
          <w:p>
            <w:pPr>
              <w:ind w:left="40"/>
              <w:spacing w:after="0"/>
              <w:rPr>
                <w:sz w:val="20"/>
                <w:szCs w:val="20"/>
                <w:color w:val="auto"/>
              </w:rPr>
            </w:pPr>
            <w:r>
              <w:rPr>
                <w:rFonts w:ascii="Arial" w:cs="Arial" w:eastAsia="Arial" w:hAnsi="Arial"/>
                <w:sz w:val="18"/>
                <w:szCs w:val="18"/>
                <w:b w:val="1"/>
                <w:bCs w:val="1"/>
                <w:color w:val="auto"/>
              </w:rPr>
              <w:t>Prior to Sale</w:t>
            </w:r>
          </w:p>
        </w:tc>
        <w:tc>
          <w:tcPr>
            <w:tcW w:w="12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Following Sale</w:t>
            </w:r>
          </w:p>
        </w:tc>
        <w:tc>
          <w:tcPr>
            <w:tcW w:w="12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1"/>
              </w:rPr>
              <w:t>% Change</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Following Sale</w:t>
            </w:r>
          </w:p>
        </w:tc>
        <w:tc>
          <w:tcPr>
            <w:tcW w:w="14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1"/>
              </w:rPr>
              <w:t>% Change</w:t>
            </w:r>
          </w:p>
        </w:tc>
        <w:tc>
          <w:tcPr>
            <w:tcW w:w="0" w:type="dxa"/>
            <w:vAlign w:val="bottom"/>
          </w:tcPr>
          <w:p>
            <w:pPr>
              <w:spacing w:after="0"/>
              <w:rPr>
                <w:sz w:val="1"/>
                <w:szCs w:val="1"/>
                <w:color w:val="auto"/>
              </w:rPr>
            </w:pPr>
          </w:p>
        </w:tc>
      </w:tr>
      <w:tr>
        <w:trPr>
          <w:trHeight w:val="223"/>
        </w:trPr>
        <w:tc>
          <w:tcPr>
            <w:tcW w:w="446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i w:val="1"/>
                <w:iCs w:val="1"/>
                <w:color w:val="auto"/>
              </w:rPr>
              <w:t>Offering Price</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Price per Share to Public</w:t>
            </w: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13.71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13.71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560" w:type="dxa"/>
            <w:vAlign w:val="bottom"/>
            <w:gridSpan w:val="2"/>
          </w:tcPr>
          <w:p>
            <w:pPr>
              <w:ind w:left="160"/>
              <w:spacing w:after="0"/>
              <w:rPr>
                <w:sz w:val="20"/>
                <w:szCs w:val="20"/>
                <w:color w:val="auto"/>
              </w:rPr>
            </w:pPr>
            <w:r>
              <w:rPr>
                <w:rFonts w:ascii="Arial" w:cs="Arial" w:eastAsia="Arial" w:hAnsi="Arial"/>
                <w:sz w:val="18"/>
                <w:szCs w:val="18"/>
                <w:color w:val="auto"/>
              </w:rPr>
              <w:t>Net Proceeds per Share to Issuer</w:t>
            </w:r>
          </w:p>
        </w:tc>
        <w:tc>
          <w:tcPr>
            <w:tcW w:w="140" w:type="dxa"/>
            <w:vAlign w:val="bottom"/>
          </w:tcPr>
          <w:p>
            <w:pPr>
              <w:spacing w:after="0"/>
              <w:rPr>
                <w:sz w:val="19"/>
                <w:szCs w:val="19"/>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30"/>
              <w:spacing w:after="0"/>
              <w:rPr>
                <w:sz w:val="20"/>
                <w:szCs w:val="20"/>
                <w:color w:val="auto"/>
              </w:rPr>
            </w:pPr>
            <w:r>
              <w:rPr>
                <w:rFonts w:ascii="Arial" w:cs="Arial" w:eastAsia="Arial" w:hAnsi="Arial"/>
                <w:sz w:val="18"/>
                <w:szCs w:val="18"/>
                <w:color w:val="auto"/>
              </w:rPr>
              <w:t>13.02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130"/>
              <w:spacing w:after="0"/>
              <w:rPr>
                <w:sz w:val="20"/>
                <w:szCs w:val="20"/>
                <w:color w:val="auto"/>
              </w:rPr>
            </w:pPr>
            <w:r>
              <w:rPr>
                <w:rFonts w:ascii="Arial" w:cs="Arial" w:eastAsia="Arial" w:hAnsi="Arial"/>
                <w:sz w:val="18"/>
                <w:szCs w:val="18"/>
                <w:color w:val="auto"/>
              </w:rPr>
              <w:t>13.02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560" w:type="dxa"/>
            <w:vAlign w:val="bottom"/>
            <w:gridSpan w:val="2"/>
            <w:shd w:val="clear" w:color="auto" w:fill="CCEEFF"/>
          </w:tcPr>
          <w:p>
            <w:pPr>
              <w:ind w:left="160"/>
              <w:spacing w:after="0"/>
              <w:rPr>
                <w:sz w:val="20"/>
                <w:szCs w:val="20"/>
                <w:color w:val="auto"/>
              </w:rPr>
            </w:pPr>
            <w:r>
              <w:rPr>
                <w:rFonts w:ascii="Arial" w:cs="Arial" w:eastAsia="Arial" w:hAnsi="Arial"/>
                <w:sz w:val="18"/>
                <w:szCs w:val="18"/>
                <w:b w:val="1"/>
                <w:bCs w:val="1"/>
                <w:i w:val="1"/>
                <w:iCs w:val="1"/>
                <w:color w:val="auto"/>
              </w:rPr>
              <w:t>Decrease/Increase to Net Asset Value</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60" w:type="dxa"/>
            <w:vAlign w:val="bottom"/>
            <w:gridSpan w:val="2"/>
          </w:tcPr>
          <w:p>
            <w:pPr>
              <w:ind w:left="160"/>
              <w:spacing w:after="0"/>
              <w:rPr>
                <w:sz w:val="20"/>
                <w:szCs w:val="20"/>
                <w:color w:val="auto"/>
              </w:rPr>
            </w:pPr>
            <w:r>
              <w:rPr>
                <w:rFonts w:ascii="Arial" w:cs="Arial" w:eastAsia="Arial" w:hAnsi="Arial"/>
                <w:sz w:val="18"/>
                <w:szCs w:val="18"/>
                <w:color w:val="auto"/>
              </w:rPr>
              <w:t>Total Shares Outstanding</w:t>
            </w:r>
          </w:p>
        </w:tc>
        <w:tc>
          <w:tcPr>
            <w:tcW w:w="140" w:type="dxa"/>
            <w:vAlign w:val="bottom"/>
          </w:tcPr>
          <w:p>
            <w:pPr>
              <w:spacing w:after="0"/>
              <w:rPr>
                <w:sz w:val="19"/>
                <w:szCs w:val="19"/>
                <w:color w:val="auto"/>
              </w:rPr>
            </w:pPr>
          </w:p>
        </w:tc>
        <w:tc>
          <w:tcPr>
            <w:tcW w:w="1200" w:type="dxa"/>
            <w:vAlign w:val="bottom"/>
          </w:tcPr>
          <w:p>
            <w:pPr>
              <w:jc w:val="right"/>
              <w:ind w:right="130"/>
              <w:spacing w:after="0"/>
              <w:rPr>
                <w:sz w:val="20"/>
                <w:szCs w:val="20"/>
                <w:color w:val="auto"/>
              </w:rPr>
            </w:pPr>
            <w:r>
              <w:rPr>
                <w:rFonts w:ascii="Arial" w:cs="Arial" w:eastAsia="Arial" w:hAnsi="Arial"/>
                <w:sz w:val="18"/>
                <w:szCs w:val="18"/>
                <w:color w:val="auto"/>
              </w:rPr>
              <w:t>22,530,000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27,036,000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20.00 %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27,036,000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20.00 %</w:t>
            </w:r>
          </w:p>
        </w:tc>
        <w:tc>
          <w:tcPr>
            <w:tcW w:w="0" w:type="dxa"/>
            <w:vAlign w:val="bottom"/>
          </w:tcPr>
          <w:p>
            <w:pPr>
              <w:spacing w:after="0"/>
              <w:rPr>
                <w:sz w:val="1"/>
                <w:szCs w:val="1"/>
                <w:color w:val="auto"/>
              </w:rPr>
            </w:pPr>
          </w:p>
        </w:tc>
      </w:tr>
      <w:tr>
        <w:trPr>
          <w:trHeight w:val="230"/>
        </w:trPr>
        <w:tc>
          <w:tcPr>
            <w:tcW w:w="45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Net Asset Value per Share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16.28</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15.74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15.74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w:t>
            </w:r>
          </w:p>
        </w:tc>
        <w:tc>
          <w:tcPr>
            <w:tcW w:w="0" w:type="dxa"/>
            <w:vAlign w:val="bottom"/>
          </w:tcPr>
          <w:p>
            <w:pPr>
              <w:spacing w:after="0"/>
              <w:rPr>
                <w:sz w:val="1"/>
                <w:szCs w:val="1"/>
                <w:color w:val="auto"/>
              </w:rPr>
            </w:pPr>
          </w:p>
        </w:tc>
      </w:tr>
      <w:tr>
        <w:trPr>
          <w:trHeight w:val="229"/>
        </w:trPr>
        <w:tc>
          <w:tcPr>
            <w:tcW w:w="4560" w:type="dxa"/>
            <w:vAlign w:val="bottom"/>
            <w:gridSpan w:val="2"/>
          </w:tcPr>
          <w:p>
            <w:pPr>
              <w:ind w:left="160"/>
              <w:spacing w:after="0"/>
              <w:rPr>
                <w:sz w:val="20"/>
                <w:szCs w:val="20"/>
                <w:color w:val="auto"/>
              </w:rPr>
            </w:pPr>
            <w:r>
              <w:rPr>
                <w:rFonts w:ascii="Arial" w:cs="Arial" w:eastAsia="Arial" w:hAnsi="Arial"/>
                <w:sz w:val="18"/>
                <w:szCs w:val="18"/>
                <w:b w:val="1"/>
                <w:bCs w:val="1"/>
                <w:i w:val="1"/>
                <w:iCs w:val="1"/>
                <w:color w:val="auto"/>
              </w:rPr>
              <w:t>Dilution/Accretion to Participating Stockholder</w:t>
            </w: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Shares Held by Stockholder A</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225,300</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247,830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292,890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30.00 %</w:t>
            </w:r>
          </w:p>
        </w:tc>
        <w:tc>
          <w:tcPr>
            <w:tcW w:w="0" w:type="dxa"/>
            <w:vAlign w:val="bottom"/>
          </w:tcPr>
          <w:p>
            <w:pPr>
              <w:spacing w:after="0"/>
              <w:rPr>
                <w:sz w:val="1"/>
                <w:szCs w:val="1"/>
                <w:color w:val="auto"/>
              </w:rPr>
            </w:pPr>
          </w:p>
        </w:tc>
      </w:tr>
      <w:tr>
        <w:trPr>
          <w:trHeight w:val="230"/>
        </w:trPr>
        <w:tc>
          <w:tcPr>
            <w:tcW w:w="4560" w:type="dxa"/>
            <w:vAlign w:val="bottom"/>
            <w:gridSpan w:val="2"/>
          </w:tcPr>
          <w:p>
            <w:pPr>
              <w:ind w:left="160"/>
              <w:spacing w:after="0"/>
              <w:rPr>
                <w:sz w:val="20"/>
                <w:szCs w:val="20"/>
                <w:color w:val="auto"/>
              </w:rPr>
            </w:pPr>
            <w:r>
              <w:rPr>
                <w:rFonts w:ascii="Arial" w:cs="Arial" w:eastAsia="Arial" w:hAnsi="Arial"/>
                <w:sz w:val="18"/>
                <w:szCs w:val="18"/>
                <w:color w:val="auto"/>
              </w:rPr>
              <w:t>Percentage Held by Stockholder A</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1.00 %</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0.92 %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(8.33)%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1.08 %</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8.33 %</w:t>
            </w:r>
          </w:p>
        </w:tc>
        <w:tc>
          <w:tcPr>
            <w:tcW w:w="0" w:type="dxa"/>
            <w:vAlign w:val="bottom"/>
          </w:tcPr>
          <w:p>
            <w:pPr>
              <w:spacing w:after="0"/>
              <w:rPr>
                <w:sz w:val="1"/>
                <w:szCs w:val="1"/>
                <w:color w:val="auto"/>
              </w:rPr>
            </w:pPr>
          </w:p>
        </w:tc>
      </w:tr>
      <w:tr>
        <w:trPr>
          <w:trHeight w:val="229"/>
        </w:trPr>
        <w:tc>
          <w:tcPr>
            <w:tcW w:w="45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Total Net Asset Value Held by Stockholder A</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3,667,884</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3,900,757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4,609,986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25.69 %</w:t>
            </w:r>
          </w:p>
        </w:tc>
        <w:tc>
          <w:tcPr>
            <w:tcW w:w="0" w:type="dxa"/>
            <w:vAlign w:val="bottom"/>
          </w:tcPr>
          <w:p>
            <w:pPr>
              <w:spacing w:after="0"/>
              <w:rPr>
                <w:sz w:val="1"/>
                <w:szCs w:val="1"/>
                <w:color w:val="auto"/>
              </w:rPr>
            </w:pPr>
          </w:p>
        </w:tc>
      </w:tr>
      <w:tr>
        <w:trPr>
          <w:trHeight w:val="176"/>
        </w:trPr>
        <w:tc>
          <w:tcPr>
            <w:tcW w:w="4560" w:type="dxa"/>
            <w:vAlign w:val="bottom"/>
            <w:gridSpan w:val="2"/>
          </w:tcPr>
          <w:p>
            <w:pPr>
              <w:ind w:left="160"/>
              <w:spacing w:after="0" w:line="176" w:lineRule="exact"/>
              <w:rPr>
                <w:sz w:val="20"/>
                <w:szCs w:val="20"/>
                <w:color w:val="auto"/>
              </w:rPr>
            </w:pPr>
            <w:r>
              <w:rPr>
                <w:rFonts w:ascii="Arial" w:cs="Arial" w:eastAsia="Arial" w:hAnsi="Arial"/>
                <w:sz w:val="18"/>
                <w:szCs w:val="18"/>
                <w:color w:val="auto"/>
                <w:w w:val="94"/>
              </w:rPr>
              <w:t>Total Investment by Stockholder A (Assumed to be $16.28</w:t>
            </w: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vMerge w:val="restart"/>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vMerge w:val="restart"/>
          </w:tcPr>
          <w:p>
            <w:pPr>
              <w:jc w:val="right"/>
              <w:ind w:right="130"/>
              <w:spacing w:after="0"/>
              <w:rPr>
                <w:sz w:val="20"/>
                <w:szCs w:val="20"/>
                <w:color w:val="auto"/>
              </w:rPr>
            </w:pPr>
            <w:r>
              <w:rPr>
                <w:rFonts w:ascii="Arial" w:cs="Arial" w:eastAsia="Arial" w:hAnsi="Arial"/>
                <w:sz w:val="18"/>
                <w:szCs w:val="18"/>
                <w:color w:val="auto"/>
              </w:rPr>
              <w:t>3,976,758</w:t>
            </w:r>
          </w:p>
        </w:tc>
        <w:tc>
          <w:tcPr>
            <w:tcW w:w="100" w:type="dxa"/>
            <w:vAlign w:val="bottom"/>
          </w:tcPr>
          <w:p>
            <w:pPr>
              <w:spacing w:after="0"/>
              <w:rPr>
                <w:sz w:val="15"/>
                <w:szCs w:val="15"/>
                <w:color w:val="auto"/>
              </w:rPr>
            </w:pP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vMerge w:val="restart"/>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vMerge w:val="restart"/>
          </w:tcPr>
          <w:p>
            <w:pPr>
              <w:jc w:val="right"/>
              <w:ind w:right="130"/>
              <w:spacing w:after="0"/>
              <w:rPr>
                <w:sz w:val="20"/>
                <w:szCs w:val="20"/>
                <w:color w:val="auto"/>
              </w:rPr>
            </w:pPr>
            <w:r>
              <w:rPr>
                <w:rFonts w:ascii="Arial" w:cs="Arial" w:eastAsia="Arial" w:hAnsi="Arial"/>
                <w:sz w:val="18"/>
                <w:szCs w:val="18"/>
                <w:color w:val="auto"/>
              </w:rPr>
              <w:t>4,594,507</w:t>
            </w:r>
          </w:p>
        </w:tc>
        <w:tc>
          <w:tcPr>
            <w:tcW w:w="80" w:type="dxa"/>
            <w:vAlign w:val="bottom"/>
          </w:tcPr>
          <w:p>
            <w:pPr>
              <w:spacing w:after="0"/>
              <w:rPr>
                <w:sz w:val="15"/>
                <w:szCs w:val="15"/>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vMerge w:val="restart"/>
          </w:tcPr>
          <w:p>
            <w:pPr>
              <w:jc w:val="right"/>
              <w:ind w:righ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560" w:type="dxa"/>
            <w:vAlign w:val="bottom"/>
            <w:gridSpan w:val="2"/>
          </w:tcPr>
          <w:p>
            <w:pPr>
              <w:ind w:left="160"/>
              <w:spacing w:after="0"/>
              <w:rPr>
                <w:sz w:val="20"/>
                <w:szCs w:val="20"/>
                <w:color w:val="auto"/>
              </w:rPr>
            </w:pPr>
            <w:r>
              <w:rPr>
                <w:rFonts w:ascii="Arial" w:cs="Arial" w:eastAsia="Arial" w:hAnsi="Arial"/>
                <w:sz w:val="18"/>
                <w:szCs w:val="18"/>
                <w:color w:val="auto"/>
              </w:rPr>
              <w:t>per Share)</w:t>
            </w:r>
          </w:p>
        </w:tc>
        <w:tc>
          <w:tcPr>
            <w:tcW w:w="140" w:type="dxa"/>
            <w:vAlign w:val="bottom"/>
            <w:vMerge w:val="continue"/>
          </w:tcPr>
          <w:p>
            <w:pPr>
              <w:spacing w:after="0"/>
              <w:rPr>
                <w:sz w:val="19"/>
                <w:szCs w:val="19"/>
                <w:color w:val="auto"/>
              </w:rPr>
            </w:pPr>
          </w:p>
        </w:tc>
        <w:tc>
          <w:tcPr>
            <w:tcW w:w="1280" w:type="dxa"/>
            <w:vAlign w:val="bottom"/>
            <w:gridSpan w:val="2"/>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12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vMerge w:val="continue"/>
          </w:tcPr>
          <w:p>
            <w:pPr>
              <w:spacing w:after="0"/>
              <w:rPr>
                <w:sz w:val="19"/>
                <w:szCs w:val="19"/>
                <w:color w:val="auto"/>
              </w:rPr>
            </w:pPr>
          </w:p>
        </w:tc>
        <w:tc>
          <w:tcPr>
            <w:tcW w:w="1060" w:type="dxa"/>
            <w:vAlign w:val="bottom"/>
            <w:gridSpan w:val="2"/>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12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vMerge w:val="continue"/>
          </w:tcPr>
          <w:p>
            <w:pPr>
              <w:spacing w:after="0"/>
              <w:rPr>
                <w:sz w:val="19"/>
                <w:szCs w:val="19"/>
                <w:color w:val="auto"/>
              </w:rPr>
            </w:pPr>
          </w:p>
        </w:tc>
        <w:tc>
          <w:tcPr>
            <w:tcW w:w="9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4560" w:type="dxa"/>
            <w:vAlign w:val="bottom"/>
            <w:gridSpan w:val="2"/>
            <w:shd w:val="clear" w:color="auto" w:fill="CCEEFF"/>
          </w:tcPr>
          <w:p>
            <w:pPr>
              <w:ind w:left="160"/>
              <w:spacing w:after="0" w:line="176" w:lineRule="exact"/>
              <w:rPr>
                <w:sz w:val="20"/>
                <w:szCs w:val="20"/>
                <w:color w:val="auto"/>
              </w:rPr>
            </w:pPr>
            <w:r>
              <w:rPr>
                <w:rFonts w:ascii="Arial" w:cs="Arial" w:eastAsia="Arial" w:hAnsi="Arial"/>
                <w:sz w:val="18"/>
                <w:szCs w:val="18"/>
                <w:color w:val="auto"/>
                <w:w w:val="96"/>
              </w:rPr>
              <w:t>Total Dilution/Accretion to Stockholder A (Total Net Asset</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vMerge w:val="restart"/>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rPr>
              <w:t>(76,001)</w:t>
            </w:r>
          </w:p>
        </w:tc>
        <w:tc>
          <w:tcPr>
            <w:tcW w:w="100" w:type="dxa"/>
            <w:vAlign w:val="bottom"/>
            <w:shd w:val="clear" w:color="auto" w:fill="CCEEFF"/>
          </w:tcPr>
          <w:p>
            <w:pPr>
              <w:spacing w:after="0"/>
              <w:rPr>
                <w:sz w:val="15"/>
                <w:szCs w:val="15"/>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vMerge w:val="restart"/>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15,479</w:t>
            </w:r>
          </w:p>
        </w:tc>
        <w:tc>
          <w:tcPr>
            <w:tcW w:w="80" w:type="dxa"/>
            <w:vAlign w:val="bottom"/>
            <w:shd w:val="clear" w:color="auto" w:fill="CCEEFF"/>
          </w:tcPr>
          <w:p>
            <w:pPr>
              <w:spacing w:after="0"/>
              <w:rPr>
                <w:sz w:val="15"/>
                <w:szCs w:val="15"/>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5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Value Less Total Investment)</w:t>
            </w:r>
          </w:p>
        </w:tc>
        <w:tc>
          <w:tcPr>
            <w:tcW w:w="140" w:type="dxa"/>
            <w:vAlign w:val="bottom"/>
            <w:vMerge w:val="continue"/>
            <w:shd w:val="clear" w:color="auto" w:fill="CCEEFF"/>
          </w:tcPr>
          <w:p>
            <w:pPr>
              <w:spacing w:after="0"/>
              <w:rPr>
                <w:sz w:val="19"/>
                <w:szCs w:val="19"/>
                <w:color w:val="auto"/>
              </w:rPr>
            </w:pPr>
          </w:p>
        </w:tc>
        <w:tc>
          <w:tcPr>
            <w:tcW w:w="1280" w:type="dxa"/>
            <w:vAlign w:val="bottom"/>
            <w:gridSpan w:val="2"/>
            <w:vMerge w:val="continue"/>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12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1060" w:type="dxa"/>
            <w:vAlign w:val="bottom"/>
            <w:gridSpan w:val="2"/>
            <w:vMerge w:val="continue"/>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12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60" w:type="dxa"/>
            <w:vAlign w:val="bottom"/>
            <w:gridSpan w:val="2"/>
          </w:tcPr>
          <w:p>
            <w:pPr>
              <w:ind w:left="160"/>
              <w:spacing w:after="0"/>
              <w:rPr>
                <w:sz w:val="20"/>
                <w:szCs w:val="20"/>
                <w:color w:val="auto"/>
              </w:rPr>
            </w:pPr>
            <w:r>
              <w:rPr>
                <w:rFonts w:ascii="Arial" w:cs="Arial" w:eastAsia="Arial" w:hAnsi="Arial"/>
                <w:sz w:val="18"/>
                <w:szCs w:val="18"/>
                <w:color w:val="auto"/>
              </w:rPr>
              <w:t>Net Asset Value per Share held by Stockholder A</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30"/>
              <w:spacing w:after="0"/>
              <w:rPr>
                <w:sz w:val="20"/>
                <w:szCs w:val="20"/>
                <w:color w:val="auto"/>
              </w:rPr>
            </w:pPr>
            <w:r>
              <w:rPr>
                <w:rFonts w:ascii="Arial" w:cs="Arial" w:eastAsia="Arial" w:hAnsi="Arial"/>
                <w:sz w:val="18"/>
                <w:szCs w:val="18"/>
                <w:color w:val="auto"/>
              </w:rPr>
              <w:t>16.28</w:t>
            </w: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30"/>
              <w:spacing w:after="0"/>
              <w:rPr>
                <w:sz w:val="20"/>
                <w:szCs w:val="20"/>
                <w:color w:val="auto"/>
              </w:rPr>
            </w:pPr>
            <w:r>
              <w:rPr>
                <w:rFonts w:ascii="Arial" w:cs="Arial" w:eastAsia="Arial" w:hAnsi="Arial"/>
                <w:sz w:val="18"/>
                <w:szCs w:val="18"/>
                <w:color w:val="auto"/>
              </w:rPr>
              <w:t>15.74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(3.32)%</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130"/>
              <w:spacing w:after="0"/>
              <w:rPr>
                <w:sz w:val="20"/>
                <w:szCs w:val="20"/>
                <w:color w:val="auto"/>
              </w:rPr>
            </w:pPr>
            <w:r>
              <w:rPr>
                <w:rFonts w:ascii="Arial" w:cs="Arial" w:eastAsia="Arial" w:hAnsi="Arial"/>
                <w:sz w:val="18"/>
                <w:szCs w:val="18"/>
                <w:color w:val="auto"/>
              </w:rPr>
              <w:t>15.74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(3.32)%</w:t>
            </w:r>
          </w:p>
        </w:tc>
        <w:tc>
          <w:tcPr>
            <w:tcW w:w="0" w:type="dxa"/>
            <w:vAlign w:val="bottom"/>
          </w:tcPr>
          <w:p>
            <w:pPr>
              <w:spacing w:after="0"/>
              <w:rPr>
                <w:sz w:val="1"/>
                <w:szCs w:val="1"/>
                <w:color w:val="auto"/>
              </w:rPr>
            </w:pPr>
          </w:p>
        </w:tc>
      </w:tr>
      <w:tr>
        <w:trPr>
          <w:trHeight w:val="176"/>
        </w:trPr>
        <w:tc>
          <w:tcPr>
            <w:tcW w:w="4560" w:type="dxa"/>
            <w:vAlign w:val="bottom"/>
            <w:gridSpan w:val="2"/>
            <w:shd w:val="clear" w:color="auto" w:fill="CCEEFF"/>
          </w:tcPr>
          <w:p>
            <w:pPr>
              <w:ind w:left="160"/>
              <w:spacing w:after="0" w:line="176" w:lineRule="exact"/>
              <w:rPr>
                <w:sz w:val="20"/>
                <w:szCs w:val="20"/>
                <w:color w:val="auto"/>
              </w:rPr>
            </w:pPr>
            <w:r>
              <w:rPr>
                <w:rFonts w:ascii="Arial" w:cs="Arial" w:eastAsia="Arial" w:hAnsi="Arial"/>
                <w:sz w:val="18"/>
                <w:szCs w:val="18"/>
                <w:color w:val="auto"/>
                <w:w w:val="95"/>
              </w:rPr>
              <w:t>Investment per Share held by Stockholder A (Assumed to</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vMerge w:val="restart"/>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16.05</w:t>
            </w:r>
          </w:p>
        </w:tc>
        <w:tc>
          <w:tcPr>
            <w:tcW w:w="100" w:type="dxa"/>
            <w:vAlign w:val="bottom"/>
            <w:shd w:val="clear" w:color="auto" w:fill="CCEEFF"/>
          </w:tcPr>
          <w:p>
            <w:pPr>
              <w:spacing w:after="0"/>
              <w:rPr>
                <w:sz w:val="15"/>
                <w:szCs w:val="15"/>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vMerge w:val="restart"/>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15.69</w:t>
            </w:r>
          </w:p>
        </w:tc>
        <w:tc>
          <w:tcPr>
            <w:tcW w:w="80" w:type="dxa"/>
            <w:vAlign w:val="bottom"/>
            <w:shd w:val="clear" w:color="auto" w:fill="CCEEFF"/>
          </w:tcPr>
          <w:p>
            <w:pPr>
              <w:spacing w:after="0"/>
              <w:rPr>
                <w:sz w:val="15"/>
                <w:szCs w:val="15"/>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5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be $16.28 per Share on Shares Held Prior to Sale)</w:t>
            </w:r>
          </w:p>
        </w:tc>
        <w:tc>
          <w:tcPr>
            <w:tcW w:w="140" w:type="dxa"/>
            <w:vAlign w:val="bottom"/>
            <w:vMerge w:val="continue"/>
            <w:shd w:val="clear" w:color="auto" w:fill="CCEEFF"/>
          </w:tcPr>
          <w:p>
            <w:pPr>
              <w:spacing w:after="0"/>
              <w:rPr>
                <w:sz w:val="19"/>
                <w:szCs w:val="19"/>
                <w:color w:val="auto"/>
              </w:rPr>
            </w:pPr>
          </w:p>
        </w:tc>
        <w:tc>
          <w:tcPr>
            <w:tcW w:w="1280" w:type="dxa"/>
            <w:vAlign w:val="bottom"/>
            <w:gridSpan w:val="2"/>
            <w:vMerge w:val="continue"/>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12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1060" w:type="dxa"/>
            <w:vAlign w:val="bottom"/>
            <w:gridSpan w:val="2"/>
            <w:vMerge w:val="continue"/>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12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4560" w:type="dxa"/>
            <w:vAlign w:val="bottom"/>
            <w:gridSpan w:val="2"/>
          </w:tcPr>
          <w:p>
            <w:pPr>
              <w:ind w:left="160"/>
              <w:spacing w:after="0" w:line="176" w:lineRule="exact"/>
              <w:rPr>
                <w:sz w:val="20"/>
                <w:szCs w:val="20"/>
                <w:color w:val="auto"/>
              </w:rPr>
            </w:pPr>
            <w:r>
              <w:rPr>
                <w:rFonts w:ascii="Arial" w:cs="Arial" w:eastAsia="Arial" w:hAnsi="Arial"/>
                <w:sz w:val="18"/>
                <w:szCs w:val="18"/>
                <w:color w:val="auto"/>
                <w:w w:val="98"/>
              </w:rPr>
              <w:t>Dilution/Accretion per Share Held by Stockholder A (Net</w:t>
            </w: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vMerge w:val="restart"/>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vMerge w:val="restart"/>
          </w:tcPr>
          <w:p>
            <w:pPr>
              <w:jc w:val="right"/>
              <w:ind w:right="130"/>
              <w:spacing w:after="0"/>
              <w:rPr>
                <w:sz w:val="20"/>
                <w:szCs w:val="20"/>
                <w:color w:val="auto"/>
              </w:rPr>
            </w:pPr>
            <w:r>
              <w:rPr>
                <w:rFonts w:ascii="Arial" w:cs="Arial" w:eastAsia="Arial" w:hAnsi="Arial"/>
                <w:sz w:val="18"/>
                <w:szCs w:val="18"/>
                <w:color w:val="auto"/>
              </w:rPr>
              <w:t>0.31</w:t>
            </w:r>
          </w:p>
        </w:tc>
        <w:tc>
          <w:tcPr>
            <w:tcW w:w="100" w:type="dxa"/>
            <w:vAlign w:val="bottom"/>
          </w:tcPr>
          <w:p>
            <w:pPr>
              <w:spacing w:after="0"/>
              <w:rPr>
                <w:sz w:val="15"/>
                <w:szCs w:val="15"/>
                <w:color w:val="auto"/>
              </w:rPr>
            </w:pP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vMerge w:val="restart"/>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vMerge w:val="restart"/>
          </w:tcPr>
          <w:p>
            <w:pPr>
              <w:jc w:val="right"/>
              <w:ind w:right="90"/>
              <w:spacing w:after="0"/>
              <w:rPr>
                <w:sz w:val="20"/>
                <w:szCs w:val="20"/>
                <w:color w:val="auto"/>
              </w:rPr>
            </w:pPr>
            <w:r>
              <w:rPr>
                <w:rFonts w:ascii="Arial" w:cs="Arial" w:eastAsia="Arial" w:hAnsi="Arial"/>
                <w:sz w:val="18"/>
                <w:szCs w:val="18"/>
                <w:color w:val="auto"/>
              </w:rPr>
              <w:t>(0.05)</w:t>
            </w:r>
          </w:p>
        </w:tc>
        <w:tc>
          <w:tcPr>
            <w:tcW w:w="80" w:type="dxa"/>
            <w:vAlign w:val="bottom"/>
          </w:tcPr>
          <w:p>
            <w:pPr>
              <w:spacing w:after="0"/>
              <w:rPr>
                <w:sz w:val="15"/>
                <w:szCs w:val="15"/>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vMerge w:val="restart"/>
          </w:tcPr>
          <w:p>
            <w:pPr>
              <w:jc w:val="right"/>
              <w:ind w:righ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560" w:type="dxa"/>
            <w:vAlign w:val="bottom"/>
            <w:gridSpan w:val="2"/>
          </w:tcPr>
          <w:p>
            <w:pPr>
              <w:ind w:left="160"/>
              <w:spacing w:after="0"/>
              <w:rPr>
                <w:sz w:val="20"/>
                <w:szCs w:val="20"/>
                <w:color w:val="auto"/>
              </w:rPr>
            </w:pPr>
            <w:r>
              <w:rPr>
                <w:rFonts w:ascii="Arial" w:cs="Arial" w:eastAsia="Arial" w:hAnsi="Arial"/>
                <w:sz w:val="18"/>
                <w:szCs w:val="18"/>
                <w:color w:val="auto"/>
              </w:rPr>
              <w:t>Asset Value per Share Less Investment per Share)</w:t>
            </w:r>
          </w:p>
        </w:tc>
        <w:tc>
          <w:tcPr>
            <w:tcW w:w="140" w:type="dxa"/>
            <w:vAlign w:val="bottom"/>
            <w:vMerge w:val="continue"/>
          </w:tcPr>
          <w:p>
            <w:pPr>
              <w:spacing w:after="0"/>
              <w:rPr>
                <w:sz w:val="19"/>
                <w:szCs w:val="19"/>
                <w:color w:val="auto"/>
              </w:rPr>
            </w:pPr>
          </w:p>
        </w:tc>
        <w:tc>
          <w:tcPr>
            <w:tcW w:w="1280" w:type="dxa"/>
            <w:vAlign w:val="bottom"/>
            <w:gridSpan w:val="2"/>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12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vMerge w:val="continue"/>
          </w:tcPr>
          <w:p>
            <w:pPr>
              <w:spacing w:after="0"/>
              <w:rPr>
                <w:sz w:val="19"/>
                <w:szCs w:val="19"/>
                <w:color w:val="auto"/>
              </w:rPr>
            </w:pPr>
          </w:p>
        </w:tc>
        <w:tc>
          <w:tcPr>
            <w:tcW w:w="1060" w:type="dxa"/>
            <w:vAlign w:val="bottom"/>
            <w:gridSpan w:val="2"/>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12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vMerge w:val="continue"/>
          </w:tcPr>
          <w:p>
            <w:pPr>
              <w:spacing w:after="0"/>
              <w:rPr>
                <w:sz w:val="19"/>
                <w:szCs w:val="19"/>
                <w:color w:val="auto"/>
              </w:rPr>
            </w:pPr>
          </w:p>
        </w:tc>
        <w:tc>
          <w:tcPr>
            <w:tcW w:w="9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4560" w:type="dxa"/>
            <w:vAlign w:val="bottom"/>
            <w:gridSpan w:val="2"/>
            <w:shd w:val="clear" w:color="auto" w:fill="CCEEFF"/>
          </w:tcPr>
          <w:p>
            <w:pPr>
              <w:ind w:left="160"/>
              <w:spacing w:after="0" w:line="176" w:lineRule="exact"/>
              <w:rPr>
                <w:sz w:val="20"/>
                <w:szCs w:val="20"/>
                <w:color w:val="auto"/>
              </w:rPr>
            </w:pPr>
            <w:r>
              <w:rPr>
                <w:rFonts w:ascii="Arial" w:cs="Arial" w:eastAsia="Arial" w:hAnsi="Arial"/>
                <w:sz w:val="18"/>
                <w:szCs w:val="18"/>
                <w:color w:val="auto"/>
                <w:w w:val="98"/>
              </w:rPr>
              <w:t>Percentage Dilution to Stockholder A (Dilution/Accretion</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vMerge w:val="restart"/>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gridSpan w:val="2"/>
            <w:vMerge w:val="restart"/>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1.91 %</w:t>
            </w:r>
          </w:p>
        </w:tc>
        <w:tc>
          <w:tcPr>
            <w:tcW w:w="100" w:type="dxa"/>
            <w:vAlign w:val="bottom"/>
            <w:shd w:val="clear" w:color="auto" w:fill="CCEEFF"/>
          </w:tcPr>
          <w:p>
            <w:pPr>
              <w:spacing w:after="0"/>
              <w:rPr>
                <w:sz w:val="15"/>
                <w:szCs w:val="15"/>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vMerge w:val="restart"/>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(0.34)%</w:t>
            </w:r>
          </w:p>
        </w:tc>
        <w:tc>
          <w:tcPr>
            <w:tcW w:w="0" w:type="dxa"/>
            <w:vAlign w:val="bottom"/>
          </w:tcPr>
          <w:p>
            <w:pPr>
              <w:spacing w:after="0"/>
              <w:rPr>
                <w:sz w:val="1"/>
                <w:szCs w:val="1"/>
                <w:color w:val="auto"/>
              </w:rPr>
            </w:pPr>
          </w:p>
        </w:tc>
      </w:tr>
      <w:tr>
        <w:trPr>
          <w:trHeight w:val="229"/>
        </w:trPr>
        <w:tc>
          <w:tcPr>
            <w:tcW w:w="45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per Share Divided by Investment per Share)</w:t>
            </w:r>
          </w:p>
        </w:tc>
        <w:tc>
          <w:tcPr>
            <w:tcW w:w="140" w:type="dxa"/>
            <w:vAlign w:val="bottom"/>
            <w:vMerge w:val="continue"/>
            <w:shd w:val="clear" w:color="auto" w:fill="CCEEFF"/>
          </w:tcPr>
          <w:p>
            <w:pPr>
              <w:spacing w:after="0"/>
              <w:rPr>
                <w:sz w:val="19"/>
                <w:szCs w:val="19"/>
                <w:color w:val="auto"/>
              </w:rPr>
            </w:pPr>
          </w:p>
        </w:tc>
        <w:tc>
          <w:tcPr>
            <w:tcW w:w="1280" w:type="dxa"/>
            <w:vAlign w:val="bottom"/>
            <w:gridSpan w:val="2"/>
            <w:vMerge w:val="continue"/>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138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136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on New Investors of Common Shares</w:t>
      </w:r>
    </w:p>
    <w:p>
      <w:pPr>
        <w:spacing w:after="0" w:line="229"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Investors who are not currently shareholders and who participate in an offering of the Company’s common stock below net asset value but whose investment per share is greater than the resulting net asset value per share due to selling compensation and expenses paid by the issuer will experience an immediate decrease, albeit small, in the net asset value of their shares of common stock and their net asset value per share compared to the price they pay for their shares of common stock. Investors who are not currently shareholders and who participate in an offering below net asset value per share and whose investment per share is also less than the resulting net asset value per share due to selling compensation and expenses paid by the issuer being significantly less than the discount per share will experience an immediate increase in the net asset value of their shares of common stock and their net asset value per share compared to the price they pay for their shares of common stock. These investors will experience a disproportionately greater participation in the Company’s earnings and assets and their voting power than the Company’s increase in assets, potential earning power and voting interests. These investors will, however, be subject to the risk that the Company may make additional discounted offerings in which such new shareholder does not participate, in which case such new shareholder will experience dilution as described above in such subsequent offerings. These investors may also experience a decline in the market price of their shares of common stock, which often reflects to some degree announced or potential increases and decreases in net asset value per share. This decrease could be more pronounced as the size of the offering and level of discounts increases.</w:t>
      </w:r>
    </w:p>
    <w:p>
      <w:pPr>
        <w:spacing w:after="0" w:line="168"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color w:val="auto"/>
        </w:rPr>
        <w:t>The following chart illustrates the level of dilution or accretion for new investors that would be experienced by a new investor in the same hypothetical 5%, 10% and 20% discounted offerings as described in the first chart above. The illustration is for a new investor who purchases the same percentage</w:t>
      </w:r>
    </w:p>
    <w:p>
      <w:pPr>
        <w:ind w:right="260"/>
        <w:spacing w:after="0" w:line="260" w:lineRule="auto"/>
        <w:rPr>
          <w:sz w:val="20"/>
          <w:szCs w:val="20"/>
          <w:color w:val="auto"/>
        </w:rPr>
      </w:pPr>
      <w:r>
        <w:rPr>
          <w:rFonts w:ascii="Arial" w:cs="Arial" w:eastAsia="Arial" w:hAnsi="Arial"/>
          <w:sz w:val="18"/>
          <w:szCs w:val="18"/>
          <w:color w:val="auto"/>
        </w:rPr>
        <w:t>(1.00%) of the shares of common stock in the offering as Shareholder A in the prior examples held immediately prior to the offering. It is not possible to predict the level of market price decline that may occur.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40"/>
          </w:cols>
          <w:pgMar w:left="320" w:top="1440" w:right="339" w:bottom="1440" w:gutter="0" w:footer="0" w:header="0"/>
        </w:sectPr>
      </w:pPr>
    </w:p>
    <w:bookmarkStart w:id="19" w:name="page20"/>
    <w:bookmarkEnd w:id="19"/>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14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94"/>
              </w:rPr>
              <w:t>Example 1 5%</w:t>
            </w:r>
          </w:p>
        </w:tc>
        <w:tc>
          <w:tcPr>
            <w:tcW w:w="280" w:type="dxa"/>
            <w:vAlign w:val="bottom"/>
          </w:tcPr>
          <w:p>
            <w:pPr>
              <w:spacing w:after="0"/>
              <w:rPr>
                <w:sz w:val="17"/>
                <w:szCs w:val="17"/>
                <w:color w:val="auto"/>
              </w:rPr>
            </w:pPr>
          </w:p>
        </w:tc>
        <w:tc>
          <w:tcPr>
            <w:tcW w:w="218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93"/>
              </w:rPr>
              <w:t>Example 2 10%</w:t>
            </w:r>
          </w:p>
        </w:tc>
        <w:tc>
          <w:tcPr>
            <w:tcW w:w="260" w:type="dxa"/>
            <w:vAlign w:val="bottom"/>
          </w:tcPr>
          <w:p>
            <w:pPr>
              <w:spacing w:after="0"/>
              <w:rPr>
                <w:sz w:val="17"/>
                <w:szCs w:val="17"/>
                <w:color w:val="auto"/>
              </w:rPr>
            </w:pPr>
          </w:p>
        </w:tc>
        <w:tc>
          <w:tcPr>
            <w:tcW w:w="2080" w:type="dxa"/>
            <w:vAlign w:val="bottom"/>
            <w:gridSpan w:val="4"/>
          </w:tcPr>
          <w:p>
            <w:pPr>
              <w:jc w:val="center"/>
              <w:ind w:right="170"/>
              <w:spacing w:after="0"/>
              <w:rPr>
                <w:sz w:val="20"/>
                <w:szCs w:val="20"/>
                <w:color w:val="auto"/>
              </w:rPr>
            </w:pPr>
            <w:r>
              <w:rPr>
                <w:rFonts w:ascii="Arial" w:cs="Arial" w:eastAsia="Arial" w:hAnsi="Arial"/>
                <w:sz w:val="18"/>
                <w:szCs w:val="18"/>
                <w:b w:val="1"/>
                <w:bCs w:val="1"/>
                <w:color w:val="auto"/>
                <w:w w:val="93"/>
              </w:rPr>
              <w:t>Example 3 20%</w:t>
            </w:r>
          </w:p>
        </w:tc>
        <w:tc>
          <w:tcPr>
            <w:tcW w:w="0" w:type="dxa"/>
            <w:vAlign w:val="bottom"/>
          </w:tcPr>
          <w:p>
            <w:pPr>
              <w:spacing w:after="0"/>
              <w:rPr>
                <w:sz w:val="1"/>
                <w:szCs w:val="1"/>
                <w:color w:val="auto"/>
              </w:rPr>
            </w:pPr>
          </w:p>
        </w:tc>
      </w:tr>
      <w:tr>
        <w:trPr>
          <w:trHeight w:val="175"/>
        </w:trPr>
        <w:tc>
          <w:tcPr>
            <w:tcW w:w="2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140" w:type="dxa"/>
            <w:vAlign w:val="bottom"/>
            <w:gridSpan w:val="5"/>
          </w:tcPr>
          <w:p>
            <w:pPr>
              <w:jc w:val="center"/>
              <w:ind w:right="360"/>
              <w:spacing w:after="0" w:line="176" w:lineRule="exact"/>
              <w:rPr>
                <w:sz w:val="20"/>
                <w:szCs w:val="20"/>
                <w:color w:val="auto"/>
              </w:rPr>
            </w:pPr>
            <w:r>
              <w:rPr>
                <w:rFonts w:ascii="Arial" w:cs="Arial" w:eastAsia="Arial" w:hAnsi="Arial"/>
                <w:sz w:val="18"/>
                <w:szCs w:val="18"/>
                <w:b w:val="1"/>
                <w:bCs w:val="1"/>
                <w:color w:val="auto"/>
                <w:w w:val="96"/>
              </w:rPr>
              <w:t>Offering at 5%</w:t>
            </w:r>
          </w:p>
        </w:tc>
        <w:tc>
          <w:tcPr>
            <w:tcW w:w="280" w:type="dxa"/>
            <w:vAlign w:val="bottom"/>
          </w:tcPr>
          <w:p>
            <w:pPr>
              <w:spacing w:after="0"/>
              <w:rPr>
                <w:sz w:val="15"/>
                <w:szCs w:val="15"/>
                <w:color w:val="auto"/>
              </w:rPr>
            </w:pPr>
          </w:p>
        </w:tc>
        <w:tc>
          <w:tcPr>
            <w:tcW w:w="2180" w:type="dxa"/>
            <w:vAlign w:val="bottom"/>
            <w:gridSpan w:val="5"/>
          </w:tcPr>
          <w:p>
            <w:pPr>
              <w:jc w:val="center"/>
              <w:ind w:right="360"/>
              <w:spacing w:after="0" w:line="176" w:lineRule="exact"/>
              <w:rPr>
                <w:sz w:val="20"/>
                <w:szCs w:val="20"/>
                <w:color w:val="auto"/>
              </w:rPr>
            </w:pPr>
            <w:r>
              <w:rPr>
                <w:rFonts w:ascii="Arial" w:cs="Arial" w:eastAsia="Arial" w:hAnsi="Arial"/>
                <w:sz w:val="18"/>
                <w:szCs w:val="18"/>
                <w:b w:val="1"/>
                <w:bCs w:val="1"/>
                <w:color w:val="auto"/>
                <w:w w:val="95"/>
              </w:rPr>
              <w:t>Offering at 10%</w:t>
            </w:r>
          </w:p>
        </w:tc>
        <w:tc>
          <w:tcPr>
            <w:tcW w:w="260" w:type="dxa"/>
            <w:vAlign w:val="bottom"/>
          </w:tcPr>
          <w:p>
            <w:pPr>
              <w:spacing w:after="0"/>
              <w:rPr>
                <w:sz w:val="15"/>
                <w:szCs w:val="15"/>
                <w:color w:val="auto"/>
              </w:rPr>
            </w:pPr>
          </w:p>
        </w:tc>
        <w:tc>
          <w:tcPr>
            <w:tcW w:w="2080" w:type="dxa"/>
            <w:vAlign w:val="bottom"/>
            <w:gridSpan w:val="4"/>
          </w:tcPr>
          <w:p>
            <w:pPr>
              <w:jc w:val="center"/>
              <w:ind w:right="170"/>
              <w:spacing w:after="0" w:line="176" w:lineRule="exact"/>
              <w:rPr>
                <w:sz w:val="20"/>
                <w:szCs w:val="20"/>
                <w:color w:val="auto"/>
              </w:rPr>
            </w:pPr>
            <w:r>
              <w:rPr>
                <w:rFonts w:ascii="Arial" w:cs="Arial" w:eastAsia="Arial" w:hAnsi="Arial"/>
                <w:sz w:val="18"/>
                <w:szCs w:val="18"/>
                <w:b w:val="1"/>
                <w:bCs w:val="1"/>
                <w:color w:val="auto"/>
                <w:w w:val="95"/>
              </w:rPr>
              <w:t>Offering at 20%</w:t>
            </w:r>
          </w:p>
        </w:tc>
        <w:tc>
          <w:tcPr>
            <w:tcW w:w="0" w:type="dxa"/>
            <w:vAlign w:val="bottom"/>
          </w:tcPr>
          <w:p>
            <w:pPr>
              <w:spacing w:after="0"/>
              <w:rPr>
                <w:sz w:val="1"/>
                <w:szCs w:val="1"/>
                <w:color w:val="auto"/>
              </w:rPr>
            </w:pPr>
          </w:p>
        </w:tc>
      </w:tr>
      <w:tr>
        <w:trPr>
          <w:trHeight w:val="230"/>
        </w:trPr>
        <w:tc>
          <w:tcPr>
            <w:tcW w:w="2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3"/>
          </w:tcPr>
          <w:p>
            <w:pPr>
              <w:jc w:val="center"/>
              <w:ind w:left="370"/>
              <w:spacing w:after="0"/>
              <w:rPr>
                <w:sz w:val="20"/>
                <w:szCs w:val="20"/>
                <w:color w:val="auto"/>
              </w:rPr>
            </w:pPr>
            <w:r>
              <w:rPr>
                <w:rFonts w:ascii="Arial" w:cs="Arial" w:eastAsia="Arial" w:hAnsi="Arial"/>
                <w:sz w:val="18"/>
                <w:szCs w:val="18"/>
                <w:b w:val="1"/>
                <w:bCs w:val="1"/>
                <w:color w:val="auto"/>
                <w:w w:val="88"/>
              </w:rPr>
              <w:t>Discount</w:t>
            </w:r>
          </w:p>
        </w:tc>
        <w:tc>
          <w:tcPr>
            <w:tcW w:w="7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3"/>
          </w:tcPr>
          <w:p>
            <w:pPr>
              <w:jc w:val="center"/>
              <w:ind w:left="370"/>
              <w:spacing w:after="0"/>
              <w:rPr>
                <w:sz w:val="20"/>
                <w:szCs w:val="20"/>
                <w:color w:val="auto"/>
              </w:rPr>
            </w:pPr>
            <w:r>
              <w:rPr>
                <w:rFonts w:ascii="Arial" w:cs="Arial" w:eastAsia="Arial" w:hAnsi="Arial"/>
                <w:sz w:val="18"/>
                <w:szCs w:val="18"/>
                <w:b w:val="1"/>
                <w:bCs w:val="1"/>
                <w:color w:val="auto"/>
                <w:w w:val="88"/>
              </w:rPr>
              <w:t>Discount</w:t>
            </w:r>
          </w:p>
        </w:tc>
        <w:tc>
          <w:tcPr>
            <w:tcW w:w="7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3"/>
          </w:tcPr>
          <w:p>
            <w:pPr>
              <w:jc w:val="center"/>
              <w:ind w:left="350"/>
              <w:spacing w:after="0"/>
              <w:rPr>
                <w:sz w:val="20"/>
                <w:szCs w:val="20"/>
                <w:color w:val="auto"/>
              </w:rPr>
            </w:pPr>
            <w:r>
              <w:rPr>
                <w:rFonts w:ascii="Arial" w:cs="Arial" w:eastAsia="Arial" w:hAnsi="Arial"/>
                <w:sz w:val="18"/>
                <w:szCs w:val="18"/>
                <w:b w:val="1"/>
                <w:bCs w:val="1"/>
                <w:color w:val="auto"/>
                <w:w w:val="88"/>
              </w:rPr>
              <w:t>Discount</w:t>
            </w:r>
          </w:p>
        </w:tc>
        <w:tc>
          <w:tcPr>
            <w:tcW w:w="7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640" w:type="dxa"/>
            <w:vAlign w:val="bottom"/>
            <w:gridSpan w:val="2"/>
          </w:tcPr>
          <w:p>
            <w:pPr>
              <w:ind w:left="20"/>
              <w:spacing w:after="0"/>
              <w:rPr>
                <w:sz w:val="20"/>
                <w:szCs w:val="20"/>
                <w:color w:val="auto"/>
              </w:rPr>
            </w:pPr>
            <w:r>
              <w:rPr>
                <w:rFonts w:ascii="Arial" w:cs="Arial" w:eastAsia="Arial" w:hAnsi="Arial"/>
                <w:sz w:val="18"/>
                <w:szCs w:val="18"/>
                <w:b w:val="1"/>
                <w:bCs w:val="1"/>
                <w:color w:val="auto"/>
              </w:rPr>
              <w:t>Prior to Sale Below NAV</w:t>
            </w:r>
          </w:p>
        </w:tc>
        <w:tc>
          <w:tcPr>
            <w:tcW w:w="140" w:type="dxa"/>
            <w:vAlign w:val="bottom"/>
          </w:tcPr>
          <w:p>
            <w:pPr>
              <w:spacing w:after="0"/>
              <w:rPr>
                <w:sz w:val="19"/>
                <w:szCs w:val="19"/>
                <w:color w:val="auto"/>
              </w:rPr>
            </w:pPr>
          </w:p>
        </w:tc>
        <w:tc>
          <w:tcPr>
            <w:tcW w:w="1260" w:type="dxa"/>
            <w:vAlign w:val="bottom"/>
            <w:gridSpan w:val="2"/>
          </w:tcPr>
          <w:p>
            <w:pPr>
              <w:ind w:left="20"/>
              <w:spacing w:after="0"/>
              <w:rPr>
                <w:sz w:val="20"/>
                <w:szCs w:val="20"/>
                <w:color w:val="auto"/>
              </w:rPr>
            </w:pPr>
            <w:r>
              <w:rPr>
                <w:rFonts w:ascii="Arial" w:cs="Arial" w:eastAsia="Arial" w:hAnsi="Arial"/>
                <w:sz w:val="18"/>
                <w:szCs w:val="18"/>
                <w:b w:val="1"/>
                <w:bCs w:val="1"/>
                <w:color w:val="auto"/>
              </w:rPr>
              <w:t>Prior to Sale</w:t>
            </w:r>
          </w:p>
        </w:tc>
        <w:tc>
          <w:tcPr>
            <w:tcW w:w="1320" w:type="dxa"/>
            <w:vAlign w:val="bottom"/>
            <w:gridSpan w:val="3"/>
          </w:tcPr>
          <w:p>
            <w:pPr>
              <w:ind w:left="40"/>
              <w:spacing w:after="0"/>
              <w:rPr>
                <w:sz w:val="20"/>
                <w:szCs w:val="20"/>
                <w:color w:val="auto"/>
              </w:rPr>
            </w:pPr>
            <w:r>
              <w:rPr>
                <w:rFonts w:ascii="Arial" w:cs="Arial" w:eastAsia="Arial" w:hAnsi="Arial"/>
                <w:sz w:val="18"/>
                <w:szCs w:val="18"/>
                <w:b w:val="1"/>
                <w:bCs w:val="1"/>
                <w:color w:val="auto"/>
                <w:w w:val="99"/>
              </w:rPr>
              <w:t>Following Sale</w:t>
            </w:r>
          </w:p>
        </w:tc>
        <w:tc>
          <w:tcPr>
            <w:tcW w:w="100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 Change</w:t>
            </w:r>
          </w:p>
        </w:tc>
        <w:tc>
          <w:tcPr>
            <w:tcW w:w="80" w:type="dxa"/>
            <w:vAlign w:val="bottom"/>
          </w:tcPr>
          <w:p>
            <w:pPr>
              <w:spacing w:after="0"/>
              <w:rPr>
                <w:sz w:val="19"/>
                <w:szCs w:val="19"/>
                <w:color w:val="auto"/>
              </w:rPr>
            </w:pPr>
          </w:p>
        </w:tc>
        <w:tc>
          <w:tcPr>
            <w:tcW w:w="1360" w:type="dxa"/>
            <w:vAlign w:val="bottom"/>
            <w:gridSpan w:val="3"/>
          </w:tcPr>
          <w:p>
            <w:pPr>
              <w:ind w:left="80"/>
              <w:spacing w:after="0"/>
              <w:rPr>
                <w:sz w:val="20"/>
                <w:szCs w:val="20"/>
                <w:color w:val="auto"/>
              </w:rPr>
            </w:pPr>
            <w:r>
              <w:rPr>
                <w:rFonts w:ascii="Arial" w:cs="Arial" w:eastAsia="Arial" w:hAnsi="Arial"/>
                <w:sz w:val="18"/>
                <w:szCs w:val="18"/>
                <w:b w:val="1"/>
                <w:bCs w:val="1"/>
                <w:color w:val="auto"/>
                <w:w w:val="99"/>
              </w:rPr>
              <w:t>Following Sale</w:t>
            </w:r>
          </w:p>
        </w:tc>
        <w:tc>
          <w:tcPr>
            <w:tcW w:w="100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 Change</w:t>
            </w:r>
          </w:p>
        </w:tc>
        <w:tc>
          <w:tcPr>
            <w:tcW w:w="100" w:type="dxa"/>
            <w:vAlign w:val="bottom"/>
          </w:tcPr>
          <w:p>
            <w:pPr>
              <w:spacing w:after="0"/>
              <w:rPr>
                <w:sz w:val="19"/>
                <w:szCs w:val="19"/>
                <w:color w:val="auto"/>
              </w:rPr>
            </w:pPr>
          </w:p>
        </w:tc>
        <w:tc>
          <w:tcPr>
            <w:tcW w:w="1340" w:type="dxa"/>
            <w:vAlign w:val="bottom"/>
            <w:gridSpan w:val="3"/>
          </w:tcPr>
          <w:p>
            <w:pPr>
              <w:ind w:left="60"/>
              <w:spacing w:after="0"/>
              <w:rPr>
                <w:sz w:val="20"/>
                <w:szCs w:val="20"/>
                <w:color w:val="auto"/>
              </w:rPr>
            </w:pPr>
            <w:r>
              <w:rPr>
                <w:rFonts w:ascii="Arial" w:cs="Arial" w:eastAsia="Arial" w:hAnsi="Arial"/>
                <w:sz w:val="18"/>
                <w:szCs w:val="18"/>
                <w:b w:val="1"/>
                <w:bCs w:val="1"/>
                <w:color w:val="auto"/>
                <w:w w:val="99"/>
              </w:rPr>
              <w:t>Following Sale</w:t>
            </w:r>
          </w:p>
        </w:tc>
        <w:tc>
          <w:tcPr>
            <w:tcW w:w="100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23"/>
        </w:trPr>
        <w:tc>
          <w:tcPr>
            <w:tcW w:w="254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i w:val="1"/>
                <w:iCs w:val="1"/>
                <w:color w:val="auto"/>
              </w:rPr>
              <w:t>Offering Price</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6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Price per Share to Public</w:t>
            </w: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16.28</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15.42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13.71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640" w:type="dxa"/>
            <w:vAlign w:val="bottom"/>
            <w:gridSpan w:val="2"/>
          </w:tcPr>
          <w:p>
            <w:pPr>
              <w:ind w:left="160"/>
              <w:spacing w:after="0"/>
              <w:rPr>
                <w:sz w:val="20"/>
                <w:szCs w:val="20"/>
                <w:color w:val="auto"/>
              </w:rPr>
            </w:pPr>
            <w:r>
              <w:rPr>
                <w:rFonts w:ascii="Arial" w:cs="Arial" w:eastAsia="Arial" w:hAnsi="Arial"/>
                <w:sz w:val="18"/>
                <w:szCs w:val="18"/>
                <w:color w:val="auto"/>
                <w:w w:val="92"/>
              </w:rPr>
              <w:t>Net Proceeds per Share to Issuer</w:t>
            </w:r>
          </w:p>
        </w:tc>
        <w:tc>
          <w:tcPr>
            <w:tcW w:w="140" w:type="dxa"/>
            <w:vAlign w:val="bottom"/>
          </w:tcPr>
          <w:p>
            <w:pPr>
              <w:spacing w:after="0"/>
              <w:rPr>
                <w:sz w:val="19"/>
                <w:szCs w:val="19"/>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30"/>
              <w:spacing w:after="0"/>
              <w:rPr>
                <w:sz w:val="20"/>
                <w:szCs w:val="20"/>
                <w:color w:val="auto"/>
              </w:rPr>
            </w:pPr>
            <w:r>
              <w:rPr>
                <w:rFonts w:ascii="Arial" w:cs="Arial" w:eastAsia="Arial" w:hAnsi="Arial"/>
                <w:sz w:val="18"/>
                <w:szCs w:val="18"/>
                <w:color w:val="auto"/>
              </w:rPr>
              <w:t>15.47</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30"/>
              <w:spacing w:after="0"/>
              <w:rPr>
                <w:sz w:val="20"/>
                <w:szCs w:val="20"/>
                <w:color w:val="auto"/>
              </w:rPr>
            </w:pPr>
            <w:r>
              <w:rPr>
                <w:rFonts w:ascii="Arial" w:cs="Arial" w:eastAsia="Arial" w:hAnsi="Arial"/>
                <w:sz w:val="18"/>
                <w:szCs w:val="18"/>
                <w:color w:val="auto"/>
              </w:rPr>
              <w:t>14.65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30"/>
              <w:spacing w:after="0"/>
              <w:rPr>
                <w:sz w:val="20"/>
                <w:szCs w:val="20"/>
                <w:color w:val="auto"/>
              </w:rPr>
            </w:pPr>
            <w:r>
              <w:rPr>
                <w:rFonts w:ascii="Arial" w:cs="Arial" w:eastAsia="Arial" w:hAnsi="Arial"/>
                <w:sz w:val="18"/>
                <w:szCs w:val="18"/>
                <w:color w:val="auto"/>
              </w:rPr>
              <w:t>13.02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640" w:type="dxa"/>
            <w:vAlign w:val="bottom"/>
            <w:gridSpan w:val="2"/>
            <w:shd w:val="clear" w:color="auto" w:fill="CCEEFF"/>
          </w:tcPr>
          <w:p>
            <w:pPr>
              <w:ind w:left="160"/>
              <w:spacing w:after="0"/>
              <w:rPr>
                <w:sz w:val="20"/>
                <w:szCs w:val="20"/>
                <w:color w:val="auto"/>
              </w:rPr>
            </w:pPr>
            <w:r>
              <w:rPr>
                <w:rFonts w:ascii="Arial" w:cs="Arial" w:eastAsia="Arial" w:hAnsi="Arial"/>
                <w:sz w:val="18"/>
                <w:szCs w:val="18"/>
                <w:b w:val="1"/>
                <w:bCs w:val="1"/>
                <w:i w:val="1"/>
                <w:iCs w:val="1"/>
                <w:color w:val="auto"/>
              </w:rPr>
              <w:t>Decrease to Net Asset Value</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40" w:type="dxa"/>
            <w:vAlign w:val="bottom"/>
            <w:gridSpan w:val="2"/>
          </w:tcPr>
          <w:p>
            <w:pPr>
              <w:ind w:left="160"/>
              <w:spacing w:after="0"/>
              <w:rPr>
                <w:sz w:val="20"/>
                <w:szCs w:val="20"/>
                <w:color w:val="auto"/>
              </w:rPr>
            </w:pPr>
            <w:r>
              <w:rPr>
                <w:rFonts w:ascii="Arial" w:cs="Arial" w:eastAsia="Arial" w:hAnsi="Arial"/>
                <w:sz w:val="18"/>
                <w:szCs w:val="18"/>
                <w:color w:val="auto"/>
              </w:rPr>
              <w:t>Total Shares Outstanding</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22,530,000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23,656,500</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5.00 %</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24,783,000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27,036,000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20.00 %</w:t>
            </w:r>
          </w:p>
        </w:tc>
        <w:tc>
          <w:tcPr>
            <w:tcW w:w="0" w:type="dxa"/>
            <w:vAlign w:val="bottom"/>
          </w:tcPr>
          <w:p>
            <w:pPr>
              <w:spacing w:after="0"/>
              <w:rPr>
                <w:sz w:val="1"/>
                <w:szCs w:val="1"/>
                <w:color w:val="auto"/>
              </w:rPr>
            </w:pPr>
          </w:p>
        </w:tc>
      </w:tr>
      <w:tr>
        <w:trPr>
          <w:trHeight w:val="229"/>
        </w:trPr>
        <w:tc>
          <w:tcPr>
            <w:tcW w:w="26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Net Asset Value per Share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16.28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16.24</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(0.27)%</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16.13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15.74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w:t>
            </w:r>
          </w:p>
        </w:tc>
        <w:tc>
          <w:tcPr>
            <w:tcW w:w="0" w:type="dxa"/>
            <w:vAlign w:val="bottom"/>
          </w:tcPr>
          <w:p>
            <w:pPr>
              <w:spacing w:after="0"/>
              <w:rPr>
                <w:sz w:val="1"/>
                <w:szCs w:val="1"/>
                <w:color w:val="auto"/>
              </w:rPr>
            </w:pPr>
          </w:p>
        </w:tc>
      </w:tr>
      <w:tr>
        <w:trPr>
          <w:trHeight w:val="176"/>
        </w:trPr>
        <w:tc>
          <w:tcPr>
            <w:tcW w:w="2640" w:type="dxa"/>
            <w:vAlign w:val="bottom"/>
            <w:gridSpan w:val="2"/>
          </w:tcPr>
          <w:p>
            <w:pPr>
              <w:ind w:left="160"/>
              <w:spacing w:after="0" w:line="176" w:lineRule="exact"/>
              <w:rPr>
                <w:sz w:val="20"/>
                <w:szCs w:val="20"/>
                <w:color w:val="auto"/>
              </w:rPr>
            </w:pPr>
            <w:r>
              <w:rPr>
                <w:rFonts w:ascii="Arial" w:cs="Arial" w:eastAsia="Arial" w:hAnsi="Arial"/>
                <w:sz w:val="18"/>
                <w:szCs w:val="18"/>
                <w:b w:val="1"/>
                <w:bCs w:val="1"/>
                <w:i w:val="1"/>
                <w:iCs w:val="1"/>
                <w:color w:val="auto"/>
              </w:rPr>
              <w:t>Dilution/Accretion to a New</w:t>
            </w: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640" w:type="dxa"/>
            <w:vAlign w:val="bottom"/>
            <w:gridSpan w:val="2"/>
          </w:tcPr>
          <w:p>
            <w:pPr>
              <w:ind w:left="160"/>
              <w:spacing w:after="0"/>
              <w:rPr>
                <w:sz w:val="20"/>
                <w:szCs w:val="20"/>
                <w:color w:val="auto"/>
              </w:rPr>
            </w:pPr>
            <w:r>
              <w:rPr>
                <w:rFonts w:ascii="Arial" w:cs="Arial" w:eastAsia="Arial" w:hAnsi="Arial"/>
                <w:sz w:val="18"/>
                <w:szCs w:val="18"/>
                <w:b w:val="1"/>
                <w:bCs w:val="1"/>
                <w:i w:val="1"/>
                <w:iCs w:val="1"/>
                <w:color w:val="auto"/>
              </w:rPr>
              <w:t>Investor</w:t>
            </w: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6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Shares Held by Investor A</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225,300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11,265</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22,530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45,060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640" w:type="dxa"/>
            <w:vAlign w:val="bottom"/>
            <w:gridSpan w:val="2"/>
          </w:tcPr>
          <w:p>
            <w:pPr>
              <w:ind w:left="160"/>
              <w:spacing w:after="0"/>
              <w:rPr>
                <w:sz w:val="20"/>
                <w:szCs w:val="20"/>
                <w:color w:val="auto"/>
              </w:rPr>
            </w:pPr>
            <w:r>
              <w:rPr>
                <w:rFonts w:ascii="Arial" w:cs="Arial" w:eastAsia="Arial" w:hAnsi="Arial"/>
                <w:sz w:val="18"/>
                <w:szCs w:val="18"/>
                <w:color w:val="auto"/>
              </w:rPr>
              <w:t>Percentage Held by Investor A</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0.05 %</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0.09 %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0.17 %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2640" w:type="dxa"/>
            <w:vAlign w:val="bottom"/>
            <w:gridSpan w:val="2"/>
            <w:shd w:val="clear" w:color="auto" w:fill="CCEEFF"/>
          </w:tcPr>
          <w:p>
            <w:pPr>
              <w:ind w:left="160"/>
              <w:spacing w:after="0" w:line="176" w:lineRule="exact"/>
              <w:rPr>
                <w:sz w:val="20"/>
                <w:szCs w:val="20"/>
                <w:color w:val="auto"/>
              </w:rPr>
            </w:pPr>
            <w:r>
              <w:rPr>
                <w:rFonts w:ascii="Arial" w:cs="Arial" w:eastAsia="Arial" w:hAnsi="Arial"/>
                <w:sz w:val="18"/>
                <w:szCs w:val="18"/>
                <w:color w:val="auto"/>
              </w:rPr>
              <w:t>Total Net Asset Value Held by</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3,667,884</w:t>
            </w:r>
          </w:p>
        </w:tc>
        <w:tc>
          <w:tcPr>
            <w:tcW w:w="100" w:type="dxa"/>
            <w:vAlign w:val="bottom"/>
            <w:shd w:val="clear" w:color="auto" w:fill="CCEEFF"/>
          </w:tcPr>
          <w:p>
            <w:pPr>
              <w:spacing w:after="0"/>
              <w:rPr>
                <w:sz w:val="15"/>
                <w:szCs w:val="15"/>
                <w:color w:val="auto"/>
              </w:rPr>
            </w:pPr>
          </w:p>
        </w:tc>
        <w:tc>
          <w:tcPr>
            <w:tcW w:w="26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182,987</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00" w:type="dxa"/>
            <w:vAlign w:val="bottom"/>
            <w:gridSpan w:val="2"/>
            <w:vMerge w:val="restart"/>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8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363,409</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40" w:type="dxa"/>
            <w:vAlign w:val="bottom"/>
            <w:gridSpan w:val="2"/>
            <w:vMerge w:val="restart"/>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709,244</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6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Investor A</w:t>
            </w:r>
          </w:p>
        </w:tc>
        <w:tc>
          <w:tcPr>
            <w:tcW w:w="140" w:type="dxa"/>
            <w:vAlign w:val="bottom"/>
            <w:vMerge w:val="continue"/>
            <w:shd w:val="clear" w:color="auto" w:fill="CCEEFF"/>
          </w:tcPr>
          <w:p>
            <w:pPr>
              <w:spacing w:after="0"/>
              <w:rPr>
                <w:sz w:val="19"/>
                <w:szCs w:val="19"/>
                <w:color w:val="auto"/>
              </w:rPr>
            </w:pPr>
          </w:p>
        </w:tc>
        <w:tc>
          <w:tcPr>
            <w:tcW w:w="11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vMerge w:val="continue"/>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0" w:type="dxa"/>
            <w:vAlign w:val="bottom"/>
            <w:gridSpan w:val="2"/>
            <w:vMerge w:val="continue"/>
            <w:shd w:val="clear" w:color="auto" w:fill="CCEEFF"/>
          </w:tcPr>
          <w:p>
            <w:pPr>
              <w:spacing w:after="0"/>
              <w:rPr>
                <w:sz w:val="19"/>
                <w:szCs w:val="19"/>
                <w:color w:val="auto"/>
              </w:rPr>
            </w:pPr>
          </w:p>
        </w:tc>
        <w:tc>
          <w:tcPr>
            <w:tcW w:w="280" w:type="dxa"/>
            <w:vAlign w:val="bottom"/>
            <w:vMerge w:val="continue"/>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gridSpan w:val="2"/>
            <w:vMerge w:val="continue"/>
            <w:shd w:val="clear" w:color="auto" w:fill="CCEEFF"/>
          </w:tcPr>
          <w:p>
            <w:pPr>
              <w:spacing w:after="0"/>
              <w:rPr>
                <w:sz w:val="19"/>
                <w:szCs w:val="19"/>
                <w:color w:val="auto"/>
              </w:rPr>
            </w:pPr>
          </w:p>
        </w:tc>
        <w:tc>
          <w:tcPr>
            <w:tcW w:w="260" w:type="dxa"/>
            <w:vAlign w:val="bottom"/>
            <w:vMerge w:val="continue"/>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640" w:type="dxa"/>
            <w:vAlign w:val="bottom"/>
            <w:gridSpan w:val="2"/>
          </w:tcPr>
          <w:p>
            <w:pPr>
              <w:ind w:left="160"/>
              <w:spacing w:after="0" w:line="176" w:lineRule="exact"/>
              <w:rPr>
                <w:sz w:val="20"/>
                <w:szCs w:val="20"/>
                <w:color w:val="auto"/>
              </w:rPr>
            </w:pPr>
            <w:r>
              <w:rPr>
                <w:rFonts w:ascii="Arial" w:cs="Arial" w:eastAsia="Arial" w:hAnsi="Arial"/>
                <w:sz w:val="18"/>
                <w:szCs w:val="18"/>
                <w:color w:val="auto"/>
              </w:rPr>
              <w:t>Total Investment by Investor A</w:t>
            </w: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640" w:type="dxa"/>
            <w:vAlign w:val="bottom"/>
            <w:gridSpan w:val="2"/>
          </w:tcPr>
          <w:p>
            <w:pPr>
              <w:ind w:left="160"/>
              <w:spacing w:after="0" w:line="176" w:lineRule="exact"/>
              <w:rPr>
                <w:sz w:val="20"/>
                <w:szCs w:val="20"/>
                <w:color w:val="auto"/>
              </w:rPr>
            </w:pPr>
            <w:r>
              <w:rPr>
                <w:rFonts w:ascii="Arial" w:cs="Arial" w:eastAsia="Arial" w:hAnsi="Arial"/>
                <w:sz w:val="18"/>
                <w:szCs w:val="18"/>
                <w:color w:val="auto"/>
              </w:rPr>
              <w:t>(Assumed to be $16.28 per</w:t>
            </w: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vMerge w:val="restart"/>
          </w:tcPr>
          <w:p>
            <w:pPr>
              <w:jc w:val="right"/>
              <w:ind w:right="130"/>
              <w:spacing w:after="0"/>
              <w:rPr>
                <w:sz w:val="20"/>
                <w:szCs w:val="20"/>
                <w:color w:val="auto"/>
              </w:rPr>
            </w:pPr>
            <w:r>
              <w:rPr>
                <w:rFonts w:ascii="Arial" w:cs="Arial" w:eastAsia="Arial" w:hAnsi="Arial"/>
                <w:sz w:val="18"/>
                <w:szCs w:val="18"/>
                <w:color w:val="auto"/>
              </w:rPr>
              <w:t>3,667,884</w:t>
            </w:r>
          </w:p>
        </w:tc>
        <w:tc>
          <w:tcPr>
            <w:tcW w:w="100" w:type="dxa"/>
            <w:vAlign w:val="bottom"/>
          </w:tcPr>
          <w:p>
            <w:pPr>
              <w:spacing w:after="0"/>
              <w:rPr>
                <w:sz w:val="15"/>
                <w:szCs w:val="15"/>
                <w:color w:val="auto"/>
              </w:rPr>
            </w:pPr>
          </w:p>
        </w:tc>
        <w:tc>
          <w:tcPr>
            <w:tcW w:w="260" w:type="dxa"/>
            <w:vAlign w:val="bottom"/>
            <w:vMerge w:val="restart"/>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vMerge w:val="restart"/>
          </w:tcPr>
          <w:p>
            <w:pPr>
              <w:jc w:val="right"/>
              <w:ind w:right="130"/>
              <w:spacing w:after="0"/>
              <w:rPr>
                <w:sz w:val="20"/>
                <w:szCs w:val="20"/>
                <w:color w:val="auto"/>
              </w:rPr>
            </w:pPr>
            <w:r>
              <w:rPr>
                <w:rFonts w:ascii="Arial" w:cs="Arial" w:eastAsia="Arial" w:hAnsi="Arial"/>
                <w:sz w:val="18"/>
                <w:szCs w:val="18"/>
                <w:color w:val="auto"/>
              </w:rPr>
              <w:t>183,394</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gridSpan w:val="2"/>
            <w:vMerge w:val="restart"/>
          </w:tcPr>
          <w:p>
            <w:pPr>
              <w:jc w:val="center"/>
              <w:spacing w:after="0"/>
              <w:rPr>
                <w:sz w:val="20"/>
                <w:szCs w:val="20"/>
                <w:color w:val="auto"/>
              </w:rPr>
            </w:pPr>
            <w:r>
              <w:rPr>
                <w:rFonts w:ascii="Arial" w:cs="Arial" w:eastAsia="Arial" w:hAnsi="Arial"/>
                <w:sz w:val="18"/>
                <w:szCs w:val="18"/>
                <w:color w:val="auto"/>
                <w:w w:val="99"/>
              </w:rPr>
              <w:t>—</w:t>
            </w:r>
          </w:p>
        </w:tc>
        <w:tc>
          <w:tcPr>
            <w:tcW w:w="280" w:type="dxa"/>
            <w:vAlign w:val="bottom"/>
            <w:vMerge w:val="restart"/>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vMerge w:val="restart"/>
          </w:tcPr>
          <w:p>
            <w:pPr>
              <w:jc w:val="right"/>
              <w:ind w:right="130"/>
              <w:spacing w:after="0"/>
              <w:rPr>
                <w:sz w:val="20"/>
                <w:szCs w:val="20"/>
                <w:color w:val="auto"/>
              </w:rPr>
            </w:pPr>
            <w:r>
              <w:rPr>
                <w:rFonts w:ascii="Arial" w:cs="Arial" w:eastAsia="Arial" w:hAnsi="Arial"/>
                <w:sz w:val="18"/>
                <w:szCs w:val="18"/>
                <w:color w:val="auto"/>
              </w:rPr>
              <w:t>347,484</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gridSpan w:val="2"/>
            <w:vMerge w:val="restart"/>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vMerge w:val="restart"/>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vMerge w:val="restart"/>
          </w:tcPr>
          <w:p>
            <w:pPr>
              <w:jc w:val="right"/>
              <w:ind w:right="130"/>
              <w:spacing w:after="0"/>
              <w:rPr>
                <w:sz w:val="20"/>
                <w:szCs w:val="20"/>
                <w:color w:val="auto"/>
              </w:rPr>
            </w:pPr>
            <w:r>
              <w:rPr>
                <w:rFonts w:ascii="Arial" w:cs="Arial" w:eastAsia="Arial" w:hAnsi="Arial"/>
                <w:sz w:val="18"/>
                <w:szCs w:val="18"/>
                <w:color w:val="auto"/>
              </w:rPr>
              <w:t>617,749</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vMerge w:val="restart"/>
          </w:tcPr>
          <w:p>
            <w:pPr>
              <w:jc w:val="right"/>
              <w:ind w:righ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640" w:type="dxa"/>
            <w:vAlign w:val="bottom"/>
            <w:gridSpan w:val="2"/>
          </w:tcPr>
          <w:p>
            <w:pPr>
              <w:ind w:left="160"/>
              <w:spacing w:after="0"/>
              <w:rPr>
                <w:sz w:val="20"/>
                <w:szCs w:val="20"/>
                <w:color w:val="auto"/>
              </w:rPr>
            </w:pPr>
            <w:r>
              <w:rPr>
                <w:rFonts w:ascii="Arial" w:cs="Arial" w:eastAsia="Arial" w:hAnsi="Arial"/>
                <w:sz w:val="18"/>
                <w:szCs w:val="18"/>
                <w:color w:val="auto"/>
              </w:rPr>
              <w:t>Share)</w:t>
            </w:r>
          </w:p>
        </w:tc>
        <w:tc>
          <w:tcPr>
            <w:tcW w:w="140" w:type="dxa"/>
            <w:vAlign w:val="bottom"/>
            <w:vMerge w:val="continue"/>
          </w:tcPr>
          <w:p>
            <w:pPr>
              <w:spacing w:after="0"/>
              <w:rPr>
                <w:sz w:val="19"/>
                <w:szCs w:val="19"/>
                <w:color w:val="auto"/>
              </w:rPr>
            </w:pPr>
          </w:p>
        </w:tc>
        <w:tc>
          <w:tcPr>
            <w:tcW w:w="11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vMerge w:val="continue"/>
          </w:tcPr>
          <w:p>
            <w:pPr>
              <w:spacing w:after="0"/>
              <w:rPr>
                <w:sz w:val="19"/>
                <w:szCs w:val="19"/>
                <w:color w:val="auto"/>
              </w:rPr>
            </w:pPr>
          </w:p>
        </w:tc>
        <w:tc>
          <w:tcPr>
            <w:tcW w:w="9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gridSpan w:val="2"/>
            <w:vMerge w:val="continue"/>
          </w:tcPr>
          <w:p>
            <w:pPr>
              <w:spacing w:after="0"/>
              <w:rPr>
                <w:sz w:val="19"/>
                <w:szCs w:val="19"/>
                <w:color w:val="auto"/>
              </w:rPr>
            </w:pPr>
          </w:p>
        </w:tc>
        <w:tc>
          <w:tcPr>
            <w:tcW w:w="280" w:type="dxa"/>
            <w:vAlign w:val="bottom"/>
            <w:vMerge w:val="continue"/>
          </w:tcPr>
          <w:p>
            <w:pPr>
              <w:spacing w:after="0"/>
              <w:rPr>
                <w:sz w:val="19"/>
                <w:szCs w:val="19"/>
                <w:color w:val="auto"/>
              </w:rPr>
            </w:pPr>
          </w:p>
        </w:tc>
        <w:tc>
          <w:tcPr>
            <w:tcW w:w="9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gridSpan w:val="2"/>
            <w:vMerge w:val="continue"/>
          </w:tcPr>
          <w:p>
            <w:pPr>
              <w:spacing w:after="0"/>
              <w:rPr>
                <w:sz w:val="19"/>
                <w:szCs w:val="19"/>
                <w:color w:val="auto"/>
              </w:rPr>
            </w:pPr>
          </w:p>
        </w:tc>
        <w:tc>
          <w:tcPr>
            <w:tcW w:w="260" w:type="dxa"/>
            <w:vAlign w:val="bottom"/>
            <w:vMerge w:val="continue"/>
          </w:tcPr>
          <w:p>
            <w:pPr>
              <w:spacing w:after="0"/>
              <w:rPr>
                <w:sz w:val="19"/>
                <w:szCs w:val="19"/>
                <w:color w:val="auto"/>
              </w:rPr>
            </w:pPr>
          </w:p>
        </w:tc>
        <w:tc>
          <w:tcPr>
            <w:tcW w:w="9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640" w:type="dxa"/>
            <w:vAlign w:val="bottom"/>
            <w:gridSpan w:val="2"/>
            <w:shd w:val="clear" w:color="auto" w:fill="CCEEFF"/>
          </w:tcPr>
          <w:p>
            <w:pPr>
              <w:ind w:left="160"/>
              <w:spacing w:after="0" w:line="176" w:lineRule="exact"/>
              <w:rPr>
                <w:sz w:val="20"/>
                <w:szCs w:val="20"/>
                <w:color w:val="auto"/>
              </w:rPr>
            </w:pPr>
            <w:r>
              <w:rPr>
                <w:rFonts w:ascii="Arial" w:cs="Arial" w:eastAsia="Arial" w:hAnsi="Arial"/>
                <w:sz w:val="18"/>
                <w:szCs w:val="18"/>
                <w:color w:val="auto"/>
              </w:rPr>
              <w:t>Total Dilution to Investor A</w:t>
            </w: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640" w:type="dxa"/>
            <w:vAlign w:val="bottom"/>
            <w:gridSpan w:val="2"/>
            <w:shd w:val="clear" w:color="auto" w:fill="CCEEFF"/>
          </w:tcPr>
          <w:p>
            <w:pPr>
              <w:ind w:left="160"/>
              <w:spacing w:after="0" w:line="176" w:lineRule="exact"/>
              <w:rPr>
                <w:sz w:val="20"/>
                <w:szCs w:val="20"/>
                <w:color w:val="auto"/>
              </w:rPr>
            </w:pPr>
            <w:r>
              <w:rPr>
                <w:rFonts w:ascii="Arial" w:cs="Arial" w:eastAsia="Arial" w:hAnsi="Arial"/>
                <w:sz w:val="18"/>
                <w:szCs w:val="18"/>
                <w:color w:val="auto"/>
              </w:rPr>
              <w:t>(Total Net Asset Value Less</w:t>
            </w:r>
          </w:p>
        </w:tc>
        <w:tc>
          <w:tcPr>
            <w:tcW w:w="140" w:type="dxa"/>
            <w:vAlign w:val="bottom"/>
            <w:shd w:val="clear" w:color="auto" w:fill="CCEEFF"/>
          </w:tcPr>
          <w:p>
            <w:pPr>
              <w:spacing w:after="0"/>
              <w:rPr>
                <w:sz w:val="15"/>
                <w:szCs w:val="15"/>
                <w:color w:val="auto"/>
              </w:rPr>
            </w:pPr>
          </w:p>
        </w:tc>
        <w:tc>
          <w:tcPr>
            <w:tcW w:w="1260" w:type="dxa"/>
            <w:vAlign w:val="bottom"/>
            <w:gridSpan w:val="2"/>
            <w:vMerge w:val="restart"/>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rPr>
              <w:t>(407)</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00" w:type="dxa"/>
            <w:vAlign w:val="bottom"/>
            <w:gridSpan w:val="2"/>
            <w:vMerge w:val="restart"/>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8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15,925</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40" w:type="dxa"/>
            <w:vAlign w:val="bottom"/>
            <w:gridSpan w:val="2"/>
            <w:vMerge w:val="restart"/>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91,495</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6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Total Investment)</w:t>
            </w:r>
          </w:p>
        </w:tc>
        <w:tc>
          <w:tcPr>
            <w:tcW w:w="140" w:type="dxa"/>
            <w:vAlign w:val="bottom"/>
            <w:shd w:val="clear" w:color="auto" w:fill="CCEEFF"/>
          </w:tcPr>
          <w:p>
            <w:pPr>
              <w:spacing w:after="0"/>
              <w:rPr>
                <w:sz w:val="19"/>
                <w:szCs w:val="19"/>
                <w:color w:val="auto"/>
              </w:rPr>
            </w:pPr>
          </w:p>
        </w:tc>
        <w:tc>
          <w:tcPr>
            <w:tcW w:w="1260" w:type="dxa"/>
            <w:vAlign w:val="bottom"/>
            <w:gridSpan w:val="2"/>
            <w:vMerge w:val="continue"/>
            <w:shd w:val="clear" w:color="auto" w:fill="CCEEFF"/>
          </w:tcPr>
          <w:p>
            <w:pPr>
              <w:spacing w:after="0"/>
              <w:rPr>
                <w:sz w:val="19"/>
                <w:szCs w:val="19"/>
                <w:color w:val="auto"/>
              </w:rPr>
            </w:pPr>
          </w:p>
        </w:tc>
        <w:tc>
          <w:tcPr>
            <w:tcW w:w="260" w:type="dxa"/>
            <w:vAlign w:val="bottom"/>
            <w:vMerge w:val="continue"/>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0" w:type="dxa"/>
            <w:vAlign w:val="bottom"/>
            <w:gridSpan w:val="2"/>
            <w:vMerge w:val="continue"/>
            <w:shd w:val="clear" w:color="auto" w:fill="CCEEFF"/>
          </w:tcPr>
          <w:p>
            <w:pPr>
              <w:spacing w:after="0"/>
              <w:rPr>
                <w:sz w:val="19"/>
                <w:szCs w:val="19"/>
                <w:color w:val="auto"/>
              </w:rPr>
            </w:pPr>
          </w:p>
        </w:tc>
        <w:tc>
          <w:tcPr>
            <w:tcW w:w="280" w:type="dxa"/>
            <w:vAlign w:val="bottom"/>
            <w:vMerge w:val="continue"/>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gridSpan w:val="2"/>
            <w:vMerge w:val="continue"/>
            <w:shd w:val="clear" w:color="auto" w:fill="CCEEFF"/>
          </w:tcPr>
          <w:p>
            <w:pPr>
              <w:spacing w:after="0"/>
              <w:rPr>
                <w:sz w:val="19"/>
                <w:szCs w:val="19"/>
                <w:color w:val="auto"/>
              </w:rPr>
            </w:pPr>
          </w:p>
        </w:tc>
        <w:tc>
          <w:tcPr>
            <w:tcW w:w="260" w:type="dxa"/>
            <w:vAlign w:val="bottom"/>
            <w:vMerge w:val="continue"/>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640" w:type="dxa"/>
            <w:vAlign w:val="bottom"/>
            <w:gridSpan w:val="2"/>
          </w:tcPr>
          <w:p>
            <w:pPr>
              <w:ind w:left="160"/>
              <w:spacing w:after="0" w:line="176" w:lineRule="exact"/>
              <w:rPr>
                <w:sz w:val="20"/>
                <w:szCs w:val="20"/>
                <w:color w:val="auto"/>
              </w:rPr>
            </w:pPr>
            <w:r>
              <w:rPr>
                <w:rFonts w:ascii="Arial" w:cs="Arial" w:eastAsia="Arial" w:hAnsi="Arial"/>
                <w:sz w:val="18"/>
                <w:szCs w:val="18"/>
                <w:color w:val="auto"/>
                <w:w w:val="96"/>
              </w:rPr>
              <w:t>Net Asset Value per Share Held</w:t>
            </w: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vMerge w:val="restart"/>
          </w:tcPr>
          <w:p>
            <w:pPr>
              <w:jc w:val="right"/>
              <w:ind w:right="130"/>
              <w:spacing w:after="0"/>
              <w:rPr>
                <w:sz w:val="20"/>
                <w:szCs w:val="20"/>
                <w:color w:val="auto"/>
              </w:rPr>
            </w:pPr>
            <w:r>
              <w:rPr>
                <w:rFonts w:ascii="Arial" w:cs="Arial" w:eastAsia="Arial" w:hAnsi="Arial"/>
                <w:sz w:val="18"/>
                <w:szCs w:val="18"/>
                <w:color w:val="auto"/>
              </w:rPr>
              <w:t>16.28</w:t>
            </w:r>
          </w:p>
        </w:tc>
        <w:tc>
          <w:tcPr>
            <w:tcW w:w="100" w:type="dxa"/>
            <w:vAlign w:val="bottom"/>
          </w:tcPr>
          <w:p>
            <w:pPr>
              <w:spacing w:after="0"/>
              <w:rPr>
                <w:sz w:val="15"/>
                <w:szCs w:val="15"/>
                <w:color w:val="auto"/>
              </w:rPr>
            </w:pPr>
          </w:p>
        </w:tc>
        <w:tc>
          <w:tcPr>
            <w:tcW w:w="260" w:type="dxa"/>
            <w:vAlign w:val="bottom"/>
            <w:vMerge w:val="restart"/>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vMerge w:val="restart"/>
          </w:tcPr>
          <w:p>
            <w:pPr>
              <w:jc w:val="right"/>
              <w:ind w:right="130"/>
              <w:spacing w:after="0"/>
              <w:rPr>
                <w:sz w:val="20"/>
                <w:szCs w:val="20"/>
                <w:color w:val="auto"/>
              </w:rPr>
            </w:pPr>
            <w:r>
              <w:rPr>
                <w:rFonts w:ascii="Arial" w:cs="Arial" w:eastAsia="Arial" w:hAnsi="Arial"/>
                <w:sz w:val="18"/>
                <w:szCs w:val="18"/>
                <w:color w:val="auto"/>
              </w:rPr>
              <w:t>16.24</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gridSpan w:val="2"/>
            <w:vMerge w:val="restart"/>
          </w:tcPr>
          <w:p>
            <w:pPr>
              <w:jc w:val="center"/>
              <w:spacing w:after="0"/>
              <w:rPr>
                <w:sz w:val="20"/>
                <w:szCs w:val="20"/>
                <w:color w:val="auto"/>
              </w:rPr>
            </w:pPr>
            <w:r>
              <w:rPr>
                <w:rFonts w:ascii="Arial" w:cs="Arial" w:eastAsia="Arial" w:hAnsi="Arial"/>
                <w:sz w:val="18"/>
                <w:szCs w:val="18"/>
                <w:color w:val="auto"/>
                <w:w w:val="99"/>
              </w:rPr>
              <w:t>—</w:t>
            </w:r>
          </w:p>
        </w:tc>
        <w:tc>
          <w:tcPr>
            <w:tcW w:w="280" w:type="dxa"/>
            <w:vAlign w:val="bottom"/>
            <w:vMerge w:val="restart"/>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vMerge w:val="restart"/>
          </w:tcPr>
          <w:p>
            <w:pPr>
              <w:jc w:val="right"/>
              <w:ind w:right="130"/>
              <w:spacing w:after="0"/>
              <w:rPr>
                <w:sz w:val="20"/>
                <w:szCs w:val="20"/>
                <w:color w:val="auto"/>
              </w:rPr>
            </w:pPr>
            <w:r>
              <w:rPr>
                <w:rFonts w:ascii="Arial" w:cs="Arial" w:eastAsia="Arial" w:hAnsi="Arial"/>
                <w:sz w:val="18"/>
                <w:szCs w:val="18"/>
                <w:color w:val="auto"/>
              </w:rPr>
              <w:t>16.13</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gridSpan w:val="2"/>
            <w:vMerge w:val="restart"/>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vMerge w:val="restart"/>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vMerge w:val="restart"/>
          </w:tcPr>
          <w:p>
            <w:pPr>
              <w:jc w:val="right"/>
              <w:ind w:right="130"/>
              <w:spacing w:after="0"/>
              <w:rPr>
                <w:sz w:val="20"/>
                <w:szCs w:val="20"/>
                <w:color w:val="auto"/>
              </w:rPr>
            </w:pPr>
            <w:r>
              <w:rPr>
                <w:rFonts w:ascii="Arial" w:cs="Arial" w:eastAsia="Arial" w:hAnsi="Arial"/>
                <w:sz w:val="18"/>
                <w:szCs w:val="18"/>
                <w:color w:val="auto"/>
              </w:rPr>
              <w:t>15.74</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vMerge w:val="restart"/>
          </w:tcPr>
          <w:p>
            <w:pPr>
              <w:jc w:val="right"/>
              <w:ind w:righ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640" w:type="dxa"/>
            <w:vAlign w:val="bottom"/>
            <w:gridSpan w:val="2"/>
          </w:tcPr>
          <w:p>
            <w:pPr>
              <w:ind w:left="160"/>
              <w:spacing w:after="0"/>
              <w:rPr>
                <w:sz w:val="20"/>
                <w:szCs w:val="20"/>
                <w:color w:val="auto"/>
              </w:rPr>
            </w:pPr>
            <w:r>
              <w:rPr>
                <w:rFonts w:ascii="Arial" w:cs="Arial" w:eastAsia="Arial" w:hAnsi="Arial"/>
                <w:sz w:val="18"/>
                <w:szCs w:val="18"/>
                <w:color w:val="auto"/>
              </w:rPr>
              <w:t>by Investor A</w:t>
            </w:r>
          </w:p>
        </w:tc>
        <w:tc>
          <w:tcPr>
            <w:tcW w:w="140" w:type="dxa"/>
            <w:vAlign w:val="bottom"/>
            <w:vMerge w:val="continue"/>
          </w:tcPr>
          <w:p>
            <w:pPr>
              <w:spacing w:after="0"/>
              <w:rPr>
                <w:sz w:val="19"/>
                <w:szCs w:val="19"/>
                <w:color w:val="auto"/>
              </w:rPr>
            </w:pPr>
          </w:p>
        </w:tc>
        <w:tc>
          <w:tcPr>
            <w:tcW w:w="11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vMerge w:val="continue"/>
          </w:tcPr>
          <w:p>
            <w:pPr>
              <w:spacing w:after="0"/>
              <w:rPr>
                <w:sz w:val="19"/>
                <w:szCs w:val="19"/>
                <w:color w:val="auto"/>
              </w:rPr>
            </w:pPr>
          </w:p>
        </w:tc>
        <w:tc>
          <w:tcPr>
            <w:tcW w:w="9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gridSpan w:val="2"/>
            <w:vMerge w:val="continue"/>
          </w:tcPr>
          <w:p>
            <w:pPr>
              <w:spacing w:after="0"/>
              <w:rPr>
                <w:sz w:val="19"/>
                <w:szCs w:val="19"/>
                <w:color w:val="auto"/>
              </w:rPr>
            </w:pPr>
          </w:p>
        </w:tc>
        <w:tc>
          <w:tcPr>
            <w:tcW w:w="280" w:type="dxa"/>
            <w:vAlign w:val="bottom"/>
            <w:vMerge w:val="continue"/>
          </w:tcPr>
          <w:p>
            <w:pPr>
              <w:spacing w:after="0"/>
              <w:rPr>
                <w:sz w:val="19"/>
                <w:szCs w:val="19"/>
                <w:color w:val="auto"/>
              </w:rPr>
            </w:pPr>
          </w:p>
        </w:tc>
        <w:tc>
          <w:tcPr>
            <w:tcW w:w="9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gridSpan w:val="2"/>
            <w:vMerge w:val="continue"/>
          </w:tcPr>
          <w:p>
            <w:pPr>
              <w:spacing w:after="0"/>
              <w:rPr>
                <w:sz w:val="19"/>
                <w:szCs w:val="19"/>
                <w:color w:val="auto"/>
              </w:rPr>
            </w:pPr>
          </w:p>
        </w:tc>
        <w:tc>
          <w:tcPr>
            <w:tcW w:w="260" w:type="dxa"/>
            <w:vAlign w:val="bottom"/>
            <w:vMerge w:val="continue"/>
          </w:tcPr>
          <w:p>
            <w:pPr>
              <w:spacing w:after="0"/>
              <w:rPr>
                <w:sz w:val="19"/>
                <w:szCs w:val="19"/>
                <w:color w:val="auto"/>
              </w:rPr>
            </w:pPr>
          </w:p>
        </w:tc>
        <w:tc>
          <w:tcPr>
            <w:tcW w:w="9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640" w:type="dxa"/>
            <w:vAlign w:val="bottom"/>
            <w:gridSpan w:val="2"/>
            <w:shd w:val="clear" w:color="auto" w:fill="CCEEFF"/>
          </w:tcPr>
          <w:p>
            <w:pPr>
              <w:ind w:left="160"/>
              <w:spacing w:after="0" w:line="176" w:lineRule="exact"/>
              <w:rPr>
                <w:sz w:val="20"/>
                <w:szCs w:val="20"/>
                <w:color w:val="auto"/>
              </w:rPr>
            </w:pPr>
            <w:r>
              <w:rPr>
                <w:rFonts w:ascii="Arial" w:cs="Arial" w:eastAsia="Arial" w:hAnsi="Arial"/>
                <w:sz w:val="18"/>
                <w:szCs w:val="18"/>
                <w:color w:val="auto"/>
              </w:rPr>
              <w:t>Investment per Share Held by</w:t>
            </w: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640" w:type="dxa"/>
            <w:vAlign w:val="bottom"/>
            <w:gridSpan w:val="2"/>
            <w:shd w:val="clear" w:color="auto" w:fill="CCEEFF"/>
          </w:tcPr>
          <w:p>
            <w:pPr>
              <w:ind w:left="160"/>
              <w:spacing w:after="0" w:line="176" w:lineRule="exact"/>
              <w:rPr>
                <w:sz w:val="20"/>
                <w:szCs w:val="20"/>
                <w:color w:val="auto"/>
              </w:rPr>
            </w:pPr>
            <w:r>
              <w:rPr>
                <w:rFonts w:ascii="Arial" w:cs="Arial" w:eastAsia="Arial" w:hAnsi="Arial"/>
                <w:sz w:val="18"/>
                <w:szCs w:val="18"/>
                <w:color w:val="auto"/>
              </w:rPr>
              <w:t>Investor A (Assumed to be</w:t>
            </w: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640" w:type="dxa"/>
            <w:vAlign w:val="bottom"/>
            <w:gridSpan w:val="2"/>
            <w:shd w:val="clear" w:color="auto" w:fill="CCEEFF"/>
          </w:tcPr>
          <w:p>
            <w:pPr>
              <w:ind w:left="160"/>
              <w:spacing w:after="0" w:line="176" w:lineRule="exact"/>
              <w:rPr>
                <w:sz w:val="20"/>
                <w:szCs w:val="20"/>
                <w:color w:val="auto"/>
              </w:rPr>
            </w:pPr>
            <w:r>
              <w:rPr>
                <w:rFonts w:ascii="Arial" w:cs="Arial" w:eastAsia="Arial" w:hAnsi="Arial"/>
                <w:sz w:val="18"/>
                <w:szCs w:val="18"/>
                <w:color w:val="auto"/>
                <w:w w:val="91"/>
              </w:rPr>
              <w:t>$16.28 per Share on Shares Held</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16.28</w:t>
            </w:r>
          </w:p>
        </w:tc>
        <w:tc>
          <w:tcPr>
            <w:tcW w:w="100" w:type="dxa"/>
            <w:vAlign w:val="bottom"/>
            <w:shd w:val="clear" w:color="auto" w:fill="CCEEFF"/>
          </w:tcPr>
          <w:p>
            <w:pPr>
              <w:spacing w:after="0"/>
              <w:rPr>
                <w:sz w:val="15"/>
                <w:szCs w:val="15"/>
                <w:color w:val="auto"/>
              </w:rPr>
            </w:pPr>
          </w:p>
        </w:tc>
        <w:tc>
          <w:tcPr>
            <w:tcW w:w="26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16.28</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00" w:type="dxa"/>
            <w:vAlign w:val="bottom"/>
            <w:gridSpan w:val="2"/>
            <w:vMerge w:val="restart"/>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8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15.42</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40" w:type="dxa"/>
            <w:vAlign w:val="bottom"/>
            <w:gridSpan w:val="2"/>
            <w:vMerge w:val="restart"/>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13.71</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6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Prior to Sale)</w:t>
            </w:r>
          </w:p>
        </w:tc>
        <w:tc>
          <w:tcPr>
            <w:tcW w:w="140" w:type="dxa"/>
            <w:vAlign w:val="bottom"/>
            <w:vMerge w:val="continue"/>
            <w:shd w:val="clear" w:color="auto" w:fill="CCEEFF"/>
          </w:tcPr>
          <w:p>
            <w:pPr>
              <w:spacing w:after="0"/>
              <w:rPr>
                <w:sz w:val="19"/>
                <w:szCs w:val="19"/>
                <w:color w:val="auto"/>
              </w:rPr>
            </w:pPr>
          </w:p>
        </w:tc>
        <w:tc>
          <w:tcPr>
            <w:tcW w:w="11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vMerge w:val="continue"/>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0" w:type="dxa"/>
            <w:vAlign w:val="bottom"/>
            <w:gridSpan w:val="2"/>
            <w:vMerge w:val="continue"/>
            <w:shd w:val="clear" w:color="auto" w:fill="CCEEFF"/>
          </w:tcPr>
          <w:p>
            <w:pPr>
              <w:spacing w:after="0"/>
              <w:rPr>
                <w:sz w:val="19"/>
                <w:szCs w:val="19"/>
                <w:color w:val="auto"/>
              </w:rPr>
            </w:pPr>
          </w:p>
        </w:tc>
        <w:tc>
          <w:tcPr>
            <w:tcW w:w="280" w:type="dxa"/>
            <w:vAlign w:val="bottom"/>
            <w:vMerge w:val="continue"/>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gridSpan w:val="2"/>
            <w:vMerge w:val="continue"/>
            <w:shd w:val="clear" w:color="auto" w:fill="CCEEFF"/>
          </w:tcPr>
          <w:p>
            <w:pPr>
              <w:spacing w:after="0"/>
              <w:rPr>
                <w:sz w:val="19"/>
                <w:szCs w:val="19"/>
                <w:color w:val="auto"/>
              </w:rPr>
            </w:pPr>
          </w:p>
        </w:tc>
        <w:tc>
          <w:tcPr>
            <w:tcW w:w="260" w:type="dxa"/>
            <w:vAlign w:val="bottom"/>
            <w:vMerge w:val="continue"/>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640" w:type="dxa"/>
            <w:vAlign w:val="bottom"/>
            <w:gridSpan w:val="2"/>
          </w:tcPr>
          <w:p>
            <w:pPr>
              <w:ind w:left="160"/>
              <w:spacing w:after="0" w:line="176" w:lineRule="exact"/>
              <w:rPr>
                <w:sz w:val="20"/>
                <w:szCs w:val="20"/>
                <w:color w:val="auto"/>
              </w:rPr>
            </w:pPr>
            <w:r>
              <w:rPr>
                <w:rFonts w:ascii="Arial" w:cs="Arial" w:eastAsia="Arial" w:hAnsi="Arial"/>
                <w:sz w:val="18"/>
                <w:szCs w:val="18"/>
                <w:color w:val="auto"/>
              </w:rPr>
              <w:t>Dilution per Share Held by</w:t>
            </w: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640" w:type="dxa"/>
            <w:vAlign w:val="bottom"/>
            <w:gridSpan w:val="2"/>
          </w:tcPr>
          <w:p>
            <w:pPr>
              <w:ind w:left="160"/>
              <w:spacing w:after="0" w:line="176" w:lineRule="exact"/>
              <w:rPr>
                <w:sz w:val="20"/>
                <w:szCs w:val="20"/>
                <w:color w:val="auto"/>
              </w:rPr>
            </w:pPr>
            <w:r>
              <w:rPr>
                <w:rFonts w:ascii="Arial" w:cs="Arial" w:eastAsia="Arial" w:hAnsi="Arial"/>
                <w:sz w:val="18"/>
                <w:szCs w:val="18"/>
                <w:color w:val="auto"/>
                <w:w w:val="97"/>
              </w:rPr>
              <w:t>Investor A (Net Asset Value per</w:t>
            </w: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640" w:type="dxa"/>
            <w:vAlign w:val="bottom"/>
            <w:gridSpan w:val="2"/>
          </w:tcPr>
          <w:p>
            <w:pPr>
              <w:ind w:left="160"/>
              <w:spacing w:after="0" w:line="176" w:lineRule="exact"/>
              <w:rPr>
                <w:sz w:val="20"/>
                <w:szCs w:val="20"/>
                <w:color w:val="auto"/>
              </w:rPr>
            </w:pPr>
            <w:r>
              <w:rPr>
                <w:rFonts w:ascii="Arial" w:cs="Arial" w:eastAsia="Arial" w:hAnsi="Arial"/>
                <w:sz w:val="18"/>
                <w:szCs w:val="18"/>
                <w:color w:val="auto"/>
              </w:rPr>
              <w:t>Share Less Investment per</w:t>
            </w: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vMerge w:val="restart"/>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vMerge w:val="restart"/>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vMerge w:val="restart"/>
          </w:tcPr>
          <w:p>
            <w:pPr>
              <w:jc w:val="right"/>
              <w:ind w:right="90"/>
              <w:spacing w:after="0"/>
              <w:rPr>
                <w:sz w:val="20"/>
                <w:szCs w:val="20"/>
                <w:color w:val="auto"/>
              </w:rPr>
            </w:pPr>
            <w:r>
              <w:rPr>
                <w:rFonts w:ascii="Arial" w:cs="Arial" w:eastAsia="Arial" w:hAnsi="Arial"/>
                <w:sz w:val="18"/>
                <w:szCs w:val="18"/>
                <w:color w:val="auto"/>
              </w:rPr>
              <w:t>(0.04)</w:t>
            </w:r>
          </w:p>
        </w:tc>
        <w:tc>
          <w:tcPr>
            <w:tcW w:w="80" w:type="dxa"/>
            <w:vAlign w:val="bottom"/>
          </w:tcPr>
          <w:p>
            <w:pPr>
              <w:spacing w:after="0"/>
              <w:rPr>
                <w:sz w:val="15"/>
                <w:szCs w:val="15"/>
                <w:color w:val="auto"/>
              </w:rPr>
            </w:pPr>
          </w:p>
        </w:tc>
        <w:tc>
          <w:tcPr>
            <w:tcW w:w="280" w:type="dxa"/>
            <w:vAlign w:val="bottom"/>
            <w:vMerge w:val="restart"/>
          </w:tcPr>
          <w:p>
            <w:pPr>
              <w:jc w:val="right"/>
              <w:ind w:right="70"/>
              <w:spacing w:after="0"/>
              <w:rPr>
                <w:sz w:val="20"/>
                <w:szCs w:val="20"/>
                <w:color w:val="auto"/>
              </w:rPr>
            </w:pPr>
            <w:r>
              <w:rPr>
                <w:rFonts w:ascii="Arial" w:cs="Arial" w:eastAsia="Arial" w:hAnsi="Arial"/>
                <w:sz w:val="18"/>
                <w:szCs w:val="18"/>
                <w:color w:val="auto"/>
                <w:w w:val="99"/>
              </w:rPr>
              <w:t>$</w:t>
            </w:r>
          </w:p>
        </w:tc>
        <w:tc>
          <w:tcPr>
            <w:tcW w:w="800" w:type="dxa"/>
            <w:vAlign w:val="bottom"/>
            <w:gridSpan w:val="2"/>
            <w:vMerge w:val="restart"/>
          </w:tcPr>
          <w:p>
            <w:pPr>
              <w:jc w:val="center"/>
              <w:spacing w:after="0"/>
              <w:rPr>
                <w:sz w:val="20"/>
                <w:szCs w:val="20"/>
                <w:color w:val="auto"/>
              </w:rPr>
            </w:pPr>
            <w:r>
              <w:rPr>
                <w:rFonts w:ascii="Arial" w:cs="Arial" w:eastAsia="Arial" w:hAnsi="Arial"/>
                <w:sz w:val="18"/>
                <w:szCs w:val="18"/>
                <w:color w:val="auto"/>
                <w:w w:val="99"/>
              </w:rPr>
              <w:t>—</w:t>
            </w:r>
          </w:p>
        </w:tc>
        <w:tc>
          <w:tcPr>
            <w:tcW w:w="280" w:type="dxa"/>
            <w:vAlign w:val="bottom"/>
            <w:vMerge w:val="restart"/>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vMerge w:val="restart"/>
          </w:tcPr>
          <w:p>
            <w:pPr>
              <w:jc w:val="right"/>
              <w:ind w:right="130"/>
              <w:spacing w:after="0"/>
              <w:rPr>
                <w:sz w:val="20"/>
                <w:szCs w:val="20"/>
                <w:color w:val="auto"/>
              </w:rPr>
            </w:pPr>
            <w:r>
              <w:rPr>
                <w:rFonts w:ascii="Arial" w:cs="Arial" w:eastAsia="Arial" w:hAnsi="Arial"/>
                <w:sz w:val="18"/>
                <w:szCs w:val="18"/>
                <w:color w:val="auto"/>
              </w:rPr>
              <w:t>0.71</w:t>
            </w:r>
          </w:p>
        </w:tc>
        <w:tc>
          <w:tcPr>
            <w:tcW w:w="100" w:type="dxa"/>
            <w:vAlign w:val="bottom"/>
          </w:tcPr>
          <w:p>
            <w:pPr>
              <w:spacing w:after="0"/>
              <w:rPr>
                <w:sz w:val="15"/>
                <w:szCs w:val="15"/>
                <w:color w:val="auto"/>
              </w:rPr>
            </w:pPr>
          </w:p>
        </w:tc>
        <w:tc>
          <w:tcPr>
            <w:tcW w:w="260" w:type="dxa"/>
            <w:vAlign w:val="bottom"/>
            <w:vMerge w:val="restart"/>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gridSpan w:val="2"/>
            <w:vMerge w:val="restart"/>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vMerge w:val="restart"/>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vMerge w:val="restart"/>
          </w:tcPr>
          <w:p>
            <w:pPr>
              <w:jc w:val="right"/>
              <w:ind w:right="130"/>
              <w:spacing w:after="0"/>
              <w:rPr>
                <w:sz w:val="20"/>
                <w:szCs w:val="20"/>
                <w:color w:val="auto"/>
              </w:rPr>
            </w:pPr>
            <w:r>
              <w:rPr>
                <w:rFonts w:ascii="Arial" w:cs="Arial" w:eastAsia="Arial" w:hAnsi="Arial"/>
                <w:sz w:val="18"/>
                <w:szCs w:val="18"/>
                <w:color w:val="auto"/>
              </w:rPr>
              <w:t>2.03</w:t>
            </w:r>
          </w:p>
        </w:tc>
        <w:tc>
          <w:tcPr>
            <w:tcW w:w="100" w:type="dxa"/>
            <w:vAlign w:val="bottom"/>
          </w:tcPr>
          <w:p>
            <w:pPr>
              <w:spacing w:after="0"/>
              <w:rPr>
                <w:sz w:val="15"/>
                <w:szCs w:val="15"/>
                <w:color w:val="auto"/>
              </w:rPr>
            </w:pPr>
          </w:p>
        </w:tc>
        <w:tc>
          <w:tcPr>
            <w:tcW w:w="280" w:type="dxa"/>
            <w:vAlign w:val="bottom"/>
            <w:vMerge w:val="restart"/>
          </w:tcPr>
          <w:p>
            <w:pPr>
              <w:jc w:val="right"/>
              <w:ind w:right="90"/>
              <w:spacing w:after="0"/>
              <w:rPr>
                <w:sz w:val="20"/>
                <w:szCs w:val="20"/>
                <w:color w:val="auto"/>
              </w:rPr>
            </w:pPr>
            <w:r>
              <w:rPr>
                <w:rFonts w:ascii="Arial" w:cs="Arial" w:eastAsia="Arial" w:hAnsi="Arial"/>
                <w:sz w:val="18"/>
                <w:szCs w:val="18"/>
                <w:color w:val="auto"/>
                <w:w w:val="79"/>
              </w:rPr>
              <w:t>$</w:t>
            </w:r>
          </w:p>
        </w:tc>
        <w:tc>
          <w:tcPr>
            <w:tcW w:w="720" w:type="dxa"/>
            <w:vAlign w:val="bottom"/>
            <w:vMerge w:val="restart"/>
          </w:tcPr>
          <w:p>
            <w:pPr>
              <w:jc w:val="right"/>
              <w:ind w:righ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640" w:type="dxa"/>
            <w:vAlign w:val="bottom"/>
            <w:gridSpan w:val="2"/>
          </w:tcPr>
          <w:p>
            <w:pPr>
              <w:ind w:left="160"/>
              <w:spacing w:after="0"/>
              <w:rPr>
                <w:sz w:val="20"/>
                <w:szCs w:val="20"/>
                <w:color w:val="auto"/>
              </w:rPr>
            </w:pPr>
            <w:r>
              <w:rPr>
                <w:rFonts w:ascii="Arial" w:cs="Arial" w:eastAsia="Arial" w:hAnsi="Arial"/>
                <w:sz w:val="18"/>
                <w:szCs w:val="18"/>
                <w:color w:val="auto"/>
              </w:rPr>
              <w:t>Share)</w:t>
            </w:r>
          </w:p>
        </w:tc>
        <w:tc>
          <w:tcPr>
            <w:tcW w:w="140" w:type="dxa"/>
            <w:vAlign w:val="bottom"/>
            <w:vMerge w:val="continue"/>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260" w:type="dxa"/>
            <w:vAlign w:val="bottom"/>
            <w:vMerge w:val="continue"/>
          </w:tcPr>
          <w:p>
            <w:pPr>
              <w:spacing w:after="0"/>
              <w:rPr>
                <w:sz w:val="19"/>
                <w:szCs w:val="19"/>
                <w:color w:val="auto"/>
              </w:rPr>
            </w:pPr>
          </w:p>
        </w:tc>
        <w:tc>
          <w:tcPr>
            <w:tcW w:w="9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vMerge w:val="continue"/>
          </w:tcPr>
          <w:p>
            <w:pPr>
              <w:spacing w:after="0"/>
              <w:rPr>
                <w:sz w:val="19"/>
                <w:szCs w:val="19"/>
                <w:color w:val="auto"/>
              </w:rPr>
            </w:pPr>
          </w:p>
        </w:tc>
        <w:tc>
          <w:tcPr>
            <w:tcW w:w="800" w:type="dxa"/>
            <w:vAlign w:val="bottom"/>
            <w:gridSpan w:val="2"/>
            <w:vMerge w:val="continue"/>
          </w:tcPr>
          <w:p>
            <w:pPr>
              <w:spacing w:after="0"/>
              <w:rPr>
                <w:sz w:val="19"/>
                <w:szCs w:val="19"/>
                <w:color w:val="auto"/>
              </w:rPr>
            </w:pPr>
          </w:p>
        </w:tc>
        <w:tc>
          <w:tcPr>
            <w:tcW w:w="280" w:type="dxa"/>
            <w:vAlign w:val="bottom"/>
            <w:vMerge w:val="continue"/>
          </w:tcPr>
          <w:p>
            <w:pPr>
              <w:spacing w:after="0"/>
              <w:rPr>
                <w:sz w:val="19"/>
                <w:szCs w:val="19"/>
                <w:color w:val="auto"/>
              </w:rPr>
            </w:pPr>
          </w:p>
        </w:tc>
        <w:tc>
          <w:tcPr>
            <w:tcW w:w="9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vMerge w:val="continue"/>
          </w:tcPr>
          <w:p>
            <w:pPr>
              <w:spacing w:after="0"/>
              <w:rPr>
                <w:sz w:val="19"/>
                <w:szCs w:val="19"/>
                <w:color w:val="auto"/>
              </w:rPr>
            </w:pPr>
          </w:p>
        </w:tc>
        <w:tc>
          <w:tcPr>
            <w:tcW w:w="840" w:type="dxa"/>
            <w:vAlign w:val="bottom"/>
            <w:gridSpan w:val="2"/>
            <w:vMerge w:val="continue"/>
          </w:tcPr>
          <w:p>
            <w:pPr>
              <w:spacing w:after="0"/>
              <w:rPr>
                <w:sz w:val="19"/>
                <w:szCs w:val="19"/>
                <w:color w:val="auto"/>
              </w:rPr>
            </w:pPr>
          </w:p>
        </w:tc>
        <w:tc>
          <w:tcPr>
            <w:tcW w:w="260" w:type="dxa"/>
            <w:vAlign w:val="bottom"/>
            <w:vMerge w:val="continue"/>
          </w:tcPr>
          <w:p>
            <w:pPr>
              <w:spacing w:after="0"/>
              <w:rPr>
                <w:sz w:val="19"/>
                <w:szCs w:val="19"/>
                <w:color w:val="auto"/>
              </w:rPr>
            </w:pPr>
          </w:p>
        </w:tc>
        <w:tc>
          <w:tcPr>
            <w:tcW w:w="9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vMerge w:val="continue"/>
          </w:tcPr>
          <w:p>
            <w:pPr>
              <w:spacing w:after="0"/>
              <w:rPr>
                <w:sz w:val="19"/>
                <w:szCs w:val="19"/>
                <w:color w:val="auto"/>
              </w:rPr>
            </w:pPr>
          </w:p>
        </w:tc>
        <w:tc>
          <w:tcPr>
            <w:tcW w:w="7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640" w:type="dxa"/>
            <w:vAlign w:val="bottom"/>
            <w:gridSpan w:val="2"/>
            <w:shd w:val="clear" w:color="auto" w:fill="CCEEFF"/>
          </w:tcPr>
          <w:p>
            <w:pPr>
              <w:ind w:left="160"/>
              <w:spacing w:after="0" w:line="176" w:lineRule="exact"/>
              <w:rPr>
                <w:sz w:val="20"/>
                <w:szCs w:val="20"/>
                <w:color w:val="auto"/>
              </w:rPr>
            </w:pPr>
            <w:r>
              <w:rPr>
                <w:rFonts w:ascii="Arial" w:cs="Arial" w:eastAsia="Arial" w:hAnsi="Arial"/>
                <w:sz w:val="18"/>
                <w:szCs w:val="18"/>
                <w:color w:val="auto"/>
                <w:w w:val="99"/>
              </w:rPr>
              <w:t>Percentage Dilution to Investor</w:t>
            </w: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640" w:type="dxa"/>
            <w:vAlign w:val="bottom"/>
            <w:gridSpan w:val="2"/>
            <w:shd w:val="clear" w:color="auto" w:fill="CCEEFF"/>
          </w:tcPr>
          <w:p>
            <w:pPr>
              <w:ind w:left="160"/>
              <w:spacing w:after="0" w:line="176" w:lineRule="exact"/>
              <w:rPr>
                <w:sz w:val="20"/>
                <w:szCs w:val="20"/>
                <w:color w:val="auto"/>
              </w:rPr>
            </w:pPr>
            <w:r>
              <w:rPr>
                <w:rFonts w:ascii="Arial" w:cs="Arial" w:eastAsia="Arial" w:hAnsi="Arial"/>
                <w:sz w:val="18"/>
                <w:szCs w:val="18"/>
                <w:color w:val="auto"/>
              </w:rPr>
              <w:t>A (Dilution per Share Divided</w:t>
            </w:r>
          </w:p>
        </w:tc>
        <w:tc>
          <w:tcPr>
            <w:tcW w:w="140" w:type="dxa"/>
            <w:vAlign w:val="bottom"/>
            <w:shd w:val="clear" w:color="auto" w:fill="CCEEFF"/>
          </w:tcPr>
          <w:p>
            <w:pPr>
              <w:spacing w:after="0"/>
              <w:rPr>
                <w:sz w:val="15"/>
                <w:szCs w:val="15"/>
                <w:color w:val="auto"/>
              </w:rPr>
            </w:pPr>
          </w:p>
        </w:tc>
        <w:tc>
          <w:tcPr>
            <w:tcW w:w="1260" w:type="dxa"/>
            <w:vAlign w:val="bottom"/>
            <w:gridSpan w:val="2"/>
            <w:vMerge w:val="restart"/>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5"/>
                <w:szCs w:val="15"/>
                <w:color w:val="auto"/>
              </w:rPr>
            </w:pPr>
          </w:p>
        </w:tc>
        <w:tc>
          <w:tcPr>
            <w:tcW w:w="1060" w:type="dxa"/>
            <w:vAlign w:val="bottom"/>
            <w:gridSpan w:val="2"/>
            <w:vMerge w:val="restart"/>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5"/>
              </w:rPr>
              <w:t>(0.27)%</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4.56 %</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14.76 %</w:t>
            </w:r>
          </w:p>
        </w:tc>
        <w:tc>
          <w:tcPr>
            <w:tcW w:w="0" w:type="dxa"/>
            <w:vAlign w:val="bottom"/>
          </w:tcPr>
          <w:p>
            <w:pPr>
              <w:spacing w:after="0"/>
              <w:rPr>
                <w:sz w:val="1"/>
                <w:szCs w:val="1"/>
                <w:color w:val="auto"/>
              </w:rPr>
            </w:pPr>
          </w:p>
        </w:tc>
      </w:tr>
      <w:tr>
        <w:trPr>
          <w:trHeight w:val="230"/>
        </w:trPr>
        <w:tc>
          <w:tcPr>
            <w:tcW w:w="26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by Investment per Share)</w:t>
            </w:r>
          </w:p>
        </w:tc>
        <w:tc>
          <w:tcPr>
            <w:tcW w:w="140" w:type="dxa"/>
            <w:vAlign w:val="bottom"/>
            <w:shd w:val="clear" w:color="auto" w:fill="CCEEFF"/>
          </w:tcPr>
          <w:p>
            <w:pPr>
              <w:spacing w:after="0"/>
              <w:rPr>
                <w:sz w:val="19"/>
                <w:szCs w:val="19"/>
                <w:color w:val="auto"/>
              </w:rPr>
            </w:pPr>
          </w:p>
        </w:tc>
        <w:tc>
          <w:tcPr>
            <w:tcW w:w="1260" w:type="dxa"/>
            <w:vAlign w:val="bottom"/>
            <w:gridSpan w:val="2"/>
            <w:vMerge w:val="continue"/>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gridSpan w:val="2"/>
            <w:vMerge w:val="continue"/>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6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Other Considerations</w:t>
      </w:r>
    </w:p>
    <w:p>
      <w:pPr>
        <w:spacing w:after="0" w:line="225" w:lineRule="exact"/>
        <w:rPr>
          <w:sz w:val="20"/>
          <w:szCs w:val="20"/>
          <w:color w:val="auto"/>
        </w:rPr>
      </w:pPr>
    </w:p>
    <w:p>
      <w:pPr>
        <w:ind w:right="380" w:firstLine="324"/>
        <w:spacing w:after="0" w:line="277" w:lineRule="auto"/>
        <w:rPr>
          <w:sz w:val="20"/>
          <w:szCs w:val="20"/>
          <w:color w:val="auto"/>
        </w:rPr>
      </w:pPr>
      <w:r>
        <w:rPr>
          <w:rFonts w:ascii="Arial" w:cs="Arial" w:eastAsia="Arial" w:hAnsi="Arial"/>
          <w:sz w:val="18"/>
          <w:szCs w:val="18"/>
          <w:color w:val="auto"/>
        </w:rPr>
        <w:t>In reaching its recommendation to the shareholders of the Company to approve this Proposal 1, the Board of Directors considered the effect or the following factors:</w:t>
      </w:r>
    </w:p>
    <w:p>
      <w:pPr>
        <w:spacing w:after="0" w:line="197" w:lineRule="exact"/>
        <w:rPr>
          <w:sz w:val="20"/>
          <w:szCs w:val="20"/>
          <w:color w:val="auto"/>
        </w:rPr>
      </w:pPr>
    </w:p>
    <w:p>
      <w:pPr>
        <w:ind w:left="660" w:right="340" w:hanging="328"/>
        <w:spacing w:after="0" w:line="277"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costs and benefits of a Common Share offering below NAV compared to other possible means for raising capital or concluding not to raise capital;</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size of a Common Share offering in relation to the number of Common Shares outstanding;</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general condition of the securities markets; and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impact on operating expenses associated with an increase in capital.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40"/>
          </w:cols>
          <w:pgMar w:left="320" w:top="1440" w:right="339" w:bottom="1440" w:gutter="0" w:footer="0" w:header="0"/>
        </w:sectPr>
      </w:pPr>
    </w:p>
    <w:bookmarkStart w:id="20" w:name="page21"/>
    <w:bookmarkEnd w:id="20"/>
    <w:p>
      <w:pPr>
        <w:spacing w:after="0" w:line="198" w:lineRule="exact"/>
        <w:rPr>
          <w:sz w:val="20"/>
          <w:szCs w:val="20"/>
          <w:color w:val="auto"/>
        </w:rPr>
      </w:pPr>
    </w:p>
    <w:p>
      <w:pPr>
        <w:ind w:right="480" w:firstLine="324"/>
        <w:spacing w:after="0" w:line="342" w:lineRule="auto"/>
        <w:rPr>
          <w:sz w:val="20"/>
          <w:szCs w:val="20"/>
          <w:color w:val="auto"/>
        </w:rPr>
      </w:pPr>
      <w:r>
        <w:rPr>
          <w:rFonts w:ascii="Arial" w:cs="Arial" w:eastAsia="Arial" w:hAnsi="Arial"/>
          <w:sz w:val="16"/>
          <w:szCs w:val="16"/>
          <w:color w:val="auto"/>
        </w:rPr>
        <w:t>The Board of Directors, including a majority of the non-interested directors who have no financial interest in this Proposal 1, concluded that the benefits to the shareholders from increasing the Company’s capital base outweighed any detriment, including dilution to existing shareholders.</w:t>
      </w:r>
    </w:p>
    <w:p>
      <w:pPr>
        <w:spacing w:after="0" w:line="12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Required Vote</w:t>
      </w:r>
    </w:p>
    <w:p>
      <w:pPr>
        <w:spacing w:after="0" w:line="229" w:lineRule="exact"/>
        <w:rPr>
          <w:sz w:val="20"/>
          <w:szCs w:val="20"/>
          <w:color w:val="auto"/>
        </w:rPr>
      </w:pPr>
    </w:p>
    <w:p>
      <w:pPr>
        <w:ind w:right="80" w:firstLine="324"/>
        <w:spacing w:after="0" w:line="285" w:lineRule="auto"/>
        <w:rPr>
          <w:sz w:val="20"/>
          <w:szCs w:val="20"/>
          <w:color w:val="auto"/>
        </w:rPr>
      </w:pPr>
      <w:r>
        <w:rPr>
          <w:rFonts w:ascii="Arial" w:cs="Arial" w:eastAsia="Arial" w:hAnsi="Arial"/>
          <w:sz w:val="16"/>
          <w:szCs w:val="16"/>
          <w:color w:val="auto"/>
        </w:rPr>
        <w:t>The authorization of the Company to sell Common Shares at a price or prices below the Company’s then current NAV per share in one or multiple offerings will require the affirmative vote of (1) a majority of the outstanding Common Shares entitled to vote at the Meeting; and (2) a majority of the outstanding Common Shares entitled to vote at the Meeting that are not held by affiliated persons of us, which includes the Company’s officers, directors, employees and 5% shareholders. Because the Company is regulated as a BDC under the 1940 Act, the 1940 Act definition of “a majority of the outstanding shares” must be used for purposes of this proposal. Under the 1940 Act, “a majority of the outstanding shares” is defined as the lesser of:</w:t>
      </w:r>
    </w:p>
    <w:p>
      <w:pPr>
        <w:spacing w:after="0" w:line="2" w:lineRule="exact"/>
        <w:rPr>
          <w:sz w:val="20"/>
          <w:szCs w:val="20"/>
          <w:color w:val="auto"/>
        </w:rPr>
      </w:pPr>
    </w:p>
    <w:p>
      <w:pPr>
        <w:ind w:firstLine="8"/>
        <w:spacing w:after="0" w:line="255" w:lineRule="auto"/>
        <w:tabs>
          <w:tab w:leader="none" w:pos="215" w:val="left"/>
        </w:tabs>
        <w:numPr>
          <w:ilvl w:val="0"/>
          <w:numId w:val="16"/>
        </w:numPr>
        <w:rPr>
          <w:rFonts w:ascii="Arial" w:cs="Arial" w:eastAsia="Arial" w:hAnsi="Arial"/>
          <w:sz w:val="18"/>
          <w:szCs w:val="18"/>
          <w:color w:val="auto"/>
        </w:rPr>
      </w:pPr>
      <w:r>
        <w:rPr>
          <w:rFonts w:ascii="Arial" w:cs="Arial" w:eastAsia="Arial" w:hAnsi="Arial"/>
          <w:sz w:val="18"/>
          <w:szCs w:val="18"/>
          <w:color w:val="auto"/>
        </w:rPr>
        <w:t>67% or more of the voting securities present at the Meeting if the holders of more than 50% of the Company’s outstanding voting securities are present or represented by proxy; or (ii) more than 50% of the Company’s outstanding voting securities. Abstentions and Broker Non-Votes will have the effect of a vote against this proposal.</w:t>
      </w:r>
    </w:p>
    <w:p>
      <w:pPr>
        <w:spacing w:after="0" w:line="186" w:lineRule="exact"/>
        <w:rPr>
          <w:sz w:val="20"/>
          <w:szCs w:val="20"/>
          <w:color w:val="auto"/>
        </w:rPr>
      </w:pPr>
    </w:p>
    <w:p>
      <w:pPr>
        <w:ind w:right="220" w:firstLine="324"/>
        <w:spacing w:after="0" w:line="281" w:lineRule="auto"/>
        <w:rPr>
          <w:sz w:val="20"/>
          <w:szCs w:val="20"/>
          <w:color w:val="auto"/>
        </w:rPr>
      </w:pPr>
      <w:r>
        <w:rPr>
          <w:rFonts w:ascii="Arial" w:cs="Arial" w:eastAsia="Arial" w:hAnsi="Arial"/>
          <w:sz w:val="17"/>
          <w:szCs w:val="17"/>
          <w:b w:val="1"/>
          <w:bCs w:val="1"/>
          <w:color w:val="auto"/>
        </w:rPr>
        <w:t>THE BOARD OF DIRECTORS BELIEVES THAT A VOTE “FOR” PROPOSAL 1 TO AUTHORIZE THE COMPANY TO SELL ITS COMMON SHARES AT A PRICE OR PRICES BELOW THE COMPANY’S THEN CURRENT NET ASSET VALUE PER SHARE IN ONE OR MULTIPLE OFFERINGS, (SUBJECT TO CERTAIN LIMITATIONS DESCRIBED IN THIS PROXY STATEMENT), AS DESCRIBED ABOVE IS IN THE BEST INTERESTS OF THE COMPANY’S SHAREHOLDERS AND RECOMMENDS A VOTE “FOR” PROPOSAL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160"/>
          </w:cols>
          <w:pgMar w:left="320" w:top="1440" w:right="419" w:bottom="1440" w:gutter="0" w:footer="0" w:header="0"/>
        </w:sectPr>
      </w:pPr>
    </w:p>
    <w:bookmarkStart w:id="21" w:name="page22"/>
    <w:bookmarkEnd w:id="21"/>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PROPOSAL II — ADJOURNMENT OF THE MEETING</w:t>
      </w:r>
    </w:p>
    <w:p>
      <w:pPr>
        <w:spacing w:after="0" w:line="162" w:lineRule="exact"/>
        <w:rPr>
          <w:sz w:val="20"/>
          <w:szCs w:val="20"/>
          <w:color w:val="auto"/>
        </w:rPr>
      </w:pPr>
    </w:p>
    <w:p>
      <w:pPr>
        <w:ind w:right="100" w:firstLine="432"/>
        <w:spacing w:after="0" w:line="258" w:lineRule="auto"/>
        <w:rPr>
          <w:sz w:val="20"/>
          <w:szCs w:val="20"/>
          <w:color w:val="auto"/>
        </w:rPr>
      </w:pPr>
      <w:r>
        <w:rPr>
          <w:rFonts w:ascii="Arial" w:cs="Arial" w:eastAsia="Arial" w:hAnsi="Arial"/>
          <w:sz w:val="18"/>
          <w:szCs w:val="18"/>
          <w:color w:val="auto"/>
        </w:rPr>
        <w:t>The Company’s shareholders may be asked to consider and act upon one or more adjournments of the Meeting, if necessary or appropriate, to solicit additional proxies in favor of any or all of the other proposals set forth in this proxy statement.</w:t>
      </w:r>
    </w:p>
    <w:p>
      <w:pPr>
        <w:spacing w:after="0" w:line="1" w:lineRule="exact"/>
        <w:rPr>
          <w:sz w:val="20"/>
          <w:szCs w:val="20"/>
          <w:color w:val="auto"/>
        </w:rPr>
      </w:pPr>
    </w:p>
    <w:p>
      <w:pPr>
        <w:ind w:right="220"/>
        <w:spacing w:after="0" w:line="250" w:lineRule="auto"/>
        <w:rPr>
          <w:sz w:val="20"/>
          <w:szCs w:val="20"/>
          <w:color w:val="auto"/>
        </w:rPr>
      </w:pPr>
      <w:r>
        <w:rPr>
          <w:rFonts w:ascii="Arial" w:cs="Arial" w:eastAsia="Arial" w:hAnsi="Arial"/>
          <w:sz w:val="18"/>
          <w:szCs w:val="18"/>
          <w:color w:val="auto"/>
        </w:rPr>
        <w:t>If a quorum is not present at the Meeting, the Company’s shareholders may be asked to vote on the proposal to adjourn the Meeting to solicit additional proxies. If a quorum is present at the Meeting, but there are not sufficient votes at the time of the Meeting to approve one or more of the proposals, the Company’s shareholders may also be asked to vote on the proposal to approve the adjournment of the Meeting to permit further solicitation of proxies in favor of the other proposals. However, a shareholder vote may be taken on one of the proposals in this proxy statement prior to any such adjournment if there are sufficient votes for approval on such proposal.</w:t>
      </w:r>
    </w:p>
    <w:p>
      <w:pPr>
        <w:spacing w:after="0" w:line="2" w:lineRule="exact"/>
        <w:rPr>
          <w:sz w:val="20"/>
          <w:szCs w:val="20"/>
          <w:color w:val="auto"/>
        </w:rPr>
      </w:pPr>
    </w:p>
    <w:p>
      <w:pPr>
        <w:ind w:right="140"/>
        <w:spacing w:after="0" w:line="281" w:lineRule="auto"/>
        <w:rPr>
          <w:sz w:val="20"/>
          <w:szCs w:val="20"/>
          <w:color w:val="auto"/>
        </w:rPr>
      </w:pPr>
      <w:r>
        <w:rPr>
          <w:rFonts w:ascii="Arial" w:cs="Arial" w:eastAsia="Arial" w:hAnsi="Arial"/>
          <w:sz w:val="16"/>
          <w:szCs w:val="16"/>
          <w:color w:val="auto"/>
        </w:rPr>
        <w:t>If the adjournment proposal is submitted for a vote at the Meeting, and if the Company’s shareholders vote to approve the adjournment proposal, the meeting will be adjourned to enable the Board of Directors to solicit additional proxies in favor of one or more proposals. If the adjournment proposal is approved, and the Meeting is adjourned, the Board of Directors will use the additional time to solicit additional proxies in favor of any of the proposals to be presented at the Meeting, including the solicitation of proxies from shareholders that have previously voted against the relevant proposal.</w:t>
      </w:r>
    </w:p>
    <w:p>
      <w:pPr>
        <w:spacing w:after="0" w:line="2"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The Board of Directors believes that, if the number of Common Shares voting in favor of any of the proposals presented at the Meeting is insufficient to approve a proposal, it is in the best interests of the Company’s shareholders to enable the Board of Directors, for a limited period of time, to continue to seek to obtain a sufficient number of additional votes in favor of the proposal. Any signed proxies received by the Company in which no voting instructions are provided on such matter will be voted in favor of an adjournment in these circumstances. The time and place of the adjourned meeting will be announced at the time the adjournment is taken. Any adjournment of the Meeting for the purpose of soliciting additional proxies will allow the Company’s shareholders who have already sent in their proxies to revoke them at any time prior to their use at the Meeting was adjourned or postponed.</w:t>
      </w:r>
    </w:p>
    <w:p>
      <w:pPr>
        <w:spacing w:after="0" w:line="4" w:lineRule="exact"/>
        <w:rPr>
          <w:sz w:val="20"/>
          <w:szCs w:val="20"/>
          <w:color w:val="auto"/>
        </w:rPr>
      </w:pPr>
    </w:p>
    <w:p>
      <w:pPr>
        <w:ind w:right="780"/>
        <w:spacing w:after="0" w:line="260" w:lineRule="auto"/>
        <w:rPr>
          <w:sz w:val="20"/>
          <w:szCs w:val="20"/>
          <w:color w:val="auto"/>
        </w:rPr>
      </w:pPr>
      <w:r>
        <w:rPr>
          <w:rFonts w:ascii="Arial" w:cs="Arial" w:eastAsia="Arial" w:hAnsi="Arial"/>
          <w:sz w:val="18"/>
          <w:szCs w:val="18"/>
          <w:b w:val="1"/>
          <w:bCs w:val="1"/>
          <w:color w:val="auto"/>
        </w:rPr>
        <w:t>THE BOARD OF DIRECTORS RECOMMENDS A VOTE “FOR” THE ADJOURNMENT OF THE MEETING, IF NECESSARY OR APPROPRIATE, TO SOLICIT ADDITIONAL PROXIES.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20"/>
          </w:cols>
          <w:pgMar w:left="320" w:top="1440" w:right="359" w:bottom="1440" w:gutter="0" w:footer="0" w:header="0"/>
        </w:sectPr>
      </w:pPr>
    </w:p>
    <w:bookmarkStart w:id="22" w:name="page23"/>
    <w:bookmarkEnd w:id="22"/>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OTHER MATTERS</w:t>
      </w:r>
    </w:p>
    <w:p>
      <w:pPr>
        <w:spacing w:after="0" w:line="162" w:lineRule="exact"/>
        <w:rPr>
          <w:sz w:val="20"/>
          <w:szCs w:val="20"/>
          <w:color w:val="auto"/>
        </w:rPr>
      </w:pPr>
    </w:p>
    <w:p>
      <w:pPr>
        <w:ind w:firstLine="432"/>
        <w:spacing w:after="0" w:line="273" w:lineRule="auto"/>
        <w:rPr>
          <w:sz w:val="20"/>
          <w:szCs w:val="20"/>
          <w:color w:val="auto"/>
        </w:rPr>
      </w:pPr>
      <w:r>
        <w:rPr>
          <w:rFonts w:ascii="Arial" w:cs="Arial" w:eastAsia="Arial" w:hAnsi="Arial"/>
          <w:sz w:val="17"/>
          <w:szCs w:val="17"/>
          <w:color w:val="auto"/>
        </w:rPr>
        <w:t>The Board of Directors is not aware of any business to come before the Meeting other than those matters described above in this Proxy Statement and matters incident to the conduct of the Meeting. Properly executed proxies in the accompanying form that have not been revoked confer discretionary authority on the persons named therein to vote at the direction of a majority of the Board of Directors on any other matters presented at the Meeting. Under SEC rules, if a shareholder does not notify the Company within a reasonable time before the date of this Proxy Statement of such shareholder’s intent to present a proposal at the Meeting, the persons named in the accompanying proxy may exercise such discretionary voting authority if the proposal is raised at the Meeting, without any discussion of the matter in this Proxy Statement.</w:t>
      </w:r>
    </w:p>
    <w:p>
      <w:pPr>
        <w:spacing w:after="0" w:line="174" w:lineRule="exact"/>
        <w:rPr>
          <w:sz w:val="20"/>
          <w:szCs w:val="20"/>
          <w:color w:val="auto"/>
        </w:rPr>
      </w:pPr>
    </w:p>
    <w:p>
      <w:pPr>
        <w:ind w:right="2160" w:firstLine="2174"/>
        <w:spacing w:after="0" w:line="282" w:lineRule="auto"/>
        <w:rPr>
          <w:sz w:val="20"/>
          <w:szCs w:val="20"/>
          <w:color w:val="auto"/>
        </w:rPr>
      </w:pPr>
      <w:r>
        <w:rPr>
          <w:rFonts w:ascii="Arial" w:cs="Arial" w:eastAsia="Arial" w:hAnsi="Arial"/>
          <w:sz w:val="18"/>
          <w:szCs w:val="18"/>
          <w:b w:val="1"/>
          <w:bCs w:val="1"/>
          <w:color w:val="auto"/>
        </w:rPr>
        <w:t>IMPORTANT NOTICE REGARDING THE AVAILABILITY OF PROXY MATERIALS FOR THE SPECIAL MEETING TO BE HELD ON JULY 12, 2021</w:t>
      </w:r>
    </w:p>
    <w:p>
      <w:pPr>
        <w:spacing w:after="0" w:line="8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Proxy Statement, the Proxy Card and the accompanying Notice of Special Meeting of Shareholders are available at the website: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http://www.astproxyportal.com/ast/98844.</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ADDITIONAL INFORMATION</w:t>
      </w:r>
    </w:p>
    <w:p>
      <w:pPr>
        <w:spacing w:after="0" w:line="162" w:lineRule="exact"/>
        <w:rPr>
          <w:sz w:val="20"/>
          <w:szCs w:val="20"/>
          <w:color w:val="auto"/>
        </w:rPr>
      </w:pPr>
    </w:p>
    <w:p>
      <w:pPr>
        <w:ind w:right="60" w:firstLine="432"/>
        <w:spacing w:after="0" w:line="311" w:lineRule="auto"/>
        <w:rPr>
          <w:sz w:val="20"/>
          <w:szCs w:val="20"/>
          <w:color w:val="auto"/>
        </w:rPr>
      </w:pPr>
      <w:r>
        <w:rPr>
          <w:rFonts w:ascii="Arial" w:cs="Arial" w:eastAsia="Arial" w:hAnsi="Arial"/>
          <w:sz w:val="16"/>
          <w:szCs w:val="16"/>
          <w:color w:val="auto"/>
        </w:rPr>
        <w:t xml:space="preserve">The Company’s SEC filings are also available to the public from commercial document retrieval services and on the web site maintained by the SEC at </w:t>
      </w:r>
      <w:r>
        <w:rPr>
          <w:rFonts w:ascii="Arial" w:cs="Arial" w:eastAsia="Arial" w:hAnsi="Arial"/>
          <w:sz w:val="16"/>
          <w:szCs w:val="16"/>
          <w:i w:val="1"/>
          <w:iCs w:val="1"/>
          <w:color w:val="auto"/>
        </w:rPr>
        <w:t>www.sec.gov</w:t>
      </w:r>
      <w:r>
        <w:rPr>
          <w:rFonts w:ascii="Arial" w:cs="Arial" w:eastAsia="Arial" w:hAnsi="Arial"/>
          <w:sz w:val="16"/>
          <w:szCs w:val="16"/>
          <w:color w:val="auto"/>
        </w:rPr>
        <w:t xml:space="preserve">. Such information will also be furnished upon written request to Newtek Business Services Corp., 1981 Marcus Avenue, Suite 130, Lake Success, New York 11042, Attention: Corporate Secretary, and can also be accessed through the Company’s website at </w:t>
      </w:r>
      <w:r>
        <w:rPr>
          <w:rFonts w:ascii="Arial" w:cs="Arial" w:eastAsia="Arial" w:hAnsi="Arial"/>
          <w:sz w:val="16"/>
          <w:szCs w:val="16"/>
          <w:i w:val="1"/>
          <w:iCs w:val="1"/>
          <w:color w:val="auto"/>
        </w:rPr>
        <w:t>www.newtekone.com</w:t>
      </w:r>
      <w:r>
        <w:rPr>
          <w:rFonts w:ascii="Arial" w:cs="Arial" w:eastAsia="Arial" w:hAnsi="Arial"/>
          <w:sz w:val="16"/>
          <w:szCs w:val="16"/>
          <w:color w:val="auto"/>
        </w:rPr>
        <w:t>.</w:t>
      </w:r>
    </w:p>
    <w:p>
      <w:pPr>
        <w:spacing w:after="0" w:line="81" w:lineRule="exact"/>
        <w:rPr>
          <w:sz w:val="20"/>
          <w:szCs w:val="20"/>
          <w:color w:val="auto"/>
        </w:rPr>
      </w:pPr>
    </w:p>
    <w:p>
      <w:pPr>
        <w:ind w:right="40" w:firstLine="432"/>
        <w:spacing w:after="0" w:line="269" w:lineRule="auto"/>
        <w:rPr>
          <w:sz w:val="20"/>
          <w:szCs w:val="20"/>
          <w:color w:val="auto"/>
        </w:rPr>
      </w:pPr>
      <w:r>
        <w:rPr>
          <w:rFonts w:ascii="Arial" w:cs="Arial" w:eastAsia="Arial" w:hAnsi="Arial"/>
          <w:sz w:val="17"/>
          <w:szCs w:val="17"/>
          <w:color w:val="auto"/>
        </w:rPr>
        <w:t>Mailings for multiple shareholders going to a single household are combined by delivering to that address, in a single envelope, a copy of the documents (prospectuses, proxy statements, etc.) or other communications for all shareholders who have consented or are deemed to have consented to receiving such communications in such manner in accordance with the rules promulgated by the SEC. Once you have received notice from your broker or the Company that they or the Company will be householding materials to your address, householding will continue until you are notified otherwise or until you revoke your consent. If, at any time, you no longer wish to participate in householding, please notify your broker if your shares are held in a brokerage account or the Company if you hold registered shares. You can notify the Company by sending a written request to Newtek Business Services Corp., 1981 Marcus Avenue, Suite 130, Lake Success, New York 11042, Attention: Chief Legal Officer or call (212) 356-9500. Promptly upon receipt by the Company of such a request from a shareholder, separate proxy materials will be delivered to the requesting shareholder. Shareholders who currently receive multiple copies of the Proxy Statement at their addresses and would like to request “householding” of their communications should contact their brokers or the Company (if you hold registered shares).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CONFIDENTIALITY OF PROXIES</w:t>
      </w:r>
    </w:p>
    <w:p>
      <w:pPr>
        <w:spacing w:after="0" w:line="148" w:lineRule="exact"/>
        <w:rPr>
          <w:sz w:val="20"/>
          <w:szCs w:val="20"/>
          <w:color w:val="auto"/>
        </w:rPr>
      </w:pPr>
    </w:p>
    <w:p>
      <w:pPr>
        <w:jc w:val="both"/>
        <w:ind w:right="80" w:firstLine="432"/>
        <w:spacing w:after="0" w:line="342" w:lineRule="auto"/>
        <w:rPr>
          <w:sz w:val="20"/>
          <w:szCs w:val="20"/>
          <w:color w:val="auto"/>
        </w:rPr>
      </w:pPr>
      <w:r>
        <w:rPr>
          <w:rFonts w:ascii="Arial" w:cs="Arial" w:eastAsia="Arial" w:hAnsi="Arial"/>
          <w:sz w:val="16"/>
          <w:szCs w:val="16"/>
          <w:color w:val="auto"/>
        </w:rPr>
        <w:t>The Company’s policy is that proxies identifying individual shareholders are private except as necessary to determine compliance with law, to assert or defend legal claims, in a contested proxy solicitation or in the event that a shareholder makes a written comment on a Proxy Card or an attachment to it.</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COSTS OF PROXY SOLICITATIONS; SHAREHOLDER COMMUNICATIONS</w:t>
      </w:r>
    </w:p>
    <w:p>
      <w:pPr>
        <w:spacing w:after="0" w:line="162" w:lineRule="exact"/>
        <w:rPr>
          <w:sz w:val="20"/>
          <w:szCs w:val="20"/>
          <w:color w:val="auto"/>
        </w:rPr>
      </w:pPr>
    </w:p>
    <w:p>
      <w:pPr>
        <w:ind w:right="100" w:firstLine="432"/>
        <w:spacing w:after="0" w:line="271" w:lineRule="auto"/>
        <w:rPr>
          <w:sz w:val="20"/>
          <w:szCs w:val="20"/>
          <w:color w:val="auto"/>
        </w:rPr>
      </w:pPr>
      <w:r>
        <w:rPr>
          <w:rFonts w:ascii="Arial" w:cs="Arial" w:eastAsia="Arial" w:hAnsi="Arial"/>
          <w:sz w:val="17"/>
          <w:szCs w:val="17"/>
          <w:color w:val="auto"/>
        </w:rPr>
        <w:t>The cost of solicitation of proxies will be borne by the Company. The Company will reimburse brokerage firms and other custodians, nominees and fiduciaries for reasonable expenses incurred by them in sending proxy material to the beneficial owners of Common Shares. In addition to solicitations by mail, directors, officers and regular employees of the Company may solicit proxies personally, by telephone or by email without additional compensation. The Company has engaged the services of Georgeson LLC to assist in the solicitation of proxies. The Company has estimated that it will pay approximately $40,000, plus reimbursement of certain expenses and fees for additional services requested. Please note that Georgeson LLC may solicit shareholder proxies by telephone on behalf of the Company. They will not attempt to influence how you vote your shares, but only ask that you take the time to authorize your proxy. You may also be asked if you would like to vote over the telephone and to have your vote transmitted to the proxy tabulation firm. Shareholders may send written communications to the Board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20"/>
          </w:cols>
          <w:pgMar w:left="320" w:top="1440" w:right="359" w:bottom="1440" w:gutter="0" w:footer="0" w:header="0"/>
        </w:sectPr>
      </w:pPr>
    </w:p>
    <w:bookmarkStart w:id="23" w:name="page24"/>
    <w:bookmarkEnd w:id="23"/>
    <w:p>
      <w:pPr>
        <w:spacing w:after="0" w:line="13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Directors to the attention of the Board of Directors, c/o Newtek Business Services Corp., 1981 Marcus Avenue, Suite 130, Lake Success, New York 11042. Shareholder communications must be signed by the shareholder and identify the number of Common Shares held by the shareholder. Each properly submitted shareholder communication will be provided to the Board of Directors at its next meeting or, if such communication requires more immediate attention, it will be forwarded to the Directors promptly after receipt.</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ANNUAL REPORT</w:t>
      </w:r>
    </w:p>
    <w:p>
      <w:pPr>
        <w:spacing w:after="0" w:line="162" w:lineRule="exact"/>
        <w:rPr>
          <w:sz w:val="20"/>
          <w:szCs w:val="20"/>
          <w:color w:val="auto"/>
        </w:rPr>
      </w:pPr>
    </w:p>
    <w:p>
      <w:pPr>
        <w:jc w:val="both"/>
        <w:ind w:right="360"/>
        <w:spacing w:after="0" w:line="263" w:lineRule="auto"/>
        <w:rPr>
          <w:sz w:val="20"/>
          <w:szCs w:val="20"/>
          <w:color w:val="auto"/>
        </w:rPr>
      </w:pPr>
      <w:r>
        <w:rPr>
          <w:rFonts w:ascii="Arial" w:cs="Arial" w:eastAsia="Arial" w:hAnsi="Arial"/>
          <w:sz w:val="18"/>
          <w:szCs w:val="18"/>
          <w:color w:val="auto"/>
        </w:rPr>
        <w:t>The Company will furnish, without charge, a copy of the Company’s Annual Report on Form 10-K for the fiscal year ended December 31, 2020 to any shareholder upon request. Requests should be directed to Newtek Business Services Corp., 1981 Marcus Avenue, Suite 130, Lake Success, New York 11042, Attention: Chief Legal Officer or call (212) 356-9500, or by emailing mschwartz@newtekone.com.</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SHAREHOLDER PROPOSALS</w:t>
      </w:r>
    </w:p>
    <w:p>
      <w:pPr>
        <w:spacing w:after="0" w:line="189" w:lineRule="exact"/>
        <w:rPr>
          <w:sz w:val="20"/>
          <w:szCs w:val="20"/>
          <w:color w:val="auto"/>
        </w:rPr>
      </w:pPr>
    </w:p>
    <w:p>
      <w:pPr>
        <w:ind w:right="60" w:firstLine="432"/>
        <w:spacing w:after="0" w:line="261" w:lineRule="auto"/>
        <w:rPr>
          <w:sz w:val="20"/>
          <w:szCs w:val="20"/>
          <w:color w:val="auto"/>
        </w:rPr>
      </w:pPr>
      <w:r>
        <w:rPr>
          <w:rFonts w:ascii="Arial" w:cs="Arial" w:eastAsia="Arial" w:hAnsi="Arial"/>
          <w:sz w:val="16"/>
          <w:szCs w:val="16"/>
          <w:color w:val="auto"/>
        </w:rPr>
        <w:t>The Company expects that the 2022 Annual Meeting of Shareholders will be held on or about June 10, 2022, but the exact date, time, and location of such meeting may change. A shareholder who intends to present a proposal at the 2022 Annual Meeting of Shareholders pursuant to the SEC’s Rule 14a-8 must submit the proposal in writing to the Corporate Secretary of the Company at 1981 Marcus Avenue, Suite 130, Lake Success, New York 11042. The Company must receive the proposal no later than January 13, 2022, in order for the proposal to be considered for inclusion in the Company’s proxy statement for that meeting. The submission of a proposal does not guarantee its inclusion in the Company’s proxy statement or presentation at the meeting.</w:t>
      </w:r>
    </w:p>
    <w:p>
      <w:pPr>
        <w:spacing w:after="0" w:line="188" w:lineRule="exact"/>
        <w:rPr>
          <w:sz w:val="20"/>
          <w:szCs w:val="20"/>
          <w:color w:val="auto"/>
        </w:rPr>
      </w:pPr>
    </w:p>
    <w:p>
      <w:pPr>
        <w:ind w:firstLine="432"/>
        <w:spacing w:after="0" w:line="250" w:lineRule="auto"/>
        <w:rPr>
          <w:sz w:val="20"/>
          <w:szCs w:val="20"/>
          <w:color w:val="auto"/>
        </w:rPr>
      </w:pPr>
      <w:r>
        <w:rPr>
          <w:rFonts w:ascii="Arial" w:cs="Arial" w:eastAsia="Arial" w:hAnsi="Arial"/>
          <w:sz w:val="16"/>
          <w:szCs w:val="16"/>
          <w:color w:val="auto"/>
        </w:rPr>
        <w:t>Shareholder proposals or director nominations to be presented at the 2022 Annual Meeting of Shareholders, other than shareholder proposals submitted pursuant to the SEC’s Rule 14a-8, must be submitted in accordance with the advance notice procedures and other requirements set forth in our bylaws. These requirements are separate from the requirements discussed above to have the shareholder nomination or other proposal included in our proxy statement and form of proxy/voting instruction card pursuant to the SEC’s rules. The item to be brought before the meeting must be a proper subject for shareholder action. Our bylaws require that to be timely, a shareholder’s notice shall set forth all information required and shall be delivered to the secretary at the principal executive office of the Company at the above address not earlier than the 150</w:t>
      </w:r>
      <w:r>
        <w:rPr>
          <w:rFonts w:ascii="Arial" w:cs="Arial" w:eastAsia="Arial" w:hAnsi="Arial"/>
          <w:sz w:val="7"/>
          <w:szCs w:val="7"/>
          <w:color w:val="auto"/>
        </w:rPr>
        <w:t>th</w:t>
      </w:r>
      <w:r>
        <w:rPr>
          <w:rFonts w:ascii="Arial" w:cs="Arial" w:eastAsia="Arial" w:hAnsi="Arial"/>
          <w:sz w:val="16"/>
          <w:szCs w:val="16"/>
          <w:color w:val="auto"/>
        </w:rPr>
        <w:t xml:space="preserve"> day prior to the first anniversary of the date of this proxy statement nor later than 5:00 p.m., Eastern Time, on the 120</w:t>
      </w:r>
      <w:r>
        <w:rPr>
          <w:rFonts w:ascii="Arial" w:cs="Arial" w:eastAsia="Arial" w:hAnsi="Arial"/>
          <w:sz w:val="7"/>
          <w:szCs w:val="7"/>
          <w:color w:val="auto"/>
        </w:rPr>
        <w:t>th</w:t>
      </w:r>
      <w:r>
        <w:rPr>
          <w:rFonts w:ascii="Arial" w:cs="Arial" w:eastAsia="Arial" w:hAnsi="Arial"/>
          <w:sz w:val="16"/>
          <w:szCs w:val="16"/>
          <w:color w:val="auto"/>
        </w:rPr>
        <w:t xml:space="preserve"> day prior to the first anniversary of the date of this proxy statement. As a result, for the Company’s 2022 Annual Meeting of Shareholders, a shareholder’s notice pursuant to these provisions of our bylaws must be received no earlier than December 14, 2021 and no later than 5:00 p.m., Eastern Time, on January 13, 2022; provided, however, that in the event that the date of the 2022 Annual Meeting of Shareholders is advanced or delayed by more than 30 days from the first anniversary of this Annual Meeting, notice by the shareholder to be timely must be so delivered not earlier than the 150</w:t>
      </w:r>
      <w:r>
        <w:rPr>
          <w:rFonts w:ascii="Arial" w:cs="Arial" w:eastAsia="Arial" w:hAnsi="Arial"/>
          <w:sz w:val="7"/>
          <w:szCs w:val="7"/>
          <w:color w:val="auto"/>
        </w:rPr>
        <w:t>th</w:t>
      </w:r>
      <w:r>
        <w:rPr>
          <w:rFonts w:ascii="Arial" w:cs="Arial" w:eastAsia="Arial" w:hAnsi="Arial"/>
          <w:sz w:val="16"/>
          <w:szCs w:val="16"/>
          <w:color w:val="auto"/>
        </w:rPr>
        <w:t xml:space="preserve"> day prior to the date of the 2022 Annual Meeting of Shareholders and not later than 5:00 p.m., Eastern Time, on the later of the 120</w:t>
      </w:r>
      <w:r>
        <w:rPr>
          <w:rFonts w:ascii="Arial" w:cs="Arial" w:eastAsia="Arial" w:hAnsi="Arial"/>
          <w:sz w:val="7"/>
          <w:szCs w:val="7"/>
          <w:color w:val="auto"/>
        </w:rPr>
        <w:t>th</w:t>
      </w:r>
      <w:r>
        <w:rPr>
          <w:rFonts w:ascii="Arial" w:cs="Arial" w:eastAsia="Arial" w:hAnsi="Arial"/>
          <w:sz w:val="16"/>
          <w:szCs w:val="16"/>
          <w:color w:val="auto"/>
        </w:rPr>
        <w:t xml:space="preserve"> day prior to the date of the 2022 Annual Meeting of Shareholders, as originally convened, or the tenth day following the day on which public announcement of the date of the 2022 Annual Meeting of Shareholders is first made. The public announcement of a postponement or adjournment of an annual meeting shall not commence a new time period for the giving of a shareholder’s notice. Nothing in this paragraph shall be deemed to require the Company to include in its Proxy Statement and proxy relating to the 2021 Special Meeting of Shareholders, or to consider and vote upon at any such meeting, any shareholder proposal which does not meet all of the requirements established by the SEC or the Company’s Articles of Amendment and Restatement or Bylaws in effect at the time such proposal is received.</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t>
      </w:r>
    </w:p>
    <w:p>
      <w:pPr>
        <w:spacing w:after="0" w:line="158"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WHETHER OR NOT YOU PLAN TO ATTEND THE MEETING, THE COMPANY URGES YOU TO VOTE OVER THE INTERNET, BY PHONE, OR BY MARKING, SIGNING AND RETURNING YOUR PROXY OR VOTING INSTRUCTION CARD AS SOON AS POSSIBLE. NO POSTAGE IS NECESSARY IF MAILED IN THE UNITED STATES.</w:t>
      </w:r>
    </w:p>
    <w:p>
      <w:pPr>
        <w:spacing w:after="0" w:line="22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order of the Board of Directors,</w:t>
      </w:r>
    </w:p>
    <w:p>
      <w:pPr>
        <w:spacing w:after="0" w:line="6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Michael A. Schwartz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14605</wp:posOffset>
            </wp:positionV>
            <wp:extent cx="348869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4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Michael A. Schwartz, Corporate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40"/>
          </w:cols>
          <w:pgMar w:left="320" w:top="1440" w:right="339" w:bottom="1440" w:gutter="0" w:footer="0" w:header="0"/>
        </w:sectPr>
      </w:pPr>
    </w:p>
    <w:bookmarkStart w:id="24" w:name="page25"/>
    <w:bookmarkEnd w:id="2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911860</wp:posOffset>
            </wp:positionV>
            <wp:extent cx="5229225" cy="67976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5229225" cy="6797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21"/>
          <w:szCs w:val="21"/>
          <w:color w:val="auto"/>
        </w:rPr>
        <w:t>______________________________________________________________________</w:t>
      </w:r>
    </w:p>
    <w:p>
      <w:pPr>
        <w:sectPr>
          <w:pgSz w:w="11900" w:h="16838" w:orient="portrait"/>
          <w:cols w:equalWidth="0" w:num="1">
            <w:col w:w="10139"/>
          </w:cols>
          <w:pgMar w:left="320" w:top="1440" w:right="1440" w:bottom="1440" w:gutter="0" w:footer="0" w:header="0"/>
        </w:sectPr>
      </w:pPr>
    </w:p>
    <w:bookmarkStart w:id="25" w:name="page26"/>
    <w:bookmarkEnd w:id="2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911860</wp:posOffset>
            </wp:positionV>
            <wp:extent cx="5271770" cy="68065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5271770" cy="68065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21"/>
          <w:szCs w:val="21"/>
          <w:color w:val="auto"/>
        </w:rPr>
        <w:t>______________________________________________________________________</w:t>
      </w:r>
    </w:p>
    <w:p>
      <w:pPr>
        <w:sectPr>
          <w:pgSz w:w="11900" w:h="16838" w:orient="portrait"/>
          <w:cols w:equalWidth="0" w:num="1">
            <w:col w:w="10139"/>
          </w:cols>
          <w:pgMar w:left="320" w:top="1440" w:right="1440" w:bottom="1440"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911860</wp:posOffset>
            </wp:positionV>
            <wp:extent cx="5246370" cy="67976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5246370" cy="679767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S"/>
      <w:numFmt w:val="bullet"/>
      <w:start w:val="1"/>
    </w:lvl>
  </w:abstractNum>
  <w:abstractNum w:abstractNumId="2">
    <w:nsid w:val="12200854"/>
    <w:multiLevelType w:val="hybridMultilevel"/>
    <w:lvl w:ilvl="0">
      <w:lvlJc w:val="left"/>
      <w:lvlText w:val="£"/>
      <w:numFmt w:val="bullet"/>
      <w:start w:val="1"/>
    </w:lvl>
    <w:lvl w:ilvl="1">
      <w:lvlJc w:val="left"/>
      <w:lvlText w:val="(%2)"/>
      <w:numFmt w:val="decimal"/>
      <w:start w:val="1"/>
    </w:lvl>
  </w:abstractNum>
  <w:abstractNum w:abstractNumId="3">
    <w:nsid w:val="4DB127F8"/>
    <w:multiLevelType w:val="hybridMultilevel"/>
    <w:lvl w:ilvl="0">
      <w:lvlJc w:val="left"/>
      <w:lvlText w:val="(%1)"/>
      <w:numFmt w:val="decimal"/>
      <w:start w:val="2"/>
    </w:lvl>
  </w:abstractNum>
  <w:abstractNum w:abstractNumId="4">
    <w:nsid w:val="216231B"/>
    <w:multiLevelType w:val="hybridMultilevel"/>
    <w:lvl w:ilvl="0">
      <w:lvlJc w:val="left"/>
      <w:lvlText w:val="%1."/>
      <w:numFmt w:val="decimal"/>
      <w:start w:val="1"/>
    </w:lvl>
  </w:abstractNum>
  <w:abstractNum w:abstractNumId="5">
    <w:nsid w:val="1F16E9E8"/>
    <w:multiLevelType w:val="hybridMultilevel"/>
    <w:lvl w:ilvl="0">
      <w:lvlJc w:val="left"/>
      <w:lvlText w:val="%1."/>
      <w:numFmt w:val="decimal"/>
      <w:start w:val="1"/>
    </w:lvl>
  </w:abstractNum>
  <w:abstractNum w:abstractNumId="6">
    <w:nsid w:val="1190CDE7"/>
    <w:multiLevelType w:val="hybridMultilevel"/>
    <w:lvl w:ilvl="0">
      <w:lvlJc w:val="left"/>
      <w:lvlText w:val="%1."/>
      <w:numFmt w:val="decimal"/>
      <w:start w:val="1"/>
    </w:lvl>
  </w:abstractNum>
  <w:abstractNum w:abstractNumId="7">
    <w:nsid w:val="66EF438D"/>
    <w:multiLevelType w:val="hybridMultilevel"/>
    <w:lvl w:ilvl="0">
      <w:lvlJc w:val="left"/>
      <w:lvlText w:val="*"/>
      <w:numFmt w:val="bullet"/>
      <w:start w:val="1"/>
    </w:lvl>
  </w:abstractNum>
  <w:abstractNum w:abstractNumId="8">
    <w:nsid w:val="140E0F76"/>
    <w:multiLevelType w:val="hybridMultilevel"/>
    <w:lvl w:ilvl="0">
      <w:lvlJc w:val="left"/>
      <w:lvlText w:val="(%1)"/>
      <w:numFmt w:val="decimal"/>
      <w:start w:val="1"/>
    </w:lvl>
  </w:abstractNum>
  <w:abstractNum w:abstractNumId="9">
    <w:nsid w:val="3352255A"/>
    <w:multiLevelType w:val="hybridMultilevel"/>
    <w:lvl w:ilvl="0">
      <w:lvlJc w:val="left"/>
      <w:lvlText w:val="(%1)"/>
      <w:numFmt w:val="decimal"/>
      <w:start w:val="1"/>
    </w:lvl>
  </w:abstractNum>
  <w:abstractNum w:abstractNumId="10">
    <w:nsid w:val="109CF92E"/>
    <w:multiLevelType w:val="hybridMultilevel"/>
    <w:lvl w:ilvl="0">
      <w:lvlJc w:val="left"/>
      <w:lvlText w:val="•"/>
      <w:numFmt w:val="bullet"/>
      <w:start w:val="1"/>
    </w:lvl>
  </w:abstractNum>
  <w:abstractNum w:abstractNumId="11">
    <w:nsid w:val="DED7263"/>
    <w:multiLevelType w:val="hybridMultilevel"/>
    <w:lvl w:ilvl="0">
      <w:lvlJc w:val="left"/>
      <w:lvlText w:val="•"/>
      <w:numFmt w:val="bullet"/>
      <w:start w:val="1"/>
    </w:lvl>
  </w:abstractNum>
  <w:abstractNum w:abstractNumId="12">
    <w:nsid w:val="7FDCC233"/>
    <w:multiLevelType w:val="hybridMultilevel"/>
    <w:lvl w:ilvl="0">
      <w:lvlJc w:val="left"/>
      <w:lvlText w:val="(%1)"/>
      <w:numFmt w:val="decimal"/>
      <w:start w:val="1"/>
    </w:lvl>
  </w:abstractNum>
  <w:abstractNum w:abstractNumId="13">
    <w:nsid w:val="1BEFD79F"/>
    <w:multiLevelType w:val="hybridMultilevel"/>
    <w:lvl w:ilvl="0">
      <w:lvlJc w:val="left"/>
      <w:lvlText w:val="*"/>
      <w:numFmt w:val="bullet"/>
      <w:start w:val="1"/>
    </w:lvl>
  </w:abstractNum>
  <w:abstractNum w:abstractNumId="14">
    <w:nsid w:val="41A7C4C9"/>
    <w:multiLevelType w:val="hybridMultilevel"/>
    <w:lvl w:ilvl="0">
      <w:lvlJc w:val="left"/>
      <w:lvlText w:val="•"/>
      <w:numFmt w:val="bullet"/>
      <w:start w:val="1"/>
    </w:lvl>
  </w:abstractNum>
  <w:abstractNum w:abstractNumId="15">
    <w:nsid w:val="6B68079A"/>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2021-06-04T16:00:31Z</dcterms:created>
  <dcterms:modified xsi:type="dcterms:W3CDTF">2021-06-04T16:00:31Z</dcterms:modified>
</cp:coreProperties>
</file>