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______________________</w:t>
      </w:r>
    </w:p>
    <w:p>
      <w:pPr>
        <w:spacing w:after="0" w:line="9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(RULE 14a-101)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8"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______________________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78" w:lineRule="exact"/>
        <w:rPr>
          <w:sz w:val="24"/>
          <w:szCs w:val="24"/>
          <w:color w:val="auto"/>
        </w:rPr>
      </w:pPr>
    </w:p>
    <w:p>
      <w:pPr>
        <w:ind w:left="460"/>
        <w:spacing w:after="0"/>
        <w:tabs>
          <w:tab w:leader="none" w:pos="37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7"/>
          <w:szCs w:val="17"/>
          <w:color w:val="auto"/>
        </w:rPr>
        <w:t>S</w:t>
      </w:r>
    </w:p>
    <w:p>
      <w:pPr>
        <w:spacing w:after="0" w:line="158" w:lineRule="exact"/>
        <w:rPr>
          <w:sz w:val="24"/>
          <w:szCs w:val="24"/>
          <w:color w:val="auto"/>
        </w:rPr>
      </w:pPr>
    </w:p>
    <w:p>
      <w:pPr>
        <w:ind w:left="460"/>
        <w:spacing w:after="0"/>
        <w:tabs>
          <w:tab w:leader="none" w:pos="3780" w:val="left"/>
        </w:tabs>
        <w:rPr>
          <w:sz w:val="20"/>
          <w:szCs w:val="20"/>
          <w:color w:val="auto"/>
        </w:rPr>
      </w:pPr>
      <w:r>
        <w:rPr>
          <w:rFonts w:ascii="Arial" w:cs="Arial" w:eastAsia="Arial" w:hAnsi="Arial"/>
          <w:sz w:val="18"/>
          <w:szCs w:val="18"/>
          <w:color w:val="auto"/>
        </w:rPr>
        <w:t>Filed by the Party other than the Registrant</w:t>
      </w:r>
      <w:r>
        <w:rPr>
          <w:sz w:val="20"/>
          <w:szCs w:val="20"/>
          <w:color w:val="auto"/>
        </w:rPr>
        <w:tab/>
      </w:r>
      <w:r>
        <w:rPr>
          <w:rFonts w:ascii="Arial" w:cs="Arial" w:eastAsia="Arial" w:hAnsi="Arial"/>
          <w:sz w:val="17"/>
          <w:szCs w:val="17"/>
          <w:color w:val="auto"/>
        </w:rPr>
        <w:t>£</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880" w:hanging="426"/>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80" w:lineRule="exact"/>
        <w:rPr>
          <w:rFonts w:ascii="Arial" w:cs="Arial" w:eastAsia="Arial" w:hAnsi="Arial"/>
          <w:sz w:val="18"/>
          <w:szCs w:val="18"/>
          <w:color w:val="auto"/>
        </w:rPr>
      </w:pPr>
    </w:p>
    <w:p>
      <w:pPr>
        <w:ind w:left="880" w:hanging="426"/>
        <w:spacing w:after="0"/>
        <w:tabs>
          <w:tab w:leader="none" w:pos="8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73" w:lineRule="exact"/>
        <w:rPr>
          <w:sz w:val="24"/>
          <w:szCs w:val="24"/>
          <w:color w:val="auto"/>
        </w:rPr>
      </w:pPr>
    </w:p>
    <w:p>
      <w:pPr>
        <w:ind w:left="880" w:hanging="426"/>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880" w:hanging="42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57" w:lineRule="exact"/>
        <w:rPr>
          <w:rFonts w:ascii="Arial" w:cs="Arial" w:eastAsia="Arial" w:hAnsi="Arial"/>
          <w:sz w:val="18"/>
          <w:szCs w:val="18"/>
          <w:color w:val="auto"/>
        </w:rPr>
      </w:pPr>
    </w:p>
    <w:p>
      <w:pPr>
        <w:ind w:left="880" w:hanging="42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Rule 14a-11(c) or Rule 14a-12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NEWTEK BUSINESS SERVICES CORP.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32"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7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Payment of Filing Fee (Check the appropriate box):</w:t>
      </w:r>
    </w:p>
    <w:p>
      <w:pPr>
        <w:sectPr>
          <w:pgSz w:w="11900" w:h="16838" w:orient="portrait"/>
          <w:cols w:equalWidth="0" w:num="1">
            <w:col w:w="9019"/>
          </w:cols>
          <w:pgMar w:left="1440" w:top="486" w:right="1440" w:bottom="1440" w:gutter="0" w:footer="0" w:header="0"/>
        </w:sectPr>
      </w:pPr>
    </w:p>
    <w:p>
      <w:pPr>
        <w:spacing w:after="0" w:line="333" w:lineRule="exact"/>
        <w:rPr>
          <w:sz w:val="24"/>
          <w:szCs w:val="24"/>
          <w:color w:val="auto"/>
        </w:rPr>
      </w:pPr>
    </w:p>
    <w:p>
      <w:pPr>
        <w:ind w:left="460"/>
        <w:spacing w:after="0"/>
        <w:rPr>
          <w:sz w:val="20"/>
          <w:szCs w:val="20"/>
          <w:color w:val="auto"/>
        </w:rPr>
      </w:pPr>
      <w:r>
        <w:rPr>
          <w:rFonts w:ascii="Arial" w:cs="Arial" w:eastAsia="Arial" w:hAnsi="Arial"/>
          <w:sz w:val="17"/>
          <w:szCs w:val="17"/>
          <w:color w:val="auto"/>
        </w:rPr>
        <w:t>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No fee required.</w:t>
      </w:r>
    </w:p>
    <w:p>
      <w:pPr>
        <w:spacing w:after="0" w:line="328" w:lineRule="exact"/>
        <w:rPr>
          <w:sz w:val="24"/>
          <w:szCs w:val="24"/>
          <w:color w:val="auto"/>
        </w:rPr>
      </w:pPr>
    </w:p>
    <w:p>
      <w:pPr>
        <w:sectPr>
          <w:pgSz w:w="11900" w:h="16838" w:orient="portrait"/>
          <w:cols w:equalWidth="0" w:num="2">
            <w:col w:w="580" w:space="180"/>
            <w:col w:w="8259"/>
          </w:cols>
          <w:pgMar w:left="1440" w:top="486" w:right="1440" w:bottom="1440" w:gutter="0" w:footer="0" w:header="0"/>
          <w:type w:val="continuous"/>
        </w:sect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 (i) (1) and 0-11.</w:t>
      </w:r>
    </w:p>
    <w:p>
      <w:pPr>
        <w:spacing w:after="0" w:line="198" w:lineRule="exact"/>
        <w:rPr>
          <w:rFonts w:ascii="Arial" w:cs="Arial" w:eastAsia="Arial" w:hAnsi="Arial"/>
          <w:sz w:val="18"/>
          <w:szCs w:val="18"/>
          <w:color w:val="auto"/>
        </w:rPr>
      </w:pPr>
    </w:p>
    <w:p>
      <w:pPr>
        <w:ind w:left="1060" w:hanging="296"/>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1060" w:hanging="296"/>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1060" w:right="679" w:hanging="296"/>
        <w:spacing w:after="0" w:line="308" w:lineRule="auto"/>
        <w:tabs>
          <w:tab w:leader="none" w:pos="10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7"/>
          <w:szCs w:val="17"/>
          <w:color w:val="auto"/>
        </w:rPr>
      </w:pPr>
    </w:p>
    <w:p>
      <w:pPr>
        <w:ind w:left="1060" w:hanging="296"/>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1060" w:hanging="296"/>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Arial" w:cs="Arial" w:eastAsia="Arial" w:hAnsi="Arial"/>
          <w:sz w:val="18"/>
          <w:szCs w:val="18"/>
          <w:color w:val="auto"/>
        </w:rPr>
      </w:pPr>
    </w:p>
    <w:p>
      <w:pPr>
        <w:ind w:left="760" w:right="539" w:hanging="306"/>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3" w:lineRule="exact"/>
        <w:rPr>
          <w:rFonts w:ascii="Arial" w:cs="Arial" w:eastAsia="Arial" w:hAnsi="Arial"/>
          <w:sz w:val="18"/>
          <w:szCs w:val="18"/>
          <w:color w:val="auto"/>
        </w:rPr>
      </w:pPr>
    </w:p>
    <w:p>
      <w:pPr>
        <w:ind w:left="1060" w:hanging="296"/>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1060" w:hanging="296"/>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060" w:hanging="296"/>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060" w:hanging="296"/>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673735</wp:posOffset>
            </wp:positionH>
            <wp:positionV relativeFrom="paragraph">
              <wp:posOffset>229235</wp:posOffset>
            </wp:positionV>
            <wp:extent cx="47574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-130175</wp:posOffset>
            </wp:positionV>
            <wp:extent cx="4757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-490220</wp:posOffset>
            </wp:positionV>
            <wp:extent cx="4757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-850265</wp:posOffset>
            </wp:positionV>
            <wp:extent cx="4757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-2042160</wp:posOffset>
            </wp:positionV>
            <wp:extent cx="4757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-2402205</wp:posOffset>
            </wp:positionV>
            <wp:extent cx="4757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-2762250</wp:posOffset>
            </wp:positionV>
            <wp:extent cx="4757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-3250565</wp:posOffset>
            </wp:positionV>
            <wp:extent cx="4757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-3610610</wp:posOffset>
            </wp:positionV>
            <wp:extent cx="4757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400685</wp:posOffset>
            </wp:positionV>
            <wp:extent cx="514350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443230</wp:posOffset>
            </wp:positionV>
            <wp:extent cx="514350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717550</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color w:val="auto"/>
        </w:rPr>
        <w:t>NEWTEK BUSINESS SERVICES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4800 T-Rex Avenue, Suite 120</w:t>
      </w:r>
    </w:p>
    <w:p>
      <w:pPr>
        <w:jc w:val="center"/>
        <w:ind w:right="19"/>
        <w:spacing w:after="0"/>
        <w:rPr>
          <w:sz w:val="20"/>
          <w:szCs w:val="20"/>
          <w:color w:val="auto"/>
        </w:rPr>
      </w:pPr>
      <w:r>
        <w:rPr>
          <w:rFonts w:ascii="Arial" w:cs="Arial" w:eastAsia="Arial" w:hAnsi="Arial"/>
          <w:sz w:val="20"/>
          <w:szCs w:val="20"/>
          <w:b w:val="1"/>
          <w:bCs w:val="1"/>
          <w:color w:val="auto"/>
        </w:rPr>
        <w:t>Boca Raton, FL 33431</w:t>
      </w:r>
    </w:p>
    <w:p>
      <w:pPr>
        <w:jc w:val="center"/>
        <w:ind w:right="19"/>
        <w:spacing w:after="0"/>
        <w:rPr>
          <w:sz w:val="20"/>
          <w:szCs w:val="20"/>
          <w:color w:val="auto"/>
        </w:rPr>
      </w:pPr>
      <w:r>
        <w:rPr>
          <w:rFonts w:ascii="Arial" w:cs="Arial" w:eastAsia="Arial" w:hAnsi="Arial"/>
          <w:sz w:val="20"/>
          <w:szCs w:val="20"/>
          <w:b w:val="1"/>
          <w:bCs w:val="1"/>
          <w:color w:val="auto"/>
        </w:rPr>
        <w:t>(212) 356-9500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June 10, 2020</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Dear Shareholder:</w:t>
      </w:r>
    </w:p>
    <w:p>
      <w:pPr>
        <w:spacing w:after="0" w:line="175"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8"/>
          <w:szCs w:val="18"/>
          <w:color w:val="auto"/>
        </w:rPr>
        <w:t xml:space="preserve">We invite you to attend the Special Meeting of Shareholders (the “Meeting”) of Newtek Business Services Corp. (the “Company”) to be held electronically via live webcast on July 10, 2020 at 9:00 a.m., Eastern Daylight Time. Due to the public health impact of the coronavirus, or COVID-19, pandemic, and to support the health and well-being of our shareholders, service providers, personnel and other stakeholders, the Meeting will be held solely on the internet by virtual means. The live webcast will be accessible over the internet at </w:t>
      </w:r>
      <w:r>
        <w:rPr>
          <w:rFonts w:ascii="Arial" w:cs="Arial" w:eastAsia="Arial" w:hAnsi="Arial"/>
          <w:sz w:val="18"/>
          <w:szCs w:val="18"/>
          <w:i w:val="1"/>
          <w:iCs w:val="1"/>
          <w:color w:val="auto"/>
        </w:rPr>
        <w:t>https://web.lumiagm.com/220440912</w:t>
      </w:r>
      <w:r>
        <w:rPr>
          <w:rFonts w:ascii="Arial" w:cs="Arial" w:eastAsia="Arial" w:hAnsi="Arial"/>
          <w:sz w:val="18"/>
          <w:szCs w:val="18"/>
          <w:color w:val="auto"/>
        </w:rPr>
        <w:t>. Shareholders will NOT be able to attend the Meeting in-person. 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July 2, 2020.</w:t>
      </w:r>
    </w:p>
    <w:p>
      <w:pPr>
        <w:spacing w:after="0" w:line="133" w:lineRule="exact"/>
        <w:rPr>
          <w:sz w:val="20"/>
          <w:szCs w:val="20"/>
          <w:color w:val="auto"/>
        </w:rPr>
      </w:pPr>
    </w:p>
    <w:p>
      <w:pPr>
        <w:ind w:left="460" w:right="639" w:firstLine="432"/>
        <w:spacing w:after="0" w:line="250" w:lineRule="auto"/>
        <w:rPr>
          <w:sz w:val="20"/>
          <w:szCs w:val="20"/>
          <w:color w:val="auto"/>
        </w:rPr>
      </w:pPr>
      <w:r>
        <w:rPr>
          <w:rFonts w:ascii="Arial" w:cs="Arial" w:eastAsia="Arial" w:hAnsi="Arial"/>
          <w:sz w:val="20"/>
          <w:szCs w:val="20"/>
          <w:color w:val="auto"/>
        </w:rPr>
        <w:t>The attached Notice of Special Meeting and Proxy Statement accompanying this letter provide an outline of the business to be conducted at the meeting. At the Meeting, you will be asked to consider and vote upon the following proposals:</w:t>
      </w:r>
    </w:p>
    <w:p>
      <w:pPr>
        <w:spacing w:after="0" w:line="159" w:lineRule="exact"/>
        <w:rPr>
          <w:sz w:val="20"/>
          <w:szCs w:val="20"/>
          <w:color w:val="auto"/>
        </w:rPr>
      </w:pPr>
    </w:p>
    <w:p>
      <w:pPr>
        <w:ind w:left="1320" w:right="599" w:hanging="434"/>
        <w:spacing w:after="0" w:line="246" w:lineRule="auto"/>
        <w:tabs>
          <w:tab w:leader="none" w:pos="12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a proposal to authorize flexibility for the Company, with approval of its Board of Directors, to sell shares of its common stock (during the next 12 months) at a price below its then current net asset value per share subject to certain conditions as set forth in the accompanying Proxy Statement;</w:t>
      </w:r>
    </w:p>
    <w:p>
      <w:pPr>
        <w:spacing w:after="0" w:line="150" w:lineRule="exact"/>
        <w:rPr>
          <w:rFonts w:ascii="Arial" w:cs="Arial" w:eastAsia="Arial" w:hAnsi="Arial"/>
          <w:sz w:val="20"/>
          <w:szCs w:val="20"/>
          <w:color w:val="auto"/>
        </w:rPr>
      </w:pPr>
    </w:p>
    <w:p>
      <w:pPr>
        <w:ind w:left="1320" w:right="719" w:hanging="434"/>
        <w:spacing w:after="0" w:line="316"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Company’s Articles of Amendment and Restatement to allow the Company’s shareholders to amend the Company’s bylaws;</w:t>
      </w:r>
    </w:p>
    <w:p>
      <w:pPr>
        <w:spacing w:after="0" w:line="89" w:lineRule="exact"/>
        <w:rPr>
          <w:rFonts w:ascii="Arial" w:cs="Arial" w:eastAsia="Arial" w:hAnsi="Arial"/>
          <w:sz w:val="18"/>
          <w:szCs w:val="18"/>
          <w:color w:val="auto"/>
        </w:rPr>
      </w:pPr>
    </w:p>
    <w:p>
      <w:pPr>
        <w:ind w:left="1320" w:right="1139" w:hanging="434"/>
        <w:spacing w:after="0" w:line="260" w:lineRule="auto"/>
        <w:tabs>
          <w:tab w:leader="none" w:pos="12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a proposal to adjourn the Meeting, if necessary or appropriate, to solicit additional proxies; and</w:t>
      </w:r>
    </w:p>
    <w:p>
      <w:pPr>
        <w:spacing w:after="0" w:line="149" w:lineRule="exact"/>
        <w:rPr>
          <w:rFonts w:ascii="Arial" w:cs="Arial" w:eastAsia="Arial" w:hAnsi="Arial"/>
          <w:sz w:val="20"/>
          <w:szCs w:val="20"/>
          <w:color w:val="auto"/>
        </w:rPr>
      </w:pPr>
    </w:p>
    <w:p>
      <w:pPr>
        <w:ind w:left="1320" w:right="1339" w:hanging="434"/>
        <w:spacing w:after="0" w:line="260" w:lineRule="auto"/>
        <w:tabs>
          <w:tab w:leader="none" w:pos="12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transact such other business as may properly come before the meeting, or any postponement of adjournment thereof.</w:t>
      </w:r>
    </w:p>
    <w:p>
      <w:pPr>
        <w:spacing w:after="0" w:line="130" w:lineRule="exact"/>
        <w:rPr>
          <w:sz w:val="20"/>
          <w:szCs w:val="20"/>
          <w:color w:val="auto"/>
        </w:rPr>
      </w:pPr>
    </w:p>
    <w:p>
      <w:pPr>
        <w:ind w:left="460" w:right="539" w:firstLine="432"/>
        <w:spacing w:after="0" w:line="243" w:lineRule="auto"/>
        <w:rPr>
          <w:sz w:val="20"/>
          <w:szCs w:val="20"/>
          <w:color w:val="auto"/>
        </w:rPr>
      </w:pPr>
      <w:r>
        <w:rPr>
          <w:rFonts w:ascii="Arial" w:cs="Arial" w:eastAsia="Arial" w:hAnsi="Arial"/>
          <w:sz w:val="20"/>
          <w:szCs w:val="20"/>
          <w:b w:val="1"/>
          <w:bCs w:val="1"/>
          <w:color w:val="auto"/>
        </w:rPr>
        <w:t xml:space="preserve">YOUR VOTE IS IMPORTANT, REGARDLESS OF THE NUMBER OF SHARES YOU OWN. </w:t>
      </w:r>
      <w:r>
        <w:rPr>
          <w:rFonts w:ascii="Arial" w:cs="Arial" w:eastAsia="Arial" w:hAnsi="Arial"/>
          <w:sz w:val="20"/>
          <w:szCs w:val="20"/>
          <w:color w:val="auto"/>
        </w:rPr>
        <w:t>On behalf of the Company’s Board of Directors, we urge you even if you plan to attend the</w:t>
      </w:r>
      <w:r>
        <w:rPr>
          <w:rFonts w:ascii="Arial" w:cs="Arial" w:eastAsia="Arial" w:hAnsi="Arial"/>
          <w:sz w:val="20"/>
          <w:szCs w:val="20"/>
          <w:b w:val="1"/>
          <w:bCs w:val="1"/>
          <w:color w:val="auto"/>
        </w:rPr>
        <w:t xml:space="preserve"> </w:t>
      </w:r>
      <w:r>
        <w:rPr>
          <w:rFonts w:ascii="Arial" w:cs="Arial" w:eastAsia="Arial" w:hAnsi="Arial"/>
          <w:sz w:val="20"/>
          <w:szCs w:val="20"/>
          <w:color w:val="auto"/>
        </w:rPr>
        <w:t>Meeting virtually, to complete, date and sign the enclosed Proxy Card and promptly return it in the envelope provided. If you prefer, you can save time by authorizing your proxy through the Internet or by telephone as described in the Proxy Statement and on the enclosed Proxy Card. This will not prevent you from voting during the Meeting, but will assure that your vote is counted if you are unable to attend the Meeting. Your vote and participation in the governance of the Company is very important to us.</w:t>
      </w:r>
    </w:p>
    <w:p>
      <w:pPr>
        <w:spacing w:after="0" w:line="16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Sincerely yours,</w:t>
      </w:r>
    </w:p>
    <w:p>
      <w:pPr>
        <w:spacing w:after="0" w:line="5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 Barry Sloane</w:t>
      </w:r>
    </w:p>
    <w:p>
      <w:pPr>
        <w:spacing w:after="0" w:line="5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-143510</wp:posOffset>
            </wp:positionV>
            <wp:extent cx="2571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307975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4800 T-Rex Avenue, Suite 120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Boca Raton, FL 33431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July 10, 2020</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 Special Meeting of Shareholders (the “Meeting”) of Newtek</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Business Services Corp. (the “Company”) will be held electronically via live webcast on July 10, 2020 at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9:00 a.m., Eastern Daylight Time. Due to the public health impact of the coronavirus, or COVID-19, pandemic,</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to support the health and well-being of our shareholders, service providers, personnel and other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stakeholders, the Meeting will be held solely on the internet by virtual means. The live webcast will be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accessible over the internet at </w:t>
      </w:r>
      <w:r>
        <w:rPr>
          <w:rFonts w:ascii="Arial" w:cs="Arial" w:eastAsia="Arial" w:hAnsi="Arial"/>
          <w:sz w:val="16"/>
          <w:szCs w:val="16"/>
          <w:i w:val="1"/>
          <w:iCs w:val="1"/>
          <w:color w:val="auto"/>
        </w:rPr>
        <w:t>https://web.lumiagm.com/220440912</w:t>
      </w:r>
      <w:r>
        <w:rPr>
          <w:rFonts w:ascii="Arial" w:cs="Arial" w:eastAsia="Arial" w:hAnsi="Arial"/>
          <w:sz w:val="16"/>
          <w:szCs w:val="16"/>
          <w:color w:val="auto"/>
        </w:rPr>
        <w:t>. Shareholders will NOT be able to attend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Meeting in-person. However, a shareholder may request the Company to provide a physical location from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to access the virtual Meeting, subject to any restrictions in effect under federal or state law. Shareholders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must submit their request for a physical location to the Company by close of business on July 2, 2020.</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Meeting is for the following purposes, which are more completely described in the accompanying</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Proxy Statement:</w:t>
      </w:r>
    </w:p>
    <w:p>
      <w:pPr>
        <w:spacing w:after="0" w:line="143" w:lineRule="exact"/>
        <w:rPr>
          <w:sz w:val="20"/>
          <w:szCs w:val="20"/>
          <w:color w:val="auto"/>
        </w:rPr>
      </w:pPr>
    </w:p>
    <w:p>
      <w:pPr>
        <w:jc w:val="both"/>
        <w:ind w:left="1320" w:right="499" w:hanging="434"/>
        <w:spacing w:after="0" w:line="287" w:lineRule="auto"/>
        <w:tabs>
          <w:tab w:leader="none" w:pos="129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 proposal to authorize the Company to sell shares of its common stock, par value $0.02 per share, at a price below the then current net asset value per share of such common stock in one or multiple offerings (subject to certain limitations described in the accompanying Proxy Statement)</w:t>
      </w:r>
    </w:p>
    <w:p>
      <w:pPr>
        <w:spacing w:after="0" w:line="2" w:lineRule="exact"/>
        <w:rPr>
          <w:rFonts w:ascii="Arial" w:cs="Arial" w:eastAsia="Arial" w:hAnsi="Arial"/>
          <w:sz w:val="16"/>
          <w:szCs w:val="16"/>
          <w:color w:val="auto"/>
        </w:rPr>
      </w:pPr>
    </w:p>
    <w:p>
      <w:pPr>
        <w:ind w:left="1320"/>
        <w:spacing w:after="0"/>
        <w:rPr>
          <w:rFonts w:ascii="Arial" w:cs="Arial" w:eastAsia="Arial" w:hAnsi="Arial"/>
          <w:sz w:val="16"/>
          <w:szCs w:val="16"/>
          <w:color w:val="auto"/>
        </w:rPr>
      </w:pPr>
      <w:r>
        <w:rPr>
          <w:rFonts w:ascii="Arial" w:cs="Arial" w:eastAsia="Arial" w:hAnsi="Arial"/>
          <w:sz w:val="18"/>
          <w:szCs w:val="18"/>
          <w:color w:val="auto"/>
        </w:rPr>
        <w:t>(“Proposal 1”);</w:t>
      </w:r>
    </w:p>
    <w:p>
      <w:pPr>
        <w:spacing w:after="0" w:line="129" w:lineRule="exact"/>
        <w:rPr>
          <w:rFonts w:ascii="Arial" w:cs="Arial" w:eastAsia="Arial" w:hAnsi="Arial"/>
          <w:sz w:val="16"/>
          <w:szCs w:val="16"/>
          <w:color w:val="auto"/>
        </w:rPr>
      </w:pPr>
    </w:p>
    <w:p>
      <w:pPr>
        <w:ind w:left="1320" w:right="699" w:hanging="434"/>
        <w:spacing w:after="0" w:line="263" w:lineRule="auto"/>
        <w:tabs>
          <w:tab w:leader="none" w:pos="1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the Company’s Articles of Amendment and Restatement (the “Charter”) to allow the Company’s shareholders to amend the Company’s bylaws (the “Bylaws”) (“Proposal 2”);</w:t>
      </w:r>
    </w:p>
    <w:p>
      <w:pPr>
        <w:spacing w:after="0" w:line="116" w:lineRule="exact"/>
        <w:rPr>
          <w:rFonts w:ascii="Arial" w:cs="Arial" w:eastAsia="Arial" w:hAnsi="Arial"/>
          <w:sz w:val="18"/>
          <w:szCs w:val="18"/>
          <w:color w:val="auto"/>
        </w:rPr>
      </w:pPr>
    </w:p>
    <w:p>
      <w:pPr>
        <w:ind w:left="1320" w:right="959" w:hanging="434"/>
        <w:spacing w:after="0" w:line="342" w:lineRule="auto"/>
        <w:tabs>
          <w:tab w:leader="none" w:pos="129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 proposal to adjourn the Meeting, if necessary or appropriate, to solicit additional proxies (“Proposal 3,” and together with Proposal 1 and Proposal 2, the “Proposals”); and</w:t>
      </w:r>
    </w:p>
    <w:p>
      <w:pPr>
        <w:spacing w:after="0" w:line="56" w:lineRule="exact"/>
        <w:rPr>
          <w:rFonts w:ascii="Arial" w:cs="Arial" w:eastAsia="Arial" w:hAnsi="Arial"/>
          <w:sz w:val="16"/>
          <w:szCs w:val="16"/>
          <w:color w:val="auto"/>
        </w:rPr>
      </w:pPr>
    </w:p>
    <w:p>
      <w:pPr>
        <w:ind w:left="1320" w:right="659" w:hanging="434"/>
        <w:spacing w:after="0" w:line="277" w:lineRule="auto"/>
        <w:tabs>
          <w:tab w:leader="none" w:pos="1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89"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Shareholders of record at the close of business on May 29, 2020 are entitled to vote on-line during the Meeting and any adjournment thereof.</w:t>
      </w:r>
    </w:p>
    <w:p>
      <w:pPr>
        <w:spacing w:after="0" w:line="103" w:lineRule="exact"/>
        <w:rPr>
          <w:sz w:val="20"/>
          <w:szCs w:val="20"/>
          <w:color w:val="auto"/>
        </w:rPr>
      </w:pPr>
    </w:p>
    <w:p>
      <w:pPr>
        <w:jc w:val="both"/>
        <w:ind w:left="460" w:right="559" w:firstLine="432"/>
        <w:spacing w:after="0" w:line="286" w:lineRule="auto"/>
        <w:rPr>
          <w:sz w:val="20"/>
          <w:szCs w:val="20"/>
          <w:color w:val="auto"/>
        </w:rPr>
      </w:pPr>
      <w:r>
        <w:rPr>
          <w:rFonts w:ascii="Arial" w:cs="Arial" w:eastAsia="Arial" w:hAnsi="Arial"/>
          <w:sz w:val="17"/>
          <w:szCs w:val="17"/>
          <w:color w:val="auto"/>
        </w:rPr>
        <w:t>We ask that you fill in and sign the enclosed Proxy Card which is solicited by the Board of Directors and to mail it promptly in the enclosed envelope. You may also cast your vote by telephone or Internet as shown on the Proxy Card. The proxy will not be used if you attend and vote on-line during the Meeting.</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ORDER OF THE BOARD OF DIRECTORS</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40640</wp:posOffset>
            </wp:positionV>
            <wp:extent cx="257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BARRY SLOANE</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CHIEF EXECUTIVE OFFICER and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PRESIDENT</w:t>
      </w:r>
    </w:p>
    <w:p>
      <w:pPr>
        <w:spacing w:after="0" w:line="6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Lake Success, New York</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June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160655</wp:posOffset>
            </wp:positionV>
            <wp:extent cx="5143500" cy="900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900430"/>
                    </a:xfrm>
                    <a:prstGeom prst="rect">
                      <a:avLst/>
                    </a:prstGeom>
                    <a:noFill/>
                  </pic:spPr>
                </pic:pic>
              </a:graphicData>
            </a:graphic>
          </wp:anchor>
        </w:drawing>
      </w:r>
    </w:p>
    <w:p>
      <w:pPr>
        <w:spacing w:after="0" w:line="282" w:lineRule="exact"/>
        <w:rPr>
          <w:sz w:val="20"/>
          <w:szCs w:val="20"/>
          <w:color w:val="auto"/>
        </w:rPr>
      </w:pPr>
    </w:p>
    <w:p>
      <w:pPr>
        <w:ind w:left="520" w:right="659"/>
        <w:spacing w:after="0" w:line="256" w:lineRule="auto"/>
        <w:rPr>
          <w:sz w:val="20"/>
          <w:szCs w:val="20"/>
          <w:color w:val="auto"/>
        </w:rPr>
      </w:pPr>
      <w:r>
        <w:rPr>
          <w:rFonts w:ascii="Arial" w:cs="Arial" w:eastAsia="Arial" w:hAnsi="Arial"/>
          <w:sz w:val="18"/>
          <w:szCs w:val="18"/>
          <w:b w:val="1"/>
          <w:bCs w:val="1"/>
          <w:color w:val="auto"/>
        </w:rPr>
        <w:t>IMPORTANT</w:t>
      </w:r>
      <w:r>
        <w:rPr>
          <w:rFonts w:ascii="Arial" w:cs="Arial" w:eastAsia="Arial" w:hAnsi="Arial"/>
          <w:sz w:val="18"/>
          <w:szCs w:val="18"/>
          <w:color w:val="auto"/>
        </w:rPr>
        <w:t>: THE PROMPT RETURN OF PROXIES WILL SAVE YOUR COMPANY THE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OF A FURTHER REQUEST FOR PROXIES IN ORDER TO INSURE A QUORUM. A SELF-ADDRESSED ENVELOPE IS ENCLOSED FOR YOUR CONVENIENCE. NO POSTAGE IS REQUIRED IF MAILED WITHIN THE UNITED STATES. EVEN IF YOU VOTE YOUR SHARES PRIOR TO THE MEETING. YOU MAY STILL ATTEND THE MEETING AND VOTE YOUR SHARES ON-LINE DURING THE MEETING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276225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NEWTEK BUSINESS SERVICES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4800 T-Rex Avenue, Suite 120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Boca Raton, FL 33431 (212) 356-9500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JULY 10,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 xml:space="preserve">This Proxy Statement is furnished in connection with the solicitation of proxies by the Board of Directors of Newtek Business Services Corp. (the “Company”) for the Special Meeting of Shareholders (the “Meeting”) to be held electronically via live webcast on July 10, 2020 at 9:00 a.m., Eastern Daylight Time. Due to the public health impact of the coronavirus, or COVID-19, pandemic, and to support the health and well-being of the Company’s shareholders, service providers, personnel and other stakeholders, the Meeting will be held solely on the internet by virtual means. The live webcast will be accessible over the internet at </w:t>
      </w:r>
      <w:r>
        <w:rPr>
          <w:rFonts w:ascii="Arial" w:cs="Arial" w:eastAsia="Arial" w:hAnsi="Arial"/>
          <w:sz w:val="17"/>
          <w:szCs w:val="17"/>
          <w:i w:val="1"/>
          <w:iCs w:val="1"/>
          <w:color w:val="auto"/>
        </w:rPr>
        <w:t>https://web.lumiagm.com/220440912</w:t>
      </w:r>
      <w:r>
        <w:rPr>
          <w:rFonts w:ascii="Arial" w:cs="Arial" w:eastAsia="Arial" w:hAnsi="Arial"/>
          <w:sz w:val="17"/>
          <w:szCs w:val="17"/>
          <w:color w:val="auto"/>
        </w:rPr>
        <w:t>. Shareholders will NOT be able to attend the Meeting in-person.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a shareholder may request the Company to provide a physical location from which to access the virtual meeting, subject to any restrictions in effect under federal or state law. Shareholders must submit their request for a physical location to the Company by close of business on July 2, 2020.</w:t>
      </w:r>
    </w:p>
    <w:p>
      <w:pPr>
        <w:spacing w:after="0" w:line="104" w:lineRule="exact"/>
        <w:rPr>
          <w:sz w:val="20"/>
          <w:szCs w:val="20"/>
          <w:color w:val="auto"/>
        </w:rPr>
      </w:pPr>
    </w:p>
    <w:p>
      <w:pPr>
        <w:ind w:left="460" w:right="519" w:firstLine="432"/>
        <w:spacing w:after="0" w:line="342" w:lineRule="auto"/>
        <w:rPr>
          <w:sz w:val="20"/>
          <w:szCs w:val="20"/>
          <w:color w:val="auto"/>
        </w:rPr>
      </w:pPr>
      <w:r>
        <w:rPr>
          <w:rFonts w:ascii="Arial" w:cs="Arial" w:eastAsia="Arial" w:hAnsi="Arial"/>
          <w:sz w:val="16"/>
          <w:szCs w:val="16"/>
          <w:color w:val="auto"/>
        </w:rPr>
        <w:t>The accompanying Notice of Special Meeting and this Proxy Statement, together with the enclosed Proxy Card (collectively, the “Proxy Statement”), are first being mailed to shareholders on or about June 10, 2020.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BELOW IS IMPORTANT INFORMATION ABOUT HOW YOU MAY OBTAIN VIRTUAL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ACCESS TO THE MEETING AND VOTE YOUR SHARES.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Attending the Meeting Virtually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Only record or beneficial owners of the Company’s common stock as of the close of business on May 29,</w:t>
      </w:r>
    </w:p>
    <w:p>
      <w:pPr>
        <w:spacing w:after="0" w:line="46" w:lineRule="exact"/>
        <w:rPr>
          <w:sz w:val="20"/>
          <w:szCs w:val="20"/>
          <w:color w:val="auto"/>
        </w:rPr>
      </w:pPr>
    </w:p>
    <w:p>
      <w:pPr>
        <w:ind w:left="460" w:right="1119"/>
        <w:spacing w:after="0" w:line="260" w:lineRule="auto"/>
        <w:rPr>
          <w:sz w:val="20"/>
          <w:szCs w:val="20"/>
          <w:color w:val="auto"/>
        </w:rPr>
      </w:pPr>
      <w:r>
        <w:rPr>
          <w:rFonts w:ascii="Arial" w:cs="Arial" w:eastAsia="Arial" w:hAnsi="Arial"/>
          <w:sz w:val="18"/>
          <w:szCs w:val="18"/>
          <w:color w:val="auto"/>
        </w:rPr>
        <w:t xml:space="preserve">2020 (the “Record Date”) or their proxies may virtually attend the Meeting. To participate in the virtual Meeting, go to </w:t>
      </w:r>
      <w:r>
        <w:rPr>
          <w:rFonts w:ascii="Arial" w:cs="Arial" w:eastAsia="Arial" w:hAnsi="Arial"/>
          <w:sz w:val="18"/>
          <w:szCs w:val="18"/>
          <w:i w:val="1"/>
          <w:iCs w:val="1"/>
          <w:color w:val="auto"/>
        </w:rPr>
        <w:t>https://web.lumiagm.com/220440912</w:t>
      </w:r>
      <w:r>
        <w:rPr>
          <w:rFonts w:ascii="Arial" w:cs="Arial" w:eastAsia="Arial" w:hAnsi="Arial"/>
          <w:sz w:val="18"/>
          <w:szCs w:val="18"/>
          <w:color w:val="auto"/>
        </w:rPr>
        <w:t>.</w:t>
      </w:r>
    </w:p>
    <w:p>
      <w:pPr>
        <w:spacing w:after="0" w:line="114" w:lineRule="exact"/>
        <w:rPr>
          <w:sz w:val="20"/>
          <w:szCs w:val="20"/>
          <w:color w:val="auto"/>
        </w:rPr>
      </w:pPr>
    </w:p>
    <w:p>
      <w:pPr>
        <w:ind w:left="460" w:right="519" w:firstLine="432"/>
        <w:spacing w:after="0" w:line="258" w:lineRule="auto"/>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shareholder of record</w:t>
      </w:r>
      <w:r>
        <w:rPr>
          <w:rFonts w:ascii="Arial" w:cs="Arial" w:eastAsia="Arial" w:hAnsi="Arial"/>
          <w:sz w:val="18"/>
          <w:szCs w:val="18"/>
          <w:color w:val="auto"/>
        </w:rPr>
        <w:t xml:space="preserve"> as of May 29, 2020, the Record Date for the Meeting, you should go to </w:t>
      </w:r>
      <w:r>
        <w:rPr>
          <w:rFonts w:ascii="Arial" w:cs="Arial" w:eastAsia="Arial" w:hAnsi="Arial"/>
          <w:sz w:val="18"/>
          <w:szCs w:val="18"/>
          <w:i w:val="1"/>
          <w:iCs w:val="1"/>
          <w:color w:val="auto"/>
        </w:rPr>
        <w:t>https://web.lumiagm.com/220440912</w:t>
      </w:r>
      <w:r>
        <w:rPr>
          <w:rFonts w:ascii="Arial" w:cs="Arial" w:eastAsia="Arial" w:hAnsi="Arial"/>
          <w:sz w:val="18"/>
          <w:szCs w:val="18"/>
          <w:color w:val="auto"/>
        </w:rPr>
        <w:t xml:space="preserve"> prior to the start of the Meeting at 9:00 a.m., Eastern Daylight Time, on July 10, 2020, click on “I have a login,” enter the control number found on your Proxy Card or Notice of Internet Availability of Proxy Materials you previously received, and enter the password “newtek2020” (the password is case sensitive).</w:t>
      </w:r>
    </w:p>
    <w:p>
      <w:pPr>
        <w:spacing w:after="0" w:line="10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If your shares are held in “</w:t>
      </w:r>
      <w:r>
        <w:rPr>
          <w:rFonts w:ascii="Arial" w:cs="Arial" w:eastAsia="Arial" w:hAnsi="Arial"/>
          <w:sz w:val="16"/>
          <w:szCs w:val="16"/>
          <w:b w:val="1"/>
          <w:bCs w:val="1"/>
          <w:color w:val="auto"/>
        </w:rPr>
        <w:t>street name</w:t>
      </w:r>
      <w:r>
        <w:rPr>
          <w:rFonts w:ascii="Arial" w:cs="Arial" w:eastAsia="Arial" w:hAnsi="Arial"/>
          <w:sz w:val="16"/>
          <w:szCs w:val="16"/>
          <w:color w:val="auto"/>
        </w:rPr>
        <w:t xml:space="preserve">” through a broker, bank or other nominee, </w:t>
      </w:r>
      <w:r>
        <w:rPr>
          <w:rFonts w:ascii="Arial" w:cs="Arial" w:eastAsia="Arial" w:hAnsi="Arial"/>
          <w:sz w:val="16"/>
          <w:szCs w:val="16"/>
          <w:b w:val="1"/>
          <w:bCs w:val="1"/>
          <w:color w:val="auto"/>
        </w:rPr>
        <w:t>in order to participate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 the virtual Meeting you must first obtain a legal proxy from your broker, bank or other nominee </w:t>
      </w:r>
      <w:r>
        <w:rPr>
          <w:rFonts w:ascii="Arial" w:cs="Arial" w:eastAsia="Arial" w:hAnsi="Arial"/>
          <w:sz w:val="16"/>
          <w:szCs w:val="16"/>
          <w:color w:val="auto"/>
        </w:rPr>
        <w:t>reflecting the number of shares of Company common stock you held as of the Record Date, your name and email address. You then must submit a request for registration to American Stock Transfer &amp; Trust Company, LLC: (1) by email to proxy@astfinancial.com; (2) by facsimile to 718-765-8730 or (3) by mail to American Stock Transfer &amp; Trust Company, LLC, Attn: Proxy Tabulation Department, 6201 15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Avenue, Brooklyn, NY 11219. Requests for registration must be labeled as “Legal Proxy” and be received by American Stock Transfer &amp; Trust Company, LLC by no later than 5:00 p.m. Eastern time on July 2, 2020.</w:t>
      </w:r>
    </w:p>
    <w:p>
      <w:pPr>
        <w:spacing w:after="0" w:line="95" w:lineRule="exact"/>
        <w:rPr>
          <w:sz w:val="20"/>
          <w:szCs w:val="20"/>
          <w:color w:val="auto"/>
        </w:rPr>
      </w:pPr>
    </w:p>
    <w:p>
      <w:pPr>
        <w:ind w:left="460" w:right="679" w:firstLine="432"/>
        <w:spacing w:after="0" w:line="282" w:lineRule="auto"/>
        <w:rPr>
          <w:sz w:val="20"/>
          <w:szCs w:val="20"/>
          <w:color w:val="auto"/>
        </w:rPr>
      </w:pPr>
      <w:r>
        <w:rPr>
          <w:rFonts w:ascii="Arial" w:cs="Arial" w:eastAsia="Arial" w:hAnsi="Arial"/>
          <w:sz w:val="18"/>
          <w:szCs w:val="18"/>
          <w:b w:val="1"/>
          <w:bCs w:val="1"/>
          <w:color w:val="auto"/>
        </w:rPr>
        <w:t>The Company encourages you to vote your shares</w:t>
      </w:r>
      <w:r>
        <w:rPr>
          <w:rFonts w:ascii="Arial" w:cs="Arial" w:eastAsia="Arial" w:hAnsi="Arial"/>
          <w:sz w:val="18"/>
          <w:szCs w:val="18"/>
          <w:color w:val="auto"/>
        </w:rPr>
        <w:t>, either by voting on-line during the Meeting or by</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a proxy (i.e., authorizing someone to vote your shares).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 w:name="page5"/>
    <w:bookmarkEnd w:id="4"/>
    <w:p>
      <w:pPr>
        <w:ind w:left="880"/>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may vote using any of the following methods:</w:t>
      </w:r>
    </w:p>
    <w:p>
      <w:pPr>
        <w:spacing w:after="0" w:line="140" w:lineRule="exact"/>
        <w:rPr>
          <w:sz w:val="20"/>
          <w:szCs w:val="20"/>
          <w:color w:val="auto"/>
        </w:rPr>
      </w:pPr>
    </w:p>
    <w:p>
      <w:pPr>
        <w:ind w:left="460" w:right="479" w:firstLine="432"/>
        <w:spacing w:after="0" w:line="256" w:lineRule="auto"/>
        <w:rPr>
          <w:sz w:val="20"/>
          <w:szCs w:val="20"/>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Shareholders of record may submit proxies by completing, signing and dating each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received and returning it in the prepaid envelope. Sign your name exactly as it appears on the proxy. If you return your signed proxy but do not indicate your voting preferences, your shares will be voted on your behalf “FOR” each of the Proposals listed in this Proxy Statement. Shareholders who hold shares beneficially in street name may provide voting instructions by mail by completing, signing and dating the voting instruction forms provided by their brokers, banks or other nominees.</w:t>
      </w:r>
    </w:p>
    <w:p>
      <w:pPr>
        <w:spacing w:after="0" w:line="120" w:lineRule="exact"/>
        <w:rPr>
          <w:sz w:val="20"/>
          <w:szCs w:val="20"/>
          <w:color w:val="auto"/>
        </w:rPr>
      </w:pPr>
    </w:p>
    <w:p>
      <w:pPr>
        <w:ind w:left="460" w:right="739" w:firstLine="432"/>
        <w:spacing w:after="0" w:line="273" w:lineRule="auto"/>
        <w:rPr>
          <w:sz w:val="20"/>
          <w:szCs w:val="20"/>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 Shareholders of record may submit proxies by following the telephone voting</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instructions on each Proxy Card. Most shareholders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04" w:lineRule="exact"/>
        <w:rPr>
          <w:sz w:val="20"/>
          <w:szCs w:val="20"/>
          <w:color w:val="auto"/>
        </w:rPr>
      </w:pPr>
    </w:p>
    <w:p>
      <w:pPr>
        <w:ind w:left="460" w:right="579" w:firstLine="432"/>
        <w:spacing w:after="0" w:line="261"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voting instructions on their Proxy Cards. Most shareholders who hold shares beneficially in street name may provide voting instructions by accessing the website specified on the voting instruction form provided by their brokers, banks or nominees.</w:t>
      </w:r>
    </w:p>
    <w:p>
      <w:pPr>
        <w:spacing w:after="0" w:line="103" w:lineRule="exact"/>
        <w:rPr>
          <w:sz w:val="20"/>
          <w:szCs w:val="20"/>
          <w:color w:val="auto"/>
        </w:rPr>
      </w:pPr>
    </w:p>
    <w:p>
      <w:pPr>
        <w:ind w:left="460" w:right="659" w:firstLine="432"/>
        <w:spacing w:after="0" w:line="311" w:lineRule="auto"/>
        <w:rPr>
          <w:sz w:val="20"/>
          <w:szCs w:val="20"/>
          <w:color w:val="auto"/>
        </w:rPr>
      </w:pPr>
      <w:r>
        <w:rPr>
          <w:rFonts w:ascii="Arial" w:cs="Arial" w:eastAsia="Arial" w:hAnsi="Arial"/>
          <w:sz w:val="16"/>
          <w:szCs w:val="16"/>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77" w:lineRule="exact"/>
        <w:rPr>
          <w:sz w:val="20"/>
          <w:szCs w:val="20"/>
          <w:color w:val="auto"/>
        </w:rPr>
      </w:pPr>
    </w:p>
    <w:p>
      <w:pPr>
        <w:ind w:left="460" w:right="539" w:firstLine="432"/>
        <w:spacing w:after="0" w:line="294" w:lineRule="auto"/>
        <w:rPr>
          <w:sz w:val="20"/>
          <w:szCs w:val="20"/>
          <w:color w:val="auto"/>
        </w:rPr>
      </w:pPr>
      <w:r>
        <w:rPr>
          <w:rFonts w:ascii="Arial" w:cs="Arial" w:eastAsia="Arial" w:hAnsi="Arial"/>
          <w:sz w:val="16"/>
          <w:szCs w:val="16"/>
          <w:b w:val="1"/>
          <w:bCs w:val="1"/>
          <w:color w:val="auto"/>
        </w:rPr>
        <w:t xml:space="preserve">Virtually during the Meeting </w:t>
      </w:r>
      <w:r>
        <w:rPr>
          <w:rFonts w:ascii="Arial" w:cs="Arial" w:eastAsia="Arial" w:hAnsi="Arial"/>
          <w:sz w:val="16"/>
          <w:szCs w:val="16"/>
          <w:color w:val="auto"/>
        </w:rPr>
        <w:t>— If you are a shareholder of record as of May 29, 2020, the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the Meeting, you may vote during the virtual Meeting by (a) visiting </w:t>
      </w:r>
      <w:r>
        <w:rPr>
          <w:rFonts w:ascii="Arial" w:cs="Arial" w:eastAsia="Arial" w:hAnsi="Arial"/>
          <w:sz w:val="16"/>
          <w:szCs w:val="16"/>
          <w:i w:val="1"/>
          <w:iCs w:val="1"/>
          <w:color w:val="auto"/>
        </w:rPr>
        <w:t>www.voteproxy.com</w:t>
      </w:r>
      <w:r>
        <w:rPr>
          <w:rFonts w:ascii="Arial" w:cs="Arial" w:eastAsia="Arial" w:hAnsi="Arial"/>
          <w:sz w:val="16"/>
          <w:szCs w:val="16"/>
          <w:color w:val="auto"/>
        </w:rPr>
        <w:t xml:space="preserve"> and following the on screen instructions (have your proxy card or Notice of Internet Availability of Proxy Materials available when you access the webpage), or (b) calling toll-free 1-800-PROXIES (1-800-776-9437) in the U.S. or 1-718-921-8500 from foreign countries from any touch-tone phone and follow the instructions (have your proxy card or Notice of Internet Availability of Proxy Materials available when you call).</w:t>
      </w:r>
    </w:p>
    <w:p>
      <w:pPr>
        <w:spacing w:after="0" w:line="96"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If your shares are held in “street name” through a bank, broker or other nominee, in order to vote during the virtual Meeting you must first obtain a “legal proxy” from your bank, broker or other nominee and register with American Stock Transfer &amp; Trust Company, LLC, as described above, in order for you to participate in the virtual Meeting. You then may vote by following the instructions provided to you by American Stock Transfer &amp; Trust Company.</w:t>
      </w:r>
    </w:p>
    <w:p>
      <w:pPr>
        <w:spacing w:after="0" w:line="107"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 xml:space="preserve">Whether or not you expect to participate in the virtual Meeting, the Board of Directors urges shareholders to submit a proxy to vote your shares in advance of the Meeting by (a) visiting </w:t>
      </w:r>
      <w:r>
        <w:rPr>
          <w:rFonts w:ascii="Arial" w:cs="Arial" w:eastAsia="Arial" w:hAnsi="Arial"/>
          <w:sz w:val="16"/>
          <w:szCs w:val="16"/>
          <w:i w:val="1"/>
          <w:iCs w:val="1"/>
          <w:color w:val="auto"/>
        </w:rPr>
        <w:t>www.voteproxy.com</w:t>
      </w:r>
      <w:r>
        <w:rPr>
          <w:rFonts w:ascii="Arial" w:cs="Arial" w:eastAsia="Arial" w:hAnsi="Arial"/>
          <w:sz w:val="16"/>
          <w:szCs w:val="16"/>
          <w:color w:val="auto"/>
        </w:rPr>
        <w:t xml:space="preserve"> and following the on screen instructions (have your proxy card or Notice of Internet Availability of Proxy Materials available when you access the webpage), or (b) calling toll-free 1-800-PROXIES (1-800-776-9437) in the U.S. or 1-718-921-8500 from foreign countries from any touch-tone phone and follow the instructions (have your proxy card or Notice of Internet Availability of Proxy Materials available when you call), or (c) submitting your proxy card by mail by using the previously provided self-addressed, stamped envelope. Submitting a proxy will not prevent you from revoking a previously submitted proxy or changing your vote as described above, but it will help to secure a quorum and avoid added solicitation costs.</w:t>
      </w:r>
    </w:p>
    <w:p>
      <w:pPr>
        <w:spacing w:after="0" w:line="99"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Shareholders who execute the enclosed Proxy Card retain the right to revoke such proxies at any time prior to voting. Unless so revoked, the shares represented by properly executed proxies will be voted at the Meeting and all adjournments thereof. Proxies may be revoked at any time prior to exercise by written notice to the Corporate Secretary of the Company or by the filing of a properly executed, later-dated proxy. A proxy will not be voted if a shareholder attends the Meeting and votes on-line during the Meeting. The presence of a shareholder at the Meeting alone will not revoke such shareholder’s proxy. Shareholders have no dissenters’ or appraisal rights in connection with the Proposals described herein.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ind w:left="3480"/>
        <w:spacing w:after="0"/>
        <w:rPr>
          <w:sz w:val="20"/>
          <w:szCs w:val="20"/>
          <w:color w:val="auto"/>
        </w:rPr>
      </w:pPr>
      <w:r>
        <w:rPr>
          <w:rFonts w:ascii="Arial" w:cs="Arial" w:eastAsia="Arial" w:hAnsi="Arial"/>
          <w:sz w:val="18"/>
          <w:szCs w:val="18"/>
          <w:b w:val="1"/>
          <w:bCs w:val="1"/>
          <w:color w:val="auto"/>
        </w:rPr>
        <w:t>PURPOSE OF MEETING</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117" w:lineRule="exact"/>
        <w:rPr>
          <w:sz w:val="20"/>
          <w:szCs w:val="20"/>
          <w:color w:val="auto"/>
        </w:rPr>
      </w:pPr>
    </w:p>
    <w:p>
      <w:pPr>
        <w:ind w:left="1320" w:right="539" w:hanging="434"/>
        <w:spacing w:after="0" w:line="259" w:lineRule="auto"/>
        <w:tabs>
          <w:tab w:leader="none" w:pos="1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(“Common Shares”), at a price below the then current net asset value per share of such Common Shares in one or multiple offerings, subject to certain limitations described in this Proxy Statement;</w:t>
      </w:r>
    </w:p>
    <w:p>
      <w:pPr>
        <w:spacing w:after="0" w:line="78" w:lineRule="exact"/>
        <w:rPr>
          <w:rFonts w:ascii="Arial" w:cs="Arial" w:eastAsia="Arial" w:hAnsi="Arial"/>
          <w:sz w:val="18"/>
          <w:szCs w:val="18"/>
          <w:color w:val="auto"/>
        </w:rPr>
      </w:pPr>
    </w:p>
    <w:p>
      <w:pPr>
        <w:ind w:left="1320" w:right="619" w:hanging="434"/>
        <w:spacing w:after="0" w:line="277" w:lineRule="auto"/>
        <w:tabs>
          <w:tab w:leader="none" w:pos="1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the Company’s Articles of Amendment and Restatement to allow the Company’s shareholders to amend the Company’s bylaws;</w:t>
      </w:r>
    </w:p>
    <w:p>
      <w:pPr>
        <w:spacing w:after="0" w:line="62" w:lineRule="exact"/>
        <w:rPr>
          <w:rFonts w:ascii="Arial" w:cs="Arial" w:eastAsia="Arial" w:hAnsi="Arial"/>
          <w:sz w:val="18"/>
          <w:szCs w:val="18"/>
          <w:color w:val="auto"/>
        </w:rPr>
      </w:pPr>
    </w:p>
    <w:p>
      <w:pPr>
        <w:ind w:left="1320" w:right="959" w:hanging="434"/>
        <w:spacing w:after="0" w:line="277" w:lineRule="auto"/>
        <w:tabs>
          <w:tab w:leader="none" w:pos="1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and</w:t>
      </w:r>
    </w:p>
    <w:p>
      <w:pPr>
        <w:spacing w:after="0" w:line="62" w:lineRule="exact"/>
        <w:rPr>
          <w:rFonts w:ascii="Arial" w:cs="Arial" w:eastAsia="Arial" w:hAnsi="Arial"/>
          <w:sz w:val="18"/>
          <w:szCs w:val="18"/>
          <w:color w:val="auto"/>
        </w:rPr>
      </w:pPr>
    </w:p>
    <w:p>
      <w:pPr>
        <w:ind w:left="1320" w:right="659" w:hanging="434"/>
        <w:spacing w:after="0" w:line="277" w:lineRule="auto"/>
        <w:tabs>
          <w:tab w:leader="none" w:pos="1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QUORUM REQUIRED</w:t>
      </w:r>
    </w:p>
    <w:p>
      <w:pPr>
        <w:spacing w:after="0" w:line="162"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A quorum must be present at the Meeting for any business to be conducted. The presence at the Meeting, virtually or by proxy, of holders entitled to cast a majority of the votes entitled to be cast as of the Record Date will constitute a quorum. Abstentions and broker non-votes, if any, will be deemed present for the purpose of determining a quorum for the Meeting. If there are not enough votes for a quorum, the Chairman of the Meeting may adjourn the Meeting to permit the further solicitation of proxies.</w:t>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Proposal</w:t>
      </w:r>
    </w:p>
    <w:p>
      <w:pPr>
        <w:spacing w:after="0" w:line="72" w:lineRule="exact"/>
        <w:rPr>
          <w:sz w:val="20"/>
          <w:szCs w:val="20"/>
          <w:color w:val="auto"/>
        </w:rPr>
      </w:pPr>
    </w:p>
    <w:p>
      <w:pPr>
        <w:ind w:left="460"/>
        <w:spacing w:after="0" w:line="309" w:lineRule="auto"/>
        <w:rPr>
          <w:sz w:val="20"/>
          <w:szCs w:val="20"/>
          <w:color w:val="auto"/>
        </w:rPr>
      </w:pPr>
      <w:r>
        <w:rPr>
          <w:rFonts w:ascii="Arial" w:cs="Arial" w:eastAsia="Arial" w:hAnsi="Arial"/>
          <w:sz w:val="15"/>
          <w:szCs w:val="15"/>
          <w:b w:val="1"/>
          <w:bCs w:val="1"/>
          <w:i w:val="1"/>
          <w:iCs w:val="1"/>
          <w:color w:val="auto"/>
        </w:rPr>
        <w:t xml:space="preserve">Proposal 1 </w:t>
      </w:r>
      <w:r>
        <w:rPr>
          <w:rFonts w:ascii="Arial" w:cs="Arial" w:eastAsia="Arial" w:hAnsi="Arial"/>
          <w:sz w:val="15"/>
          <w:szCs w:val="15"/>
          <w:color w:val="auto"/>
        </w:rPr>
        <w:t>— To approve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proposal to authorize the Company to sell shares of its Common Shares, at a price below the then current net asset value per share of such Common Shares in one or multiple offerings (subject to certain limitations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-1409065</wp:posOffset>
            </wp:positionV>
            <wp:extent cx="1362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VOTE REQUIRED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6"/>
              </w:rPr>
              <w:t>Broker</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Effect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Discretionary</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Abstentions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Voting</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and Broker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tcPr>
          <w:p>
            <w:pPr>
              <w:ind w:left="1300"/>
              <w:spacing w:after="0"/>
              <w:rPr>
                <w:sz w:val="20"/>
                <w:szCs w:val="20"/>
                <w:color w:val="auto"/>
              </w:rPr>
            </w:pPr>
            <w:r>
              <w:rPr>
                <w:rFonts w:ascii="Arial" w:cs="Arial" w:eastAsia="Arial" w:hAnsi="Arial"/>
                <w:sz w:val="16"/>
                <w:szCs w:val="16"/>
                <w:b w:val="1"/>
                <w:bCs w:val="1"/>
                <w:color w:val="auto"/>
              </w:rPr>
              <w:t>Vote Required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Allowed</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Non-Votes</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w w:val="97"/>
              </w:rPr>
              <w:t>Pursuant to Investment Company Act of 1940,</w:t>
            </w:r>
          </w:p>
        </w:tc>
        <w:tc>
          <w:tcPr>
            <w:tcW w:w="100" w:type="dxa"/>
            <w:vAlign w:val="bottom"/>
            <w:vMerge w:val="continue"/>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w w:val="95"/>
              </w:rPr>
              <w:t>No</w:t>
            </w:r>
          </w:p>
        </w:tc>
        <w:tc>
          <w:tcPr>
            <w:tcW w:w="80" w:type="dxa"/>
            <w:vAlign w:val="bottom"/>
            <w:vMerge w:val="continue"/>
          </w:tcPr>
          <w:p>
            <w:pPr>
              <w:spacing w:after="0"/>
              <w:rPr>
                <w:sz w:val="16"/>
                <w:szCs w:val="16"/>
                <w:color w:val="auto"/>
              </w:rPr>
            </w:pPr>
          </w:p>
        </w:tc>
        <w:tc>
          <w:tcPr>
            <w:tcW w:w="1080" w:type="dxa"/>
            <w:vAlign w:val="bottom"/>
          </w:tcPr>
          <w:p>
            <w:pPr>
              <w:spacing w:after="0" w:line="195" w:lineRule="exact"/>
              <w:rPr>
                <w:sz w:val="20"/>
                <w:szCs w:val="20"/>
                <w:color w:val="auto"/>
              </w:rPr>
            </w:pPr>
            <w:r>
              <w:rPr>
                <w:rFonts w:ascii="Arial" w:cs="Arial" w:eastAsia="Arial" w:hAnsi="Arial"/>
                <w:sz w:val="18"/>
                <w:szCs w:val="18"/>
                <w:color w:val="auto"/>
              </w:rPr>
              <w:t>Abstentions</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as amended (the “1940 Act”), approval of this</w:t>
            </w:r>
          </w:p>
        </w:tc>
        <w:tc>
          <w:tcPr>
            <w:tcW w:w="9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and broker</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proposal requires the affirmative vote of: (i) a</w:t>
            </w:r>
          </w:p>
        </w:tc>
        <w:tc>
          <w:tcPr>
            <w:tcW w:w="9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non-votes, if</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w w:val="96"/>
              </w:rPr>
              <w:t>majority of outstanding Common Shares entitled</w:t>
            </w:r>
          </w:p>
        </w:tc>
        <w:tc>
          <w:tcPr>
            <w:tcW w:w="9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8"/>
              </w:rPr>
              <w:t>any, will have</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to vote at the Meeting; and (ii) a majority of the</w:t>
            </w:r>
          </w:p>
        </w:tc>
        <w:tc>
          <w:tcPr>
            <w:tcW w:w="9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7"/>
              </w:rPr>
              <w:t>the effect of a</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w w:val="99"/>
              </w:rPr>
              <w:t>outstanding Common Shares entitled to vote at</w:t>
            </w:r>
          </w:p>
        </w:tc>
        <w:tc>
          <w:tcPr>
            <w:tcW w:w="9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vote against</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the Meeting which are not held by affiliated</w:t>
            </w:r>
          </w:p>
        </w:tc>
        <w:tc>
          <w:tcPr>
            <w:tcW w:w="9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8"/>
              </w:rPr>
              <w:t>this proposal.</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w w:val="93"/>
              </w:rPr>
              <w:t>persons of the Company. The 1940 Act defines “a</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w w:val="94"/>
              </w:rPr>
              <w:t>majority of the outstanding shares” as: (1) 67% or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more of the voting securities present at the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Meeting if the holders of more than 50% of the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w w:val="95"/>
              </w:rPr>
              <w:t>outstanding voting securities of the Company are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w w:val="94"/>
              </w:rPr>
              <w:t>present or represented by proxy; or (2) more than</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50% of the outstanding voting securities of the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Company, whichever is less.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540" w:space="160"/>
            <w:col w:w="6319"/>
          </w:cols>
          <w:pgMar w:left="1440" w:top="337" w:right="1440" w:bottom="1440" w:gutter="0" w:footer="0" w:header="0"/>
          <w:type w:val="continuous"/>
        </w:sectPr>
      </w:pPr>
    </w:p>
    <w:p>
      <w:pPr>
        <w:spacing w:after="0" w:line="110" w:lineRule="exact"/>
        <w:rPr>
          <w:sz w:val="20"/>
          <w:szCs w:val="20"/>
          <w:color w:val="auto"/>
        </w:rPr>
      </w:pPr>
    </w:p>
    <w:p>
      <w:pPr>
        <w:ind w:left="460"/>
        <w:spacing w:after="0" w:line="296" w:lineRule="auto"/>
        <w:rPr>
          <w:sz w:val="20"/>
          <w:szCs w:val="20"/>
          <w:color w:val="auto"/>
        </w:rPr>
      </w:pPr>
      <w:r>
        <w:rPr>
          <w:rFonts w:ascii="Arial" w:cs="Arial" w:eastAsia="Arial" w:hAnsi="Arial"/>
          <w:sz w:val="16"/>
          <w:szCs w:val="16"/>
          <w:b w:val="1"/>
          <w:bCs w:val="1"/>
          <w:i w:val="1"/>
          <w:iCs w:val="1"/>
          <w:color w:val="auto"/>
        </w:rPr>
        <w:t xml:space="preserve">Proposal 2 </w:t>
      </w:r>
      <w:r>
        <w:rPr>
          <w:rFonts w:ascii="Arial" w:cs="Arial" w:eastAsia="Arial" w:hAnsi="Arial"/>
          <w:sz w:val="16"/>
          <w:szCs w:val="16"/>
          <w:color w:val="auto"/>
        </w:rPr>
        <w:t>— To approve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amendment to the Company’s Charter to allow the Company’s shareholders to amend the Bylaws.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tabs>
          <w:tab w:leader="none" w:pos="4080" w:val="left"/>
          <w:tab w:leader="none" w:pos="4760" w:val="left"/>
        </w:tabs>
        <w:rPr>
          <w:sz w:val="20"/>
          <w:szCs w:val="20"/>
          <w:color w:val="auto"/>
        </w:rPr>
      </w:pPr>
      <w:r>
        <w:rPr>
          <w:rFonts w:ascii="Arial" w:cs="Arial" w:eastAsia="Arial" w:hAnsi="Arial"/>
          <w:sz w:val="18"/>
          <w:szCs w:val="18"/>
          <w:color w:val="auto"/>
        </w:rPr>
        <w:t>Affirmative vote of the holders of a majority of</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Abstentions</w:t>
      </w:r>
    </w:p>
    <w:p>
      <w:pPr>
        <w:spacing w:after="0" w:line="23"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the votes entitled to be cast at the Meeting.</w:t>
      </w:r>
      <w:r>
        <w:rPr>
          <w:sz w:val="20"/>
          <w:szCs w:val="20"/>
          <w:color w:val="auto"/>
        </w:rPr>
        <w:tab/>
      </w:r>
      <w:r>
        <w:rPr>
          <w:rFonts w:ascii="Arial" w:cs="Arial" w:eastAsia="Arial" w:hAnsi="Arial"/>
          <w:sz w:val="16"/>
          <w:szCs w:val="16"/>
          <w:color w:val="auto"/>
        </w:rPr>
        <w:t>and broker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non-votes, if</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any, will have</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the effect of a</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vote against</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this proposal.</w:t>
      </w:r>
    </w:p>
    <w:p>
      <w:pPr>
        <w:spacing w:after="0" w:line="200" w:lineRule="exact"/>
        <w:rPr>
          <w:sz w:val="20"/>
          <w:szCs w:val="20"/>
          <w:color w:val="auto"/>
        </w:rPr>
      </w:pPr>
    </w:p>
    <w:p>
      <w:pPr>
        <w:sectPr>
          <w:pgSz w:w="11900" w:h="16838" w:orient="portrait"/>
          <w:cols w:equalWidth="0" w:num="2">
            <w:col w:w="2540" w:space="160"/>
            <w:col w:w="6319"/>
          </w:cols>
          <w:pgMar w:left="1440" w:top="337" w:right="1440" w:bottom="1440" w:gutter="0" w:footer="0" w:header="0"/>
          <w:type w:val="continuous"/>
        </w:sectPr>
      </w:pPr>
    </w:p>
    <w:p>
      <w:pPr>
        <w:spacing w:after="0" w:line="130" w:lineRule="exact"/>
        <w:rPr>
          <w:sz w:val="20"/>
          <w:szCs w:val="20"/>
          <w:color w:val="auto"/>
        </w:rPr>
      </w:pPr>
    </w:p>
    <w:p>
      <w:pPr>
        <w:ind w:left="460"/>
        <w:spacing w:after="0" w:line="275" w:lineRule="auto"/>
        <w:rPr>
          <w:sz w:val="20"/>
          <w:szCs w:val="20"/>
          <w:color w:val="auto"/>
        </w:rPr>
      </w:pPr>
      <w:r>
        <w:rPr>
          <w:rFonts w:ascii="Arial" w:cs="Arial" w:eastAsia="Arial" w:hAnsi="Arial"/>
          <w:sz w:val="17"/>
          <w:szCs w:val="17"/>
          <w:b w:val="1"/>
          <w:bCs w:val="1"/>
          <w:i w:val="1"/>
          <w:iCs w:val="1"/>
          <w:color w:val="auto"/>
        </w:rPr>
        <w:t xml:space="preserve">Proposal 3 </w:t>
      </w:r>
      <w:r>
        <w:rPr>
          <w:rFonts w:ascii="Arial" w:cs="Arial" w:eastAsia="Arial" w:hAnsi="Arial"/>
          <w:sz w:val="17"/>
          <w:szCs w:val="17"/>
          <w:color w:val="auto"/>
        </w:rPr>
        <w:t>— To approve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proposal to adjourn the Meeting, if necessary or appropriate, to solicit additional proxies.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4080" w:val="left"/>
          <w:tab w:leader="none" w:pos="4760" w:val="left"/>
        </w:tabs>
        <w:rPr>
          <w:sz w:val="20"/>
          <w:szCs w:val="20"/>
          <w:color w:val="auto"/>
        </w:rPr>
      </w:pPr>
      <w:r>
        <w:rPr>
          <w:rFonts w:ascii="Arial" w:cs="Arial" w:eastAsia="Arial" w:hAnsi="Arial"/>
          <w:sz w:val="18"/>
          <w:szCs w:val="18"/>
          <w:color w:val="auto"/>
        </w:rPr>
        <w:t>Affirmative vote of the holders of a majority of</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Abstentions</w:t>
      </w:r>
    </w:p>
    <w:p>
      <w:pPr>
        <w:spacing w:after="0" w:line="23"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the votes cast at the Meeting.</w:t>
      </w:r>
      <w:r>
        <w:rPr>
          <w:sz w:val="20"/>
          <w:szCs w:val="20"/>
          <w:color w:val="auto"/>
        </w:rPr>
        <w:tab/>
      </w:r>
      <w:r>
        <w:rPr>
          <w:rFonts w:ascii="Arial" w:cs="Arial" w:eastAsia="Arial" w:hAnsi="Arial"/>
          <w:sz w:val="16"/>
          <w:szCs w:val="16"/>
          <w:color w:val="auto"/>
        </w:rPr>
        <w:t>and broker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non-votes, if</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any, will have</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no effect on</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the outcome</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of the vote.</w:t>
      </w:r>
    </w:p>
    <w:p>
      <w:pPr>
        <w:spacing w:after="0" w:line="200" w:lineRule="exact"/>
        <w:rPr>
          <w:sz w:val="20"/>
          <w:szCs w:val="20"/>
          <w:color w:val="auto"/>
        </w:rPr>
      </w:pPr>
    </w:p>
    <w:p>
      <w:pPr>
        <w:sectPr>
          <w:pgSz w:w="11900" w:h="16838" w:orient="portrait"/>
          <w:cols w:equalWidth="0" w:num="2">
            <w:col w:w="2460" w:space="240"/>
            <w:col w:w="6319"/>
          </w:cols>
          <w:pgMar w:left="1440" w:top="337" w:right="1440" w:bottom="1440" w:gutter="0" w:footer="0" w:header="0"/>
          <w:type w:val="continuous"/>
        </w:sectPr>
      </w:pP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 w:name="page7"/>
    <w:bookmarkEnd w:id="6"/>
    <w:p>
      <w:pPr>
        <w:ind w:left="460" w:right="1039" w:firstLine="432"/>
        <w:spacing w:after="0" w:line="263" w:lineRule="auto"/>
        <w:rPr>
          <w:sz w:val="20"/>
          <w:szCs w:val="20"/>
          <w:color w:val="auto"/>
        </w:rPr>
      </w:pPr>
      <w:r>
        <w:rPr>
          <w:rFonts w:ascii="Arial" w:cs="Arial" w:eastAsia="Arial" w:hAnsi="Arial"/>
          <w:sz w:val="18"/>
          <w:szCs w:val="18"/>
          <w:color w:val="auto"/>
        </w:rPr>
        <w:t>If there are not enough Common Shares represented at the Meeting for votes to approve any of the Proposals at the Meeting, the Chairman of the Meeting may adjourn the Meeting to permit the further solicitation of proxies.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BROKER NON-VOTES</w:t>
      </w:r>
    </w:p>
    <w:p>
      <w:pPr>
        <w:spacing w:after="0" w:line="14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If a shareholder of the Company does not vote at the Meeting or does not submit voting instructions to its broker, bank or other nominee, the broker, bank or other nominee will not be permitted to vote the shareholder’s shares on non-routine proposals. Each of the Proposals is a non-routine proposal. As a result, if you hold Common Shares in street name through a broker, your broker will not be permitted to exercise voting discretion with respect to the Proposals. Thus, your broker cannot vote with respect to any of the Proposals unless you give your broker specific instructions on how to vote for you. While broker non-votes would have the effect of a vote “against” Proposal 1 and Proposal 2, and would have no effect on Proposal 3, we do not expect any broker non-votes at the Meeting because there are no routine proposals to be voted on at the Meeting.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REVOCATION OF PROXIES</w:t>
      </w:r>
    </w:p>
    <w:p>
      <w:pPr>
        <w:spacing w:after="0" w:line="162"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Proxies solicited by the Board of Directors will be voted in accordance with the direction given therein. If any other matters are properly brought before the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matters incident to the conduct of the Meeting and with respect to any other matter presented at the Meeting if notice of such matter has not been delivered to the Company within a reasonable time before the date of this Proxy Statement.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FOR THE MEETING</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named proxies for the Meeting are Michael A. Schwartz and Barry Sloane (or their duly authorized designees), who will follow submitted proxy voting instructions. They will vote as the Board of Directors recommends herein as to any submitted proxies that do not direct how to vote on any item, and will vote on any other matters properly presented at the Meeting in their judgment.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w:t>
      </w:r>
    </w:p>
    <w:p>
      <w:pPr>
        <w:spacing w:after="0" w:line="14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The securities which can be voted at the Meeting consist of the Company’s Common Shares. Shareholders of record as of the close of business on May 29, 2020 (the “Record Date”) are entitled to one vote for each Common Share then held on all matters. As of the Record Date, 20,906,745 Common Shares were issued and outstanding</w:t>
      </w:r>
    </w:p>
    <w:p>
      <w:pPr>
        <w:spacing w:after="0" w:line="119"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The following table sets forth, as of May 22, 2020, the beneficial ownership of each current director, the Company’s executive officers, each person known to the Company to beneficially own 5% or more of the outstanding Common Shares, and the executive officers and directors as a group. The percentage of beneficial ownership is based on 20,906,745 Common Shares outstanding as of May 29, 2020.</w:t>
      </w:r>
    </w:p>
    <w:p>
      <w:pPr>
        <w:spacing w:after="0" w:line="9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the Company’s Common Shares is based upon filings by such persons with the SEC and other information obtained from such persons, if available.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right="659" w:firstLine="432"/>
        <w:spacing w:after="0" w:line="293" w:lineRule="auto"/>
        <w:rPr>
          <w:sz w:val="20"/>
          <w:szCs w:val="20"/>
          <w:color w:val="auto"/>
        </w:rPr>
      </w:pPr>
      <w:r>
        <w:rPr>
          <w:rFonts w:ascii="Arial" w:cs="Arial" w:eastAsia="Arial" w:hAnsi="Arial"/>
          <w:sz w:val="16"/>
          <w:szCs w:val="16"/>
          <w:color w:val="auto"/>
        </w:rPr>
        <w:t>Unless otherwise indicated, the Company believes that each beneficial owner set forth in the table has sole voting and investment power and has the same address as the Company. The Company’s directors are divided into two groups — 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 4800 T-Rex Avenue, Suite 120, Boca Raton, FL 33431.</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Beneficially</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Percent of</w:t>
            </w:r>
          </w:p>
        </w:tc>
      </w:tr>
      <w:tr>
        <w:trPr>
          <w:trHeight w:val="210"/>
        </w:trPr>
        <w:tc>
          <w:tcPr>
            <w:tcW w:w="5580" w:type="dxa"/>
            <w:vAlign w:val="bottom"/>
            <w:gridSpan w:val="2"/>
          </w:tcPr>
          <w:p>
            <w:pPr>
              <w:spacing w:after="0"/>
              <w:rPr>
                <w:sz w:val="20"/>
                <w:szCs w:val="20"/>
                <w:color w:val="auto"/>
              </w:rPr>
            </w:pPr>
            <w:r>
              <w:rPr>
                <w:rFonts w:ascii="Arial" w:cs="Arial" w:eastAsia="Arial" w:hAnsi="Arial"/>
                <w:sz w:val="16"/>
                <w:szCs w:val="16"/>
                <w:b w:val="1"/>
                <w:bCs w:val="1"/>
                <w:color w:val="auto"/>
              </w:rPr>
              <w:t>Name of Beneficial Owner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Owned</w:t>
            </w:r>
          </w:p>
        </w:tc>
        <w:tc>
          <w:tcPr>
            <w:tcW w:w="12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Class</w:t>
            </w:r>
          </w:p>
        </w:tc>
      </w:tr>
      <w:tr>
        <w:trPr>
          <w:trHeight w:val="46"/>
        </w:trPr>
        <w:tc>
          <w:tcPr>
            <w:tcW w:w="5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83"/>
        </w:trPr>
        <w:tc>
          <w:tcPr>
            <w:tcW w:w="5580" w:type="dxa"/>
            <w:vAlign w:val="bottom"/>
            <w:gridSpan w:val="2"/>
          </w:tcPr>
          <w:p>
            <w:pPr>
              <w:spacing w:after="0"/>
              <w:rPr>
                <w:sz w:val="20"/>
                <w:szCs w:val="20"/>
                <w:color w:val="auto"/>
              </w:rPr>
            </w:pPr>
            <w:r>
              <w:rPr>
                <w:rFonts w:ascii="Arial" w:cs="Arial" w:eastAsia="Arial" w:hAnsi="Arial"/>
                <w:sz w:val="18"/>
                <w:szCs w:val="18"/>
                <w:color w:val="auto"/>
              </w:rPr>
              <w:t>Barry Sloane</w:t>
            </w:r>
            <w:r>
              <w:rPr>
                <w:rFonts w:ascii="Arial" w:cs="Arial" w:eastAsia="Arial" w:hAnsi="Arial"/>
                <w:sz w:val="20"/>
                <w:szCs w:val="20"/>
                <w:color w:val="auto"/>
                <w:vertAlign w:val="superscript"/>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1,151,673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84"/>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Downs</w:t>
            </w:r>
            <w:r>
              <w:rPr>
                <w:rFonts w:ascii="Arial" w:cs="Arial" w:eastAsia="Arial" w:hAnsi="Arial"/>
                <w:sz w:val="20"/>
                <w:szCs w:val="20"/>
                <w:color w:val="auto"/>
                <w:vertAlign w:val="superscript"/>
              </w:rPr>
              <w:t>(2)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83"/>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83"/>
        </w:trPr>
        <w:tc>
          <w:tcPr>
            <w:tcW w:w="5580" w:type="dxa"/>
            <w:vAlign w:val="bottom"/>
            <w:gridSpan w:val="2"/>
          </w:tcPr>
          <w:p>
            <w:pPr>
              <w:spacing w:after="0"/>
              <w:rPr>
                <w:sz w:val="20"/>
                <w:szCs w:val="20"/>
                <w:color w:val="auto"/>
              </w:rPr>
            </w:pPr>
            <w:r>
              <w:rPr>
                <w:rFonts w:ascii="Arial" w:cs="Arial" w:eastAsia="Arial" w:hAnsi="Arial"/>
                <w:sz w:val="18"/>
                <w:szCs w:val="18"/>
                <w:color w:val="auto"/>
              </w:rPr>
              <w:t>Gregory Zink</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16,838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Salvatore Mulia</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67,910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gridSpan w:val="2"/>
          </w:tcPr>
          <w:p>
            <w:pPr>
              <w:spacing w:after="0"/>
              <w:rPr>
                <w:sz w:val="20"/>
                <w:szCs w:val="20"/>
                <w:color w:val="auto"/>
              </w:rPr>
            </w:pPr>
            <w:r>
              <w:rPr>
                <w:rFonts w:ascii="Arial" w:cs="Arial" w:eastAsia="Arial" w:hAnsi="Arial"/>
                <w:sz w:val="18"/>
                <w:szCs w:val="18"/>
                <w:color w:val="auto"/>
              </w:rPr>
              <w:t>Richard Salute</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16,360</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84"/>
        </w:trPr>
        <w:tc>
          <w:tcPr>
            <w:tcW w:w="5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41"/>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Christopher Towers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Michael Schwartz</w:t>
            </w:r>
            <w:r>
              <w:rPr>
                <w:rFonts w:ascii="Arial" w:cs="Arial" w:eastAsia="Arial" w:hAnsi="Arial"/>
                <w:sz w:val="20"/>
                <w:szCs w:val="20"/>
                <w:color w:val="auto"/>
                <w:vertAlign w:val="superscript"/>
              </w:rPr>
              <w:t>(3)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18,567</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4"/>
                <w:szCs w:val="24"/>
                <w:color w:val="auto"/>
              </w:rPr>
            </w:pPr>
          </w:p>
        </w:tc>
      </w:tr>
      <w:tr>
        <w:trPr>
          <w:trHeight w:val="263"/>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All current directors and executive officers as a group</w:t>
            </w:r>
            <w:r>
              <w:rPr>
                <w:rFonts w:ascii="Arial" w:cs="Arial" w:eastAsia="Arial" w:hAnsi="Arial"/>
                <w:sz w:val="20"/>
                <w:szCs w:val="20"/>
                <w:b w:val="1"/>
                <w:bCs w:val="1"/>
                <w:i w:val="1"/>
                <w:iCs w:val="1"/>
                <w:color w:val="auto"/>
                <w:vertAlign w:val="superscript"/>
              </w:rPr>
              <w:t>(7)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1,311,256</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60" w:hanging="406"/>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Less than 1% of total Common Shares outstanding as of the Record Date.</w:t>
      </w:r>
    </w:p>
    <w:p>
      <w:pPr>
        <w:spacing w:after="0" w:line="22" w:lineRule="exact"/>
        <w:rPr>
          <w:sz w:val="20"/>
          <w:szCs w:val="20"/>
          <w:color w:val="auto"/>
        </w:rPr>
      </w:pPr>
    </w:p>
    <w:p>
      <w:pPr>
        <w:ind w:left="880" w:right="799" w:hanging="426"/>
        <w:spacing w:after="0" w:line="281" w:lineRule="auto"/>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96,221 Shares owned by The B Sloane Family Foundation, a 501(c)(3) private foundation, of which Mr. Sloane shares voting and dispositive power, and 58,480 restricted Common Shares awarded to Mr. Sloane in February 2018, plus accrued dividends through March 31, 2020, with a three-year vesting period</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13,158 restricted Common Shares awarded in February 2018 with a three-year vesting period.</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8,772 restricted Common Shares awarded in February 2018 with a three-year vesting period.</w:t>
      </w:r>
    </w:p>
    <w:p>
      <w:pPr>
        <w:spacing w:after="0" w:line="18" w:lineRule="exact"/>
        <w:rPr>
          <w:rFonts w:ascii="Arial" w:cs="Arial" w:eastAsia="Arial" w:hAnsi="Arial"/>
          <w:sz w:val="16"/>
          <w:szCs w:val="16"/>
          <w:color w:val="auto"/>
        </w:rPr>
      </w:pPr>
    </w:p>
    <w:p>
      <w:pPr>
        <w:ind w:left="880" w:right="479" w:hanging="426"/>
        <w:spacing w:after="0" w:line="302" w:lineRule="auto"/>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1,332 restricted Company Shares awarded in June 2019 as equity-based compensation to each non-employee director at the beginning of their 2019 terms of service, which forfeiture restrictions will lapse as to one-third of such Company Shares each year for three years, plus accrued dividends through March 31, 2020.</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Dollar Range of Equity Securities in the Company Beneficially Owned by Each Director:</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Dollar Range of</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in</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Newtek</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4"/>
              </w:rPr>
              <w:t>Business</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5"/>
              </w:rPr>
              <w:t>Services</w:t>
            </w:r>
          </w:p>
        </w:tc>
      </w:tr>
      <w:tr>
        <w:trPr>
          <w:trHeight w:val="257"/>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Director</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29"/>
                <w:szCs w:val="29"/>
                <w:b w:val="1"/>
                <w:bCs w:val="1"/>
                <w:color w:val="auto"/>
                <w:w w:val="85"/>
                <w:vertAlign w:val="subscript"/>
              </w:rPr>
              <w:t>Corp.</w:t>
            </w:r>
            <w:r>
              <w:rPr>
                <w:rFonts w:ascii="Arial" w:cs="Arial" w:eastAsia="Arial" w:hAnsi="Arial"/>
                <w:sz w:val="9"/>
                <w:szCs w:val="9"/>
                <w:b w:val="1"/>
                <w:bCs w:val="1"/>
                <w:color w:val="auto"/>
                <w:w w:val="85"/>
              </w:rPr>
              <w:t>(1)(2)</w:t>
            </w:r>
          </w:p>
        </w:tc>
      </w:tr>
      <w:tr>
        <w:trPr>
          <w:trHeight w:val="257"/>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Barry Sloane</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Peter Downs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83"/>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4"/>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Richard Salute</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Salvatore Mulia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Gregory Zink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91"/>
        </w:trPr>
        <w:tc>
          <w:tcPr>
            <w:tcW w:w="674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72" w:lineRule="exact"/>
        <w:rPr>
          <w:sz w:val="20"/>
          <w:szCs w:val="20"/>
          <w:color w:val="auto"/>
        </w:rPr>
      </w:pPr>
    </w:p>
    <w:p>
      <w:pPr>
        <w:ind w:left="880" w:hanging="426"/>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Dollar ranges are as follows: None, $1 – 10,000, $10,001 – $50,000, $50,001 – $100,000, or Over $100,000.</w:t>
      </w:r>
    </w:p>
    <w:p>
      <w:pPr>
        <w:spacing w:after="0" w:line="33" w:lineRule="exact"/>
        <w:rPr>
          <w:rFonts w:ascii="Arial" w:cs="Arial" w:eastAsia="Arial" w:hAnsi="Arial"/>
          <w:sz w:val="15"/>
          <w:szCs w:val="15"/>
          <w:color w:val="auto"/>
        </w:rPr>
      </w:pPr>
    </w:p>
    <w:p>
      <w:pPr>
        <w:ind w:left="880" w:right="759" w:hanging="426"/>
        <w:spacing w:after="0" w:line="276" w:lineRule="auto"/>
        <w:tabs>
          <w:tab w:leader="none" w:pos="87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dollar range of equity securities beneficially owned is based on the closing price for the Company’s Common Shares of $15.84 on May 21, 2020 on the Nasdaq Global Market. Beneficial ownership has been determined in accordance with Rule 13d-3 of the Exchange Act.</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jc w:val="center"/>
        <w:ind w:left="1920"/>
        <w:spacing w:after="0" w:line="261" w:lineRule="auto"/>
        <w:rPr>
          <w:sz w:val="20"/>
          <w:szCs w:val="20"/>
          <w:color w:val="auto"/>
        </w:rPr>
      </w:pPr>
      <w:r>
        <w:rPr>
          <w:rFonts w:ascii="Arial" w:cs="Arial" w:eastAsia="Arial" w:hAnsi="Arial"/>
          <w:sz w:val="18"/>
          <w:szCs w:val="18"/>
          <w:b w:val="1"/>
          <w:bCs w:val="1"/>
          <w:color w:val="auto"/>
        </w:rPr>
        <w:t>PROPOSAL 1 — AUTHORIZATION FOR THE COMPANY TO SELL ITS COMMON STOCK, PAR VALUE $0.02 PER SHARE, (“COMMON SHARES”) AT A PRICE BELOW THE COMPANY’S THEN CURRENT NET ASSET VALUE PER SHARE IN ONE OR MULTIPLE OFFERINGS (SUBJECT TO CERTAIN CONDITIONS SET FORTH IN THIS PROPOSAL)</w:t>
      </w:r>
    </w:p>
    <w:p>
      <w:pPr>
        <w:spacing w:after="0" w:line="116" w:lineRule="exact"/>
        <w:rPr>
          <w:sz w:val="20"/>
          <w:szCs w:val="20"/>
          <w:color w:val="auto"/>
        </w:rPr>
      </w:pPr>
    </w:p>
    <w:p>
      <w:pPr>
        <w:ind w:left="460" w:right="819" w:firstLine="432"/>
        <w:spacing w:after="0" w:line="291" w:lineRule="auto"/>
        <w:rPr>
          <w:sz w:val="20"/>
          <w:szCs w:val="20"/>
          <w:color w:val="auto"/>
        </w:rPr>
      </w:pPr>
      <w:r>
        <w:rPr>
          <w:rFonts w:ascii="Arial" w:cs="Arial" w:eastAsia="Arial" w:hAnsi="Arial"/>
          <w:sz w:val="16"/>
          <w:szCs w:val="16"/>
          <w:color w:val="auto"/>
        </w:rPr>
        <w:t>Under the 1940 Act, the Company, as a business development company (“BDC”), may not sell its Common Shares at a price below its then current net asset value (“NAV”), exclusive of sales compensation, unless its shareholders approve such a sale and the Board of Directors makes certain determinations. The Company is seeking authorization of its shareholders so that it may, in one or multiple public or private offerings, sell or otherwise issue Common Shares at a price below its then-current NAV, subject to certain conditions discussed below. The Board of Directors believes that having the flexibility to sell its Common Shares below NAV in certain instances is in the best interests of shareholders.</w:t>
      </w:r>
    </w:p>
    <w:p>
      <w:pPr>
        <w:spacing w:after="0" w:line="85"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While the Company has been able to access the capital necessary to finance its investment activities, capital may not be available to it on favorable terms, or at all, in light of the inherent uncertainty and volatility of the financial markets, which uncertainty and volatility has been highlighted by the COVID-19 pandemic. To capitalize on investment opportunities as they arise, the Company needs to be able to maintain consistent access to capital. Flexibility to sell Common Shares below NAV may provide the Company with better access to the capital markets as attractive investment opportunities arise, and improve its ability to grow over time and pay dividends to shareholders. Accordingly, even when the Company’s Common Shares trade at a market price below NAV, this Proposal 1 would permit it to offer and sell its Common Shares in accordance with pricing standards that market conditions generally require, subject to the conditions described below in connection with any offering undertaken pursuant to this Proposal 1. If approved, as required under the 1940 Act, the authorization would be effective for securities sold during a period beginning on the date of such shareholder approval and expiring on the earlier of the one year anniversary of the date of the Meeting, or the date of the Company’s 2021 Annual Meeting of Shareholders.</w:t>
      </w:r>
    </w:p>
    <w:p>
      <w:pPr>
        <w:spacing w:after="0" w:line="106"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The Company has no immediate plans to sell its Common Shares below NAV. However, the Company is seeking shareholder approval for multiple such offerings in order to maintain access to the markets if the Board of Directors determines that the Company should sell Common Shares below NAV. These sales typically must be undertaken quickly. The final terms of any such sale will be determined by the Board of Directors at the time of sale, and it is impracticable to describe the transaction or transactions in which the Company’s Common Shares would be sold at a price below NAV. Instead, any transaction where the Company sells such Common Shares, including the nature and amount of consideration that the Company would receive at the time of sale and the use of any such consideration, will be reviewed and approved by the Board of Directors at the time of sale.</w:t>
      </w:r>
    </w:p>
    <w:p>
      <w:pPr>
        <w:spacing w:after="0" w:line="125" w:lineRule="exact"/>
        <w:rPr>
          <w:sz w:val="20"/>
          <w:szCs w:val="20"/>
          <w:color w:val="auto"/>
        </w:rPr>
      </w:pPr>
    </w:p>
    <w:p>
      <w:pPr>
        <w:ind w:left="460" w:right="559" w:firstLine="432"/>
        <w:spacing w:after="0" w:line="256" w:lineRule="auto"/>
        <w:rPr>
          <w:sz w:val="20"/>
          <w:szCs w:val="20"/>
          <w:color w:val="auto"/>
        </w:rPr>
      </w:pPr>
      <w:r>
        <w:rPr>
          <w:rFonts w:ascii="Arial" w:cs="Arial" w:eastAsia="Arial" w:hAnsi="Arial"/>
          <w:sz w:val="18"/>
          <w:szCs w:val="18"/>
          <w:b w:val="1"/>
          <w:bCs w:val="1"/>
          <w:u w:val="single" w:color="auto"/>
          <w:color w:val="auto"/>
        </w:rPr>
        <w:t>Subject to the condition that the cumulative number of Common Shares issued and sold pursuant to such authority does not exceed 20% of the Company’s then outstanding Common Shares immediately prior to each such sale, there will be no limit on the percentage below NAV at which the Company’s Common Shares may be sold in an offering by the Company under this Proposal 1</w:t>
      </w:r>
      <w:r>
        <w:rPr>
          <w:rFonts w:ascii="Arial" w:cs="Arial" w:eastAsia="Arial" w:hAnsi="Arial"/>
          <w:sz w:val="18"/>
          <w:szCs w:val="18"/>
          <w:b w:val="1"/>
          <w:bCs w:val="1"/>
          <w:color w:val="auto"/>
        </w:rPr>
        <w:t xml:space="preserve">. </w:t>
      </w:r>
      <w:r>
        <w:rPr>
          <w:rFonts w:ascii="Arial" w:cs="Arial" w:eastAsia="Arial" w:hAnsi="Arial"/>
          <w:sz w:val="18"/>
          <w:szCs w:val="18"/>
          <w:color w:val="auto"/>
        </w:rPr>
        <w:t>If Proposal 1 is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no further authorization from the shareholders will be solicited prior to any such sale in accordance with the terms of Proposal 1.</w:t>
      </w:r>
    </w:p>
    <w:p>
      <w:pPr>
        <w:spacing w:after="0" w:line="106" w:lineRule="exact"/>
        <w:rPr>
          <w:sz w:val="20"/>
          <w:szCs w:val="20"/>
          <w:color w:val="auto"/>
        </w:rPr>
      </w:pPr>
    </w:p>
    <w:p>
      <w:pPr>
        <w:ind w:left="460" w:right="719" w:firstLine="432"/>
        <w:spacing w:after="0" w:line="256" w:lineRule="auto"/>
        <w:rPr>
          <w:sz w:val="20"/>
          <w:szCs w:val="20"/>
          <w:color w:val="auto"/>
        </w:rPr>
      </w:pPr>
      <w:r>
        <w:rPr>
          <w:rFonts w:ascii="Arial" w:cs="Arial" w:eastAsia="Arial" w:hAnsi="Arial"/>
          <w:sz w:val="18"/>
          <w:szCs w:val="18"/>
          <w:b w:val="1"/>
          <w:bCs w:val="1"/>
          <w:color w:val="auto"/>
        </w:rPr>
        <w:t>THE BOARD OF DIRECTORS BELIEVES THAT A VOTE “FOR” PROPOSAL 1 TO AUTHORIZE THE COMPANY TO SELL ITS COMMON SHARES AT A PRICE OR PRICES BELOW THE COMPANY’S THEN CURRENT NET ASSET VALUE PER SHARE IN ONE OR MULTIPLE OFFERINGS, SUBJECT TO CERTAIN LIMITATIONS DESCRIBED IN THIS PROXY STATEMENT, AS DESCRIBED HEREIN IS IN THE BEST INTERESTS OF THE COMPANY’S SHAREHOLDERS AND RECOMMENDS A VOTE “FOR” PROPOSAL 1.</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Conditions for Sales below NAV</w:t>
      </w:r>
    </w:p>
    <w:p>
      <w:pPr>
        <w:spacing w:after="0" w:line="162"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 BDC’s ability to issue shares of its common stock at a price below NAV is governed by the 1940 Act. If shareholders approve this Proposal 1, the Company will only sell Company Shares at a price below NAV if the following conditions are met:</w:t>
      </w:r>
    </w:p>
    <w:p>
      <w:pPr>
        <w:spacing w:after="0" w:line="116" w:lineRule="exact"/>
        <w:rPr>
          <w:sz w:val="20"/>
          <w:szCs w:val="20"/>
          <w:color w:val="auto"/>
        </w:rPr>
      </w:pPr>
    </w:p>
    <w:p>
      <w:pPr>
        <w:ind w:left="1320" w:right="599" w:hanging="434"/>
        <w:spacing w:after="0" w:line="286" w:lineRule="auto"/>
        <w:tabs>
          <w:tab w:leader="none" w:pos="1311"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majority of the Company’s directors who are not “interested persons” of the Company as defined in the 1940 Act, and who have no financial interest in the sale, shall have approved the sale and determined that it is in the best interests of the Company and its shareholders;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 w:name="page10"/>
    <w:bookmarkEnd w:id="9"/>
    <w:p>
      <w:pPr>
        <w:ind w:left="1320" w:right="479" w:hanging="434"/>
        <w:spacing w:after="0" w:line="271" w:lineRule="auto"/>
        <w:tabs>
          <w:tab w:leader="none" w:pos="1311"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majority of such directors, who are not interested persons of the Company,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issuance of such securities, that the price at which such securities are to be sold is not less than a price which closely approximates the market value of those securities, less any underwriting commission or discount; and the cumulative number of shares issued and sold does not exceed 20% of the Company’s then outstanding Common Shares immediately prior to each such sale.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 Approval</w:t>
      </w:r>
    </w:p>
    <w:p>
      <w:pPr>
        <w:spacing w:after="0" w:line="14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May 21, 2020, the Board of Directors, including a majority of the non-interested directors who have no financial interest in Proposal 1, approved Proposal 1 as in the best interests of the Company and its shareholders and is recommending that the Company’s shareholders vote in favor of this Proposal 1 to offer and sell the Company’s Common Shares at prices that may be less than NAV. In evaluating Proposal 1, the Company’s Board of Directors, including the non-interested directors, considered and evaluated factors including the following, as discussed more fully below:</w:t>
      </w:r>
    </w:p>
    <w:p>
      <w:pPr>
        <w:spacing w:after="0" w:line="125" w:lineRule="exact"/>
        <w:rPr>
          <w:sz w:val="20"/>
          <w:szCs w:val="20"/>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long-term benefits to the Company’s shareholders;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144"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benefits of a Common Share offering below NAV compared to other possible means for raising capital or concluding not to raise capital;</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size of a Common Share offering in relation to the number of Common Shares outstanding;</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158"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Prior to approving this Proposal 1, the Board of Directors met to consider and evaluate material that the Company’s management provided on the merits of the Company possibly raising additional capital and the merits of publicly offering Common Shares at a price below NAV. The Board of Directors considered the objectives of a possible offering, the mechanics of an offering, establishing size parameters for an offering, the possible effects of dilution, Common Shares trading volume, and other matters, including that the Company’s Common Shares generally have not traded below NAV in recent years until the current COVID-19 impact on the capital markets. The Board of Directors evaluated a full range of offering sizes. However, the Board of Directors has not yet drawn any definite conclusions regarding the size of the any contemplated capital raises at this time, to the extent the Company’s Common Shares may trade below NAV. In determining whether or not to offer and sell Common Shares, including below NAV, the Board of Directors has a duty to act in the Company’s best interests of its shareholders and must comply with the other requirements of the 1940 Act.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Reasons to Offer Common Shares Below NAV</w:t>
      </w:r>
    </w:p>
    <w:p>
      <w:pPr>
        <w:spacing w:after="0" w:line="162"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 Company’s Board of Directors believes that having the flexibility for the Company to sell its Common Shares below NAV in certain instances is in the Company’s best interests and the best interests of its shareholders. Such flexibility will enhance the Company’s ability to expand its business finance platform. If the Company is unable to access the capital markets when attractive investment opportunities arise, the Company’s ability to grow over time and to continue to pay dividends to shareholders could be adversely affected. In reaching that conclusion, the Board of Directors considered the following possible benefits to its shareholders:</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Current Market Conditions May Create Attractive Opportunities</w:t>
      </w:r>
    </w:p>
    <w:p>
      <w:pPr>
        <w:spacing w:after="0" w:line="144"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Current market opportunities may create favorable opportunities to invest, including opportunities that, all else being equal, may increase the Company’s NAV over the longer-term, even if financed with the issuance of Common Shares below NAV. For example, as of the date of this document, the World Health Organization has declared a global pandemic in response to the COVID-19 outbreak, and, for the first time in history, every state in the United States simultaneously has been under a federal disaster declaration. Many states, including those in which the Company and its portfolio companies operate, have issued orders requiring the closure of non-essential businesses and/or requiring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460" w:right="539"/>
        <w:spacing w:after="0" w:line="269" w:lineRule="auto"/>
        <w:rPr>
          <w:sz w:val="20"/>
          <w:szCs w:val="20"/>
          <w:color w:val="auto"/>
        </w:rPr>
      </w:pPr>
      <w:r>
        <w:rPr>
          <w:rFonts w:ascii="Arial" w:cs="Arial" w:eastAsia="Arial" w:hAnsi="Arial"/>
          <w:sz w:val="17"/>
          <w:szCs w:val="17"/>
          <w:color w:val="auto"/>
        </w:rPr>
        <w:t>residents to stay at home. The COVID-19 pandemic and the preventative measures taken to mitigate its spread have caused, and are continuing to cause, business shutdowns, cancellations of events and travel, significant reductions in demand for certain goods and services, reductions in business activity and financial transactions, supply chain disruptions, and overall economic and financial market instability both globally and in the United States. Such effects likely will continue for the duration of the pandemic, which is uncertain, and for some period thereafter. The Company believes that favorable investment opportunities to invest at attractive risk-adjusted returns may be created during this volatile period and during other periods of disruption and volatility. Shareholder approval of this Proposal 1, subject to the conditions detailed below, may provide the Company with the flexibility to expand its business finance platform and invest in the attractive opportunities it believes are presented by current market conditions.</w:t>
      </w:r>
    </w:p>
    <w:p>
      <w:pPr>
        <w:spacing w:after="0" w:line="10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Current market conditions also have beneficial effects for capital providers, including reduced competition, more favorable pricing of credit risk, more conservative capital structures and more creditor-friendly contractual terms. Despite actions of the United States federal government and foreign governments, the uncertainty surrounding the COVID-19 pandemic and other factors have contributed to significant volatility and declines in global public equity markets and global debt capital markets. BDCs as an industry have been trading below NAV. There can be no assurance that these adverse market conditions will not continue or worsen in the future. If adverse market conditions continue or increase in severity and duration, the Company and other companies in the financial services sector may not have access to sufficient debt and equity capital in order to take advantage of attractive investment opportunities. Accordingly, the Company believes that it could benefit from access to capital in this credit market and that the current environment should provide attractive investment opportunities. The Company’s ability to take advantage of these opportunities will depend upon its continued access to capital.</w:t>
      </w:r>
    </w:p>
    <w:p>
      <w:pPr>
        <w:spacing w:after="0" w:line="3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5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Board of Directors believes that additional capital raised through an offering of Common Shares may help it generate additional deal flow. Based on discussions with management, the Board of Directors believes that greater deal flow, which may be achieved with more capital, may enable the Company to be a more significant participant in the private debt and equity markets and to compete more effectively for attractive investment opportunities. Management has represented to the Board of Directors that such investment opportunities may be funded with proceeds of future offerings of Common Shares. However, management has not identified specific companies in which to invest the proceeds of an offering given that specific investment opportunities will change depending on the timing of any offering.</w:t>
      </w:r>
    </w:p>
    <w:p>
      <w:pPr>
        <w:spacing w:after="0" w:line="178" w:lineRule="exact"/>
        <w:rPr>
          <w:sz w:val="20"/>
          <w:szCs w:val="20"/>
          <w:color w:val="auto"/>
        </w:rPr>
      </w:pPr>
    </w:p>
    <w:p>
      <w:pPr>
        <w:ind w:left="880" w:right="1179"/>
        <w:spacing w:after="0" w:line="277" w:lineRule="auto"/>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Shares More Attractive to Investors</w:t>
      </w:r>
    </w:p>
    <w:p>
      <w:pPr>
        <w:spacing w:after="0" w:line="103"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If the Company issues Common Shares, its market capitalization and the amount of its publicly-tradable Common Shares will increase, which may afford all holders of its Common Shares greater liquidity. A larger market capitalization may make the Common Shares more attractive to a larger number of investors who have limitations of the size of companies in which they invest. Furthermore, a larger number of Common Shares outstanding may increase the Common Shares trading volume, which could decrease the volatility in the secondary market price of its Common Shares.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Initiation and Possible Increase of Dividends</w:t>
      </w:r>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growth of its dividend.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58" w:lineRule="exact"/>
        <w:rPr>
          <w:sz w:val="20"/>
          <w:szCs w:val="20"/>
          <w:color w:val="auto"/>
        </w:rPr>
      </w:pPr>
    </w:p>
    <w:p>
      <w:pPr>
        <w:ind w:left="460" w:right="679" w:firstLine="432"/>
        <w:spacing w:after="0" w:line="301" w:lineRule="auto"/>
        <w:rPr>
          <w:sz w:val="20"/>
          <w:szCs w:val="20"/>
          <w:color w:val="auto"/>
        </w:rPr>
      </w:pPr>
      <w:r>
        <w:rPr>
          <w:rFonts w:ascii="Arial" w:cs="Arial" w:eastAsia="Arial" w:hAnsi="Arial"/>
          <w:sz w:val="16"/>
          <w:szCs w:val="16"/>
          <w:color w:val="auto"/>
        </w:rPr>
        <w:t>An offering that increases the Company’s total assets may reduce its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58"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As a BDC, and as a Company that has elected to be treated as a RIC for tax purposes beginning with its tax year ended December 31, 2015, the Company is dependent on its ability to raise capital through the sale of Common</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right="479"/>
        <w:spacing w:after="0" w:line="273" w:lineRule="auto"/>
        <w:rPr>
          <w:sz w:val="20"/>
          <w:szCs w:val="20"/>
          <w:color w:val="auto"/>
        </w:rPr>
      </w:pPr>
      <w:r>
        <w:rPr>
          <w:rFonts w:ascii="Arial" w:cs="Arial" w:eastAsia="Arial" w:hAnsi="Arial"/>
          <w:sz w:val="17"/>
          <w:szCs w:val="17"/>
          <w:color w:val="auto"/>
        </w:rPr>
        <w:t>Shares. RICs generally must distribute substantially all of their earnings from dividends, interest and short-term gains to shareholders as dividends in order to achieve tax treatment as a RIC, which prevents the Company from using those earnings to support new investments. Further, BDCs generally must maintain a debt to equity ratio of less than 1:1, which currently requires the Company to finance its investments with at least as much equity as debt, in the aggregate. On July 26, 2018, the Company’s shareholders approved a proposal that permits the Company to be subject to a debt to equity ratio of 2:1, effective July 27, 2018.</w:t>
      </w:r>
    </w:p>
    <w:p>
      <w:pPr>
        <w:spacing w:after="0" w:line="97"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Exceeding the applicable debt to equity ratio could have negative consequences for the Company, including the inability to pay dividends, breach of covenants and failure to qualify for tax treatment as a RIC. The COVID-19 pandemic has adversely impacted the valuations of assets and created unrealized losses across the BDC industry. Any write downs in value, as well as unrealized losses based on the underlying performance of the Company’s portfolio companies will negatively impact stockholders’ equity and the resulting debt to equity ratio. Issuing additional equity would allow the Company to realign its debt to equity ratio and avoid these negative consequences.</w:t>
      </w:r>
    </w:p>
    <w:p>
      <w:pPr>
        <w:spacing w:after="0" w:line="127"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To continue to build the Company’s investment portfolio, and thereby support maintenance and growth of the Company’s dividends, the Company endeavors to maintain consistent access to capital through the public and private equity markets to enable it to take advantage of investment opportunities as they arise.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The possibility that the Company’s Common Shares will trade at a discount from NAV, or at premiums that are unsustainable over the long term, are separate and distinct from the risk that the Company’s NAV will decrease. The Company’s Common Shares have traded at a price both above and below their NAV since they began trading on the Nasdaq Global Market. It is not possible to predict whether the Company’s Common Shares will trade at, above, or below NAV. The following table sets forth, for the two most recent fiscal years and the current fiscal year, the range of high and low sales prices of the Company’s Common Shares as reported on the Nasdaq Global Market, the Company’s NAV per share, the premium (discount) of high sales price to NAV and the premium (discount) of low sales price to NAV:</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Premium</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3"/>
              </w:rPr>
              <w:t>Premium</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6"/>
            <w:vMerge w:val="restart"/>
          </w:tcPr>
          <w:p>
            <w:pPr>
              <w:jc w:val="right"/>
              <w:ind w:right="560"/>
              <w:spacing w:after="0"/>
              <w:rPr>
                <w:sz w:val="20"/>
                <w:szCs w:val="20"/>
                <w:color w:val="auto"/>
              </w:rPr>
            </w:pPr>
            <w:r>
              <w:rPr>
                <w:rFonts w:ascii="Arial" w:cs="Arial" w:eastAsia="Arial" w:hAnsi="Arial"/>
                <w:sz w:val="16"/>
                <w:szCs w:val="16"/>
                <w:b w:val="1"/>
                <w:bCs w:val="1"/>
                <w:color w:val="auto"/>
              </w:rPr>
              <w:t>Price Range</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(Discount)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(Discount)</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6"/>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of High</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3"/>
              </w:rPr>
              <w:t>of Low</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5"/>
              </w:rPr>
              <w:t>Sales</w:t>
            </w:r>
          </w:p>
        </w:tc>
        <w:tc>
          <w:tcPr>
            <w:tcW w:w="10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5"/>
              </w:rPr>
              <w:t>Sales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Price to</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Price to</w:t>
            </w:r>
          </w:p>
        </w:tc>
        <w:tc>
          <w:tcPr>
            <w:tcW w:w="0" w:type="dxa"/>
            <w:vAlign w:val="bottom"/>
          </w:tcPr>
          <w:p>
            <w:pPr>
              <w:spacing w:after="0"/>
              <w:rPr>
                <w:sz w:val="1"/>
                <w:szCs w:val="1"/>
                <w:color w:val="auto"/>
              </w:rPr>
            </w:pPr>
          </w:p>
        </w:tc>
      </w:tr>
      <w:tr>
        <w:trPr>
          <w:trHeight w:val="253"/>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rPr>
              <w:t>Period</w:t>
            </w:r>
          </w:p>
        </w:tc>
        <w:tc>
          <w:tcPr>
            <w:tcW w:w="160" w:type="dxa"/>
            <w:vAlign w:val="bottom"/>
          </w:tcPr>
          <w:p>
            <w:pPr>
              <w:spacing w:after="0"/>
              <w:rPr>
                <w:sz w:val="21"/>
                <w:szCs w:val="21"/>
                <w:color w:val="auto"/>
              </w:rPr>
            </w:pPr>
          </w:p>
        </w:tc>
        <w:tc>
          <w:tcPr>
            <w:tcW w:w="720" w:type="dxa"/>
            <w:vAlign w:val="bottom"/>
            <w:gridSpan w:val="2"/>
          </w:tcPr>
          <w:p>
            <w:pPr>
              <w:ind w:left="80"/>
              <w:spacing w:after="0"/>
              <w:rPr>
                <w:sz w:val="20"/>
                <w:szCs w:val="20"/>
                <w:color w:val="auto"/>
              </w:rPr>
            </w:pPr>
            <w:r>
              <w:rPr>
                <w:rFonts w:ascii="Arial" w:cs="Arial" w:eastAsia="Arial" w:hAnsi="Arial"/>
                <w:sz w:val="16"/>
                <w:szCs w:val="16"/>
                <w:b w:val="1"/>
                <w:bCs w:val="1"/>
                <w:color w:val="auto"/>
              </w:rPr>
              <w:t>High</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Low</w:t>
            </w:r>
          </w:p>
        </w:tc>
        <w:tc>
          <w:tcPr>
            <w:tcW w:w="14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Arial" w:cs="Arial" w:eastAsia="Arial" w:hAnsi="Arial"/>
                <w:sz w:val="16"/>
                <w:szCs w:val="16"/>
                <w:b w:val="1"/>
                <w:bCs w:val="1"/>
                <w:color w:val="auto"/>
              </w:rPr>
              <w:t>NAV</w:t>
            </w:r>
            <w:r>
              <w:rPr>
                <w:rFonts w:ascii="Arial" w:cs="Arial" w:eastAsia="Arial" w:hAnsi="Arial"/>
                <w:sz w:val="18"/>
                <w:szCs w:val="18"/>
                <w:b w:val="1"/>
                <w:bCs w:val="1"/>
                <w:color w:val="auto"/>
                <w:vertAlign w:val="superscript"/>
              </w:rPr>
              <w:t>(1)</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NAV</w:t>
            </w:r>
            <w:r>
              <w:rPr>
                <w:rFonts w:ascii="Arial" w:cs="Arial" w:eastAsia="Arial" w:hAnsi="Arial"/>
                <w:sz w:val="18"/>
                <w:szCs w:val="18"/>
                <w:b w:val="1"/>
                <w:bCs w:val="1"/>
                <w:color w:val="auto"/>
                <w:w w:val="90"/>
                <w:vertAlign w:val="superscript"/>
              </w:rPr>
              <w:t>(2)</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NAV</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199"/>
        </w:trPr>
        <w:tc>
          <w:tcPr>
            <w:tcW w:w="32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First Quarter: January 1, 2018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Through March 31, 2018</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April 1, 2018</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Through June 30, 2018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20.76</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15.06</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Third Quarter: July 1, 2018</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Through September 30, 2018</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24.24</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Fourth Quarter: October 1, 2018</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Through December 31, 2018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15.19</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Quarter: January 1, 2019</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Through March 31, 2019</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20.74</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April 1, 2019</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Through June 30, 2019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23.83</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15.33</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Third Quarter: July 1, 2019</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Through September 30, 2019</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23.99</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Fourth Quarter: October 1, 2019</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Through December 31, 2019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23.73</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15.70</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Quarter: January 1, 2020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Through March 31, 2020</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23.09</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April 1, 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Through May 21, 2020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16.80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499" w:hanging="426"/>
        <w:spacing w:after="0" w:line="278"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NAV per share is determined as of the last day in the relevant quarter and therefore may not reflect the NAV per share on the date of the high and low sales prices. The values reflect shareholders’ equity per share/NAV and are based on outstanding shares at the end of each period.</w:t>
      </w:r>
    </w:p>
    <w:p>
      <w:pPr>
        <w:sectPr>
          <w:pgSz w:w="11900" w:h="16838" w:orient="portrait"/>
          <w:cols w:equalWidth="0" w:num="1">
            <w:col w:w="9019"/>
          </w:cols>
          <w:pgMar w:left="1440" w:top="274"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880" w:right="519" w:hanging="426"/>
        <w:spacing w:after="0" w:line="266"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Calculated as the respective high or low sales price less NAV or shareholders’ equity per share, as applicable, divided by NAV or shareholders’ equity per share, as applicable and subtracting 1.</w:t>
      </w:r>
    </w:p>
    <w:p>
      <w:pPr>
        <w:spacing w:after="0" w:line="1" w:lineRule="exact"/>
        <w:rPr>
          <w:sz w:val="20"/>
          <w:szCs w:val="20"/>
          <w:color w:val="auto"/>
        </w:rPr>
      </w:pPr>
    </w:p>
    <w:p>
      <w:pPr>
        <w:ind w:left="860" w:hanging="406"/>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Not determinable at time of filing.</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Shareholder Considerations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Dilution</w:t>
      </w:r>
    </w:p>
    <w:p>
      <w:pPr>
        <w:spacing w:after="0" w:line="158"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Before voting on this Proposal 1 or giving proxies with regard to this matter, shareholders should consider the potentially dilutive effect of the issuance of the Company’s Common Shares at a price that is less than the NAV per share and the expenses associated with such issuance on the NAV per outstanding Common Shares. Any sale of Common Shares at a price below NAV would result in an immediate decrease (often called dilution) in the NAV of the Common Shares held by existing common shareholders. This dilution would include reduction in the NAV per share as a result of the issuance of shares at a price below the NAV per share and a disproportionately greater decrease in a shareholder’s interest in the earnings and assets of the Company and voting interest in the Company than the increase in the assets of the Company resulting from such issuance.</w:t>
      </w:r>
    </w:p>
    <w:p>
      <w:pPr>
        <w:spacing w:after="0" w:line="1" w:lineRule="exact"/>
        <w:rPr>
          <w:sz w:val="20"/>
          <w:szCs w:val="20"/>
          <w:color w:val="auto"/>
        </w:rPr>
      </w:pPr>
    </w:p>
    <w:p>
      <w:pPr>
        <w:ind w:left="460" w:right="499"/>
        <w:spacing w:after="0" w:line="269" w:lineRule="auto"/>
        <w:rPr>
          <w:sz w:val="20"/>
          <w:szCs w:val="20"/>
          <w:color w:val="auto"/>
        </w:rPr>
      </w:pPr>
      <w:r>
        <w:rPr>
          <w:rFonts w:ascii="Arial" w:cs="Arial" w:eastAsia="Arial" w:hAnsi="Arial"/>
          <w:sz w:val="17"/>
          <w:szCs w:val="17"/>
          <w:b w:val="1"/>
          <w:bCs w:val="1"/>
          <w:u w:val="single" w:color="auto"/>
          <w:color w:val="auto"/>
        </w:rPr>
        <w:t>Subject to the condition that the cumulative number of Common Shares issued and sold pursuant to such authority does not exceed 20% of the Company’s then outstanding Common Shares immediately prior to each such sale, there will be no limit on the percentage below NAV at which Common Shares may be sold in an offering by the Company under this Proposal 1.</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of the Company will consider</w:t>
      </w:r>
      <w:r>
        <w:rPr>
          <w:rFonts w:ascii="Arial" w:cs="Arial" w:eastAsia="Arial" w:hAnsi="Arial"/>
          <w:sz w:val="17"/>
          <w:szCs w:val="17"/>
          <w:b w:val="1"/>
          <w:bCs w:val="1"/>
          <w:color w:val="auto"/>
        </w:rPr>
        <w:t xml:space="preserve"> </w:t>
      </w:r>
      <w:r>
        <w:rPr>
          <w:rFonts w:ascii="Arial" w:cs="Arial" w:eastAsia="Arial" w:hAnsi="Arial"/>
          <w:sz w:val="17"/>
          <w:szCs w:val="17"/>
          <w:color w:val="auto"/>
        </w:rPr>
        <w:t>the potential dilutive effect of the issuance of Common Shares at a price below the NAV per share and will consider again such dilutive effect when considering whether to authorize any specific issuance of Common Shares below NAV.</w:t>
      </w:r>
    </w:p>
    <w:p>
      <w:pPr>
        <w:spacing w:after="0" w:line="99"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In addition, shareholders should consider the risk that the approval of this Proposal 1 could cause the market price of the Company’s Common Shares to decline in anticipation of sales of its Common Shares below NAV, thus causing the Company’s Common Shares to trade at a discount to NAV. The 1940 Act establishes a connection between common share sale price and NAV because, when common shares are sold at a sale price below NAV per share, the resulting increase in the number of outstanding shares reduces NAV per share. Shareholders should also consider that they will have no subscription, preferential or preemptive rights to additional Common Shares proposed to be authorized for issuance, and thus any future issuance of Common Shares will dilute such shareholders’ holdings of Common Shares as a percentage of the Company’s Common Shares outstanding to the extent shareholders do not purchase sufficient Common Shares in the offering or otherwise to maintain their percentage interest. Further, if current shareholders of the Company do not purchase any Common Shares to maintain their percentage interest, regardless of whether such offering is above or below the then-current NAV, their voting power will be diluted.</w:t>
      </w:r>
    </w:p>
    <w:p>
      <w:pPr>
        <w:spacing w:after="0" w:line="100"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precise extent of any such dilution cannot be estimated before the terms of a Common Share offering are set. As a general proposition, however, the amount of potential dilution will increase as the size of the offering increases. Another factor that will influence the amount of dilution in an offering is the amount of net proceeds that the Company receives from such offering. The Board of Directors would expect that the net proceeds to the Company will be equal to the price that investors pay per share less the amount of any underwriting discounts and commissions.</w:t>
      </w:r>
    </w:p>
    <w:p>
      <w:pPr>
        <w:spacing w:after="0" w:line="125"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As discussed above, it should be noted that the cumulative number of Common Shares issued and sold from an offering of Company’s Common Shares will not exceed 20% of the Company’s then outstanding Common Shares immediately prior to each such sale.</w:t>
      </w:r>
    </w:p>
    <w:p>
      <w:pPr>
        <w:spacing w:after="0" w:line="103"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The tables below provide hypothetical examples of the impact that an offering at a price less than NAV per share may have on the NAV per share of shareholders and investors who do and do not participate in such an offering. However, the tables below do not show, nor are they intended to show, any potential changes in market price that may occur from an offering at a price less than NAV per share and it is not possible to predict any potential market price change that may occur from such an offering.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b w:val="1"/>
          <w:bCs w:val="1"/>
          <w:color w:val="auto"/>
        </w:rPr>
        <w:t>Impact on Existing Shareholders Who Do Not Participate in an Offering of Common Shares</w:t>
      </w:r>
    </w:p>
    <w:p>
      <w:pPr>
        <w:spacing w:after="0" w:line="162" w:lineRule="exact"/>
        <w:rPr>
          <w:sz w:val="20"/>
          <w:szCs w:val="20"/>
          <w:color w:val="auto"/>
        </w:rPr>
      </w:pPr>
    </w:p>
    <w:p>
      <w:pPr>
        <w:ind w:left="460" w:right="1000" w:firstLine="432"/>
        <w:spacing w:after="0" w:line="288" w:lineRule="auto"/>
        <w:rPr>
          <w:sz w:val="20"/>
          <w:szCs w:val="20"/>
          <w:color w:val="auto"/>
        </w:rPr>
      </w:pPr>
      <w:r>
        <w:rPr>
          <w:rFonts w:ascii="Arial" w:cs="Arial" w:eastAsia="Arial" w:hAnsi="Arial"/>
          <w:sz w:val="16"/>
          <w:szCs w:val="16"/>
          <w:color w:val="auto"/>
        </w:rPr>
        <w:t>The Company’s existing shareholders who do not participate in an offering below net asset value per share or who do not buy additional Common Shares in the secondary market at the same or lower price the Company obtains in the offering (after expenses and commissions) face the greatest potential risk of an immediate decrease (often called dilution) in the net asset value of the Common Shares they hold and their net asset value per share. These shareholders will experience a disproportionately greater decrease in their participation in the Company’s earnings and assets and their voting power than the increase the Company will experience in its assets, potential earning power and voting interests due to the offering. These shareholders also may experience a decline in the market price of their Common Shares, which often reflects to some degree announced or potential increases and decreases in net asset value per share. This decrease could be more pronounced as the size of the offering and level of discounts increases.</w:t>
      </w:r>
    </w:p>
    <w:p>
      <w:pPr>
        <w:spacing w:after="0" w:line="87" w:lineRule="exact"/>
        <w:rPr>
          <w:sz w:val="20"/>
          <w:szCs w:val="20"/>
          <w:color w:val="auto"/>
        </w:rPr>
      </w:pPr>
    </w:p>
    <w:p>
      <w:pPr>
        <w:ind w:left="460" w:right="1280" w:firstLine="432"/>
        <w:spacing w:after="0" w:line="311" w:lineRule="auto"/>
        <w:rPr>
          <w:sz w:val="20"/>
          <w:szCs w:val="20"/>
          <w:color w:val="auto"/>
        </w:rPr>
      </w:pPr>
      <w:r>
        <w:rPr>
          <w:rFonts w:ascii="Arial" w:cs="Arial" w:eastAsia="Arial" w:hAnsi="Arial"/>
          <w:sz w:val="16"/>
          <w:szCs w:val="16"/>
          <w:color w:val="auto"/>
        </w:rPr>
        <w:t>The following chart illustrates the level of net asset value dilution that would be experienced by a nonparticipating shareholder in three different hypothetical offerings of different sizes and levels of discount from net asset value per share. It is not possible to predict the level of market price decline that may occur.</w:t>
      </w:r>
    </w:p>
    <w:p>
      <w:pPr>
        <w:spacing w:after="0" w:line="81" w:lineRule="exact"/>
        <w:rPr>
          <w:sz w:val="20"/>
          <w:szCs w:val="20"/>
          <w:color w:val="auto"/>
        </w:rPr>
      </w:pPr>
    </w:p>
    <w:p>
      <w:pPr>
        <w:ind w:left="460" w:right="1000" w:firstLine="432"/>
        <w:spacing w:after="0" w:line="288" w:lineRule="auto"/>
        <w:rPr>
          <w:sz w:val="20"/>
          <w:szCs w:val="20"/>
          <w:color w:val="auto"/>
        </w:rPr>
      </w:pPr>
      <w:r>
        <w:rPr>
          <w:rFonts w:ascii="Arial" w:cs="Arial" w:eastAsia="Arial" w:hAnsi="Arial"/>
          <w:sz w:val="16"/>
          <w:szCs w:val="16"/>
          <w:color w:val="auto"/>
        </w:rPr>
        <w:t>The examples assume that the issuer has 20,838,000 Common Shares outstanding, $791,477,000 in total assets and $479,012,000 in total liabilities. The current net asset value and net asset value per share are thus $312,465,000 and $15.00. The chart illustrates the dilutive effect on Shareholder A of (1) an offering of 1,041,900 Common Shares (5% of the outstanding Common Shares) at $14.25 per share after offering expenses and commission (a 5% discount from net asset value), (2) an offering of 2,083,800 Common Shares (10% of the outstanding Common Shares) at $13.50 per share after offering expenses and commissions (a 10% discount from net asset value), (3) an offering of 4,167,600 Common Shares (20% of the outstanding Common Shares) at $12.00 per share after offering expenses and commissions (a 20% discount from net asset value) and (4) an offering of 4,167,600 Common Shares (20% of the outstanding Common Shares) at $0.02 per share after offering expenses and commissions (a 100% discount from net asset value).</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Example 1</w:t>
            </w:r>
          </w:p>
        </w:tc>
        <w:tc>
          <w:tcPr>
            <w:tcW w:w="80" w:type="dxa"/>
            <w:vAlign w:val="bottom"/>
          </w:tcPr>
          <w:p>
            <w:pPr>
              <w:spacing w:after="0"/>
              <w:rPr>
                <w:sz w:val="14"/>
                <w:szCs w:val="14"/>
                <w:color w:val="auto"/>
              </w:rPr>
            </w:pPr>
          </w:p>
        </w:tc>
        <w:tc>
          <w:tcPr>
            <w:tcW w:w="148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5"/>
              </w:rPr>
              <w:t>Example 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Example 3</w:t>
            </w:r>
          </w:p>
        </w:tc>
        <w:tc>
          <w:tcPr>
            <w:tcW w:w="80" w:type="dxa"/>
            <w:vAlign w:val="bottom"/>
          </w:tcPr>
          <w:p>
            <w:pPr>
              <w:spacing w:after="0"/>
              <w:rPr>
                <w:sz w:val="14"/>
                <w:szCs w:val="14"/>
                <w:color w:val="auto"/>
              </w:rPr>
            </w:pPr>
          </w:p>
        </w:tc>
        <w:tc>
          <w:tcPr>
            <w:tcW w:w="1520" w:type="dxa"/>
            <w:vAlign w:val="bottom"/>
            <w:gridSpan w:val="3"/>
          </w:tcPr>
          <w:p>
            <w:pPr>
              <w:jc w:val="center"/>
              <w:ind w:right="42"/>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5% Offering at</w:t>
            </w:r>
          </w:p>
        </w:tc>
        <w:tc>
          <w:tcPr>
            <w:tcW w:w="80" w:type="dxa"/>
            <w:vAlign w:val="bottom"/>
          </w:tcPr>
          <w:p>
            <w:pPr>
              <w:spacing w:after="0"/>
              <w:rPr>
                <w:sz w:val="12"/>
                <w:szCs w:val="12"/>
                <w:color w:val="auto"/>
              </w:rPr>
            </w:pPr>
          </w:p>
        </w:tc>
        <w:tc>
          <w:tcPr>
            <w:tcW w:w="148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7"/>
              </w:rPr>
              <w:t>10% Offering at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20% Offering at</w:t>
            </w:r>
          </w:p>
        </w:tc>
        <w:tc>
          <w:tcPr>
            <w:tcW w:w="80" w:type="dxa"/>
            <w:vAlign w:val="bottom"/>
          </w:tcPr>
          <w:p>
            <w:pPr>
              <w:spacing w:after="0"/>
              <w:rPr>
                <w:sz w:val="12"/>
                <w:szCs w:val="12"/>
                <w:color w:val="auto"/>
              </w:rPr>
            </w:pPr>
          </w:p>
        </w:tc>
        <w:tc>
          <w:tcPr>
            <w:tcW w:w="1520" w:type="dxa"/>
            <w:vAlign w:val="bottom"/>
            <w:gridSpan w:val="3"/>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20% Offering at</w:t>
            </w:r>
          </w:p>
        </w:tc>
        <w:tc>
          <w:tcPr>
            <w:tcW w:w="0" w:type="dxa"/>
            <w:vAlign w:val="bottom"/>
          </w:tcPr>
          <w:p>
            <w:pPr>
              <w:spacing w:after="0"/>
              <w:rPr>
                <w:sz w:val="1"/>
                <w:szCs w:val="1"/>
                <w:color w:val="auto"/>
              </w:rPr>
            </w:pPr>
          </w:p>
        </w:tc>
      </w:tr>
      <w:tr>
        <w:trPr>
          <w:trHeight w:val="186"/>
        </w:trPr>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5% Discount</w:t>
            </w:r>
          </w:p>
        </w:tc>
        <w:tc>
          <w:tcPr>
            <w:tcW w:w="80" w:type="dxa"/>
            <w:vAlign w:val="bottom"/>
          </w:tcPr>
          <w:p>
            <w:pPr>
              <w:spacing w:after="0"/>
              <w:rPr>
                <w:sz w:val="16"/>
                <w:szCs w:val="16"/>
                <w:color w:val="auto"/>
              </w:rPr>
            </w:pPr>
          </w:p>
        </w:tc>
        <w:tc>
          <w:tcPr>
            <w:tcW w:w="1480" w:type="dxa"/>
            <w:vAlign w:val="bottom"/>
            <w:gridSpan w:val="3"/>
          </w:tcPr>
          <w:p>
            <w:pPr>
              <w:jc w:val="center"/>
              <w:ind w:right="1"/>
              <w:spacing w:after="0"/>
              <w:rPr>
                <w:sz w:val="20"/>
                <w:szCs w:val="20"/>
                <w:color w:val="auto"/>
              </w:rPr>
            </w:pPr>
            <w:r>
              <w:rPr>
                <w:rFonts w:ascii="Arial" w:cs="Arial" w:eastAsia="Arial" w:hAnsi="Arial"/>
                <w:sz w:val="14"/>
                <w:szCs w:val="14"/>
                <w:b w:val="1"/>
                <w:bCs w:val="1"/>
                <w:color w:val="auto"/>
                <w:w w:val="95"/>
              </w:rPr>
              <w:t>10% Discount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20% Discount</w:t>
            </w:r>
          </w:p>
        </w:tc>
        <w:tc>
          <w:tcPr>
            <w:tcW w:w="80" w:type="dxa"/>
            <w:vAlign w:val="bottom"/>
          </w:tcPr>
          <w:p>
            <w:pPr>
              <w:spacing w:after="0"/>
              <w:rPr>
                <w:sz w:val="16"/>
                <w:szCs w:val="16"/>
                <w:color w:val="auto"/>
              </w:rPr>
            </w:pPr>
          </w:p>
        </w:tc>
        <w:tc>
          <w:tcPr>
            <w:tcW w:w="1520" w:type="dxa"/>
            <w:vAlign w:val="bottom"/>
            <w:gridSpan w:val="3"/>
          </w:tcPr>
          <w:p>
            <w:pPr>
              <w:jc w:val="center"/>
              <w:ind w:right="22"/>
              <w:spacing w:after="0"/>
              <w:rPr>
                <w:sz w:val="20"/>
                <w:szCs w:val="20"/>
                <w:color w:val="auto"/>
              </w:rPr>
            </w:pPr>
            <w:r>
              <w:rPr>
                <w:rFonts w:ascii="Arial" w:cs="Arial" w:eastAsia="Arial" w:hAnsi="Arial"/>
                <w:sz w:val="14"/>
                <w:szCs w:val="14"/>
                <w:b w:val="1"/>
                <w:bCs w:val="1"/>
                <w:color w:val="auto"/>
                <w:w w:val="94"/>
              </w:rPr>
              <w:t>100% Discount</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Prior to</w:t>
            </w: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6"/>
              </w:rPr>
              <w:t>Prior to Sale Below NAV</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Following</w:t>
            </w:r>
          </w:p>
        </w:tc>
        <w:tc>
          <w:tcPr>
            <w:tcW w:w="540" w:type="dxa"/>
            <w:vAlign w:val="bottom"/>
          </w:tcPr>
          <w:p>
            <w:pPr>
              <w:jc w:val="right"/>
              <w:ind w:right="142"/>
              <w:spacing w:after="0" w:line="11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Following</w:t>
            </w:r>
          </w:p>
        </w:tc>
        <w:tc>
          <w:tcPr>
            <w:tcW w:w="560" w:type="dxa"/>
            <w:vAlign w:val="bottom"/>
          </w:tcPr>
          <w:p>
            <w:pPr>
              <w:jc w:val="right"/>
              <w:ind w:right="141"/>
              <w:spacing w:after="0" w:line="11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6"/>
        </w:trPr>
        <w:tc>
          <w:tcPr>
            <w:tcW w:w="1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Arial" w:cs="Arial" w:eastAsia="Arial" w:hAnsi="Arial"/>
                <w:sz w:val="14"/>
                <w:szCs w:val="14"/>
                <w:b w:val="1"/>
                <w:bCs w:val="1"/>
                <w:color w:val="auto"/>
              </w:rPr>
              <w:t>Sale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Sale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7"/>
              </w:rPr>
              <w:t>Change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Sale</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Sale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
        </w:trPr>
        <w:tc>
          <w:tcPr>
            <w:tcW w:w="1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Offering Price</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580" w:type="dxa"/>
            <w:vAlign w:val="bottom"/>
          </w:tcPr>
          <w:p>
            <w:pPr>
              <w:spacing w:after="0"/>
              <w:rPr>
                <w:sz w:val="20"/>
                <w:szCs w:val="20"/>
                <w:color w:val="auto"/>
              </w:rPr>
            </w:pPr>
            <w:r>
              <w:rPr>
                <w:rFonts w:ascii="Arial" w:cs="Arial" w:eastAsia="Arial" w:hAnsi="Arial"/>
                <w:sz w:val="16"/>
                <w:szCs w:val="16"/>
                <w:color w:val="auto"/>
              </w:rPr>
              <w:t>Price per Share to</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180"/>
              <w:spacing w:after="0"/>
              <w:rPr>
                <w:sz w:val="20"/>
                <w:szCs w:val="20"/>
                <w:color w:val="auto"/>
              </w:rPr>
            </w:pPr>
            <w:r>
              <w:rPr>
                <w:rFonts w:ascii="Arial" w:cs="Arial" w:eastAsia="Arial" w:hAnsi="Arial"/>
                <w:sz w:val="16"/>
                <w:szCs w:val="16"/>
                <w:color w:val="auto"/>
              </w:rPr>
              <w:t>Public</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15.00</w:t>
            </w:r>
          </w:p>
        </w:tc>
        <w:tc>
          <w:tcPr>
            <w:tcW w:w="4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14.21</w:t>
            </w:r>
          </w:p>
        </w:tc>
        <w:tc>
          <w:tcPr>
            <w:tcW w:w="40" w:type="dxa"/>
            <w:vAlign w:val="bottom"/>
          </w:tcPr>
          <w:p>
            <w:pPr>
              <w:spacing w:after="0"/>
              <w:rPr>
                <w:sz w:val="17"/>
                <w:szCs w:val="17"/>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12.63</w:t>
            </w:r>
          </w:p>
        </w:tc>
        <w:tc>
          <w:tcPr>
            <w:tcW w:w="6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0.02</w:t>
            </w:r>
          </w:p>
        </w:tc>
        <w:tc>
          <w:tcPr>
            <w:tcW w:w="60" w:type="dxa"/>
            <w:vAlign w:val="bottom"/>
          </w:tcPr>
          <w:p>
            <w:pPr>
              <w:spacing w:after="0"/>
              <w:rPr>
                <w:sz w:val="17"/>
                <w:szCs w:val="17"/>
                <w:color w:val="auto"/>
              </w:rPr>
            </w:pPr>
          </w:p>
        </w:tc>
        <w:tc>
          <w:tcPr>
            <w:tcW w:w="6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w w:val="90"/>
              </w:rPr>
              <w:t>Net Proceeds per Share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 Issuer</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14.25</w:t>
            </w:r>
          </w:p>
        </w:tc>
        <w:tc>
          <w:tcPr>
            <w:tcW w:w="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13.50</w:t>
            </w: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12.00</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0.02</w:t>
            </w: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580" w:type="dxa"/>
            <w:vAlign w:val="bottom"/>
          </w:tcPr>
          <w:p>
            <w:pPr>
              <w:spacing w:after="0"/>
              <w:rPr>
                <w:sz w:val="20"/>
                <w:szCs w:val="20"/>
                <w:color w:val="auto"/>
              </w:rPr>
            </w:pPr>
            <w:r>
              <w:rPr>
                <w:rFonts w:ascii="Arial" w:cs="Arial" w:eastAsia="Arial" w:hAnsi="Arial"/>
                <w:sz w:val="16"/>
                <w:szCs w:val="16"/>
                <w:b w:val="1"/>
                <w:bCs w:val="1"/>
                <w:i w:val="1"/>
                <w:iCs w:val="1"/>
                <w:color w:val="auto"/>
                <w:w w:val="92"/>
              </w:rPr>
              <w:t>Decrease to Net Asset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180"/>
              <w:spacing w:after="0"/>
              <w:rPr>
                <w:sz w:val="20"/>
                <w:szCs w:val="20"/>
                <w:color w:val="auto"/>
              </w:rPr>
            </w:pPr>
            <w:r>
              <w:rPr>
                <w:rFonts w:ascii="Arial" w:cs="Arial" w:eastAsia="Arial" w:hAnsi="Arial"/>
                <w:sz w:val="16"/>
                <w:szCs w:val="16"/>
                <w:b w:val="1"/>
                <w:bCs w:val="1"/>
                <w:i w:val="1"/>
                <w:iCs w:val="1"/>
                <w:color w:val="auto"/>
              </w:rPr>
              <w:t>Value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Total Shares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Outstanding</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20,838,000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w w:val="89"/>
              </w:rPr>
              <w:t>21,879,900</w:t>
            </w: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w w:val="89"/>
              </w:rPr>
              <w:t>22,921,800</w:t>
            </w: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10.00%</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w w:val="87"/>
              </w:rPr>
              <w:t>25,005,600</w:t>
            </w: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20.00%</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w w:val="87"/>
              </w:rPr>
              <w:t>25,005,600</w:t>
            </w: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20.00%</w:t>
            </w:r>
          </w:p>
        </w:tc>
        <w:tc>
          <w:tcPr>
            <w:tcW w:w="0" w:type="dxa"/>
            <w:vAlign w:val="bottom"/>
          </w:tcPr>
          <w:p>
            <w:pPr>
              <w:spacing w:after="0"/>
              <w:rPr>
                <w:sz w:val="1"/>
                <w:szCs w:val="1"/>
                <w:color w:val="auto"/>
              </w:rPr>
            </w:pPr>
          </w:p>
        </w:tc>
      </w:tr>
      <w:tr>
        <w:trPr>
          <w:trHeight w:val="193"/>
        </w:trPr>
        <w:tc>
          <w:tcPr>
            <w:tcW w:w="1580" w:type="dxa"/>
            <w:vAlign w:val="bottom"/>
          </w:tcPr>
          <w:p>
            <w:pPr>
              <w:spacing w:after="0"/>
              <w:rPr>
                <w:sz w:val="20"/>
                <w:szCs w:val="20"/>
                <w:color w:val="auto"/>
              </w:rPr>
            </w:pPr>
            <w:r>
              <w:rPr>
                <w:rFonts w:ascii="Arial" w:cs="Arial" w:eastAsia="Arial" w:hAnsi="Arial"/>
                <w:sz w:val="16"/>
                <w:szCs w:val="16"/>
                <w:color w:val="auto"/>
              </w:rPr>
              <w:t>Net Asset Value per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180"/>
              <w:spacing w:after="0"/>
              <w:rPr>
                <w:sz w:val="20"/>
                <w:szCs w:val="20"/>
                <w:color w:val="auto"/>
              </w:rPr>
            </w:pPr>
            <w:r>
              <w:rPr>
                <w:rFonts w:ascii="Arial" w:cs="Arial" w:eastAsia="Arial" w:hAnsi="Arial"/>
                <w:sz w:val="16"/>
                <w:szCs w:val="16"/>
                <w:color w:val="auto"/>
              </w:rPr>
              <w:t>Share</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15.00</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14.96</w:t>
            </w:r>
          </w:p>
        </w:tc>
        <w:tc>
          <w:tcPr>
            <w:tcW w:w="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w w:val="92"/>
              </w:rPr>
              <w:t>(0.27)% $</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14.86</w:t>
            </w:r>
          </w:p>
        </w:tc>
        <w:tc>
          <w:tcPr>
            <w:tcW w:w="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w w:val="97"/>
              </w:rPr>
              <w:t>(0.94)% $</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14.50</w:t>
            </w:r>
          </w:p>
        </w:tc>
        <w:tc>
          <w:tcPr>
            <w:tcW w:w="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(3.36)% $</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12.50</w:t>
            </w: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(16.67)%</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Nonparticipating</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Stockholder</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580" w:type="dxa"/>
            <w:vAlign w:val="bottom"/>
          </w:tcPr>
          <w:p>
            <w:pPr>
              <w:spacing w:after="0"/>
              <w:rPr>
                <w:sz w:val="20"/>
                <w:szCs w:val="20"/>
                <w:color w:val="auto"/>
              </w:rPr>
            </w:pPr>
            <w:r>
              <w:rPr>
                <w:rFonts w:ascii="Arial" w:cs="Arial" w:eastAsia="Arial" w:hAnsi="Arial"/>
                <w:sz w:val="16"/>
                <w:szCs w:val="16"/>
                <w:color w:val="auto"/>
              </w:rPr>
              <w:t>Shares Held by</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180"/>
              <w:spacing w:after="0"/>
              <w:rPr>
                <w:sz w:val="20"/>
                <w:szCs w:val="20"/>
                <w:color w:val="auto"/>
              </w:rPr>
            </w:pPr>
            <w:r>
              <w:rPr>
                <w:rFonts w:ascii="Arial" w:cs="Arial" w:eastAsia="Arial" w:hAnsi="Arial"/>
                <w:sz w:val="16"/>
                <w:szCs w:val="16"/>
                <w:color w:val="auto"/>
              </w:rPr>
              <w:t>Stockholder A</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208,380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208,380</w:t>
            </w:r>
          </w:p>
        </w:tc>
        <w:tc>
          <w:tcPr>
            <w:tcW w:w="4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208,380</w:t>
            </w:r>
          </w:p>
        </w:tc>
        <w:tc>
          <w:tcPr>
            <w:tcW w:w="40" w:type="dxa"/>
            <w:vAlign w:val="bottom"/>
          </w:tcPr>
          <w:p>
            <w:pPr>
              <w:spacing w:after="0"/>
              <w:rPr>
                <w:sz w:val="17"/>
                <w:szCs w:val="17"/>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208,380</w:t>
            </w:r>
          </w:p>
        </w:tc>
        <w:tc>
          <w:tcPr>
            <w:tcW w:w="6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208,380</w:t>
            </w:r>
          </w:p>
        </w:tc>
        <w:tc>
          <w:tcPr>
            <w:tcW w:w="60" w:type="dxa"/>
            <w:vAlign w:val="bottom"/>
          </w:tcPr>
          <w:p>
            <w:pPr>
              <w:spacing w:after="0"/>
              <w:rPr>
                <w:sz w:val="17"/>
                <w:szCs w:val="17"/>
                <w:color w:val="auto"/>
              </w:rPr>
            </w:pPr>
          </w:p>
        </w:tc>
        <w:tc>
          <w:tcPr>
            <w:tcW w:w="6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Stockholder A</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0.95% (4.76)%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0.91%</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(9.09)%</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0.83% (16.67)%</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0.83% (16.67)%</w:t>
            </w:r>
          </w:p>
        </w:tc>
        <w:tc>
          <w:tcPr>
            <w:tcW w:w="0" w:type="dxa"/>
            <w:vAlign w:val="bottom"/>
          </w:tcPr>
          <w:p>
            <w:pPr>
              <w:spacing w:after="0"/>
              <w:rPr>
                <w:sz w:val="1"/>
                <w:szCs w:val="1"/>
                <w:color w:val="auto"/>
              </w:rPr>
            </w:pPr>
          </w:p>
        </w:tc>
      </w:tr>
      <w:tr>
        <w:trPr>
          <w:trHeight w:val="193"/>
        </w:trPr>
        <w:tc>
          <w:tcPr>
            <w:tcW w:w="1580" w:type="dxa"/>
            <w:vAlign w:val="bottom"/>
          </w:tcPr>
          <w:p>
            <w:pPr>
              <w:spacing w:after="0"/>
              <w:rPr>
                <w:sz w:val="20"/>
                <w:szCs w:val="20"/>
                <w:color w:val="auto"/>
              </w:rPr>
            </w:pPr>
            <w:r>
              <w:rPr>
                <w:rFonts w:ascii="Arial" w:cs="Arial" w:eastAsia="Arial" w:hAnsi="Arial"/>
                <w:sz w:val="16"/>
                <w:szCs w:val="16"/>
                <w:color w:val="auto"/>
              </w:rPr>
              <w:t>Total Net Asset Value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580" w:type="dxa"/>
            <w:vAlign w:val="bottom"/>
          </w:tcPr>
          <w:p>
            <w:pPr>
              <w:ind w:left="180"/>
              <w:spacing w:after="0"/>
              <w:rPr>
                <w:sz w:val="20"/>
                <w:szCs w:val="20"/>
                <w:color w:val="auto"/>
              </w:rPr>
            </w:pPr>
            <w:r>
              <w:rPr>
                <w:rFonts w:ascii="Arial" w:cs="Arial" w:eastAsia="Arial" w:hAnsi="Arial"/>
                <w:sz w:val="16"/>
                <w:szCs w:val="16"/>
                <w:color w:val="auto"/>
                <w:w w:val="96"/>
              </w:rPr>
              <w:t>Held by Stockholder</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180"/>
              <w:spacing w:after="0"/>
              <w:rPr>
                <w:sz w:val="20"/>
                <w:szCs w:val="20"/>
                <w:color w:val="auto"/>
              </w:rPr>
            </w:pPr>
            <w:r>
              <w:rPr>
                <w:rFonts w:ascii="Arial" w:cs="Arial" w:eastAsia="Arial" w:hAnsi="Arial"/>
                <w:sz w:val="16"/>
                <w:szCs w:val="16"/>
                <w:color w:val="auto"/>
              </w:rPr>
              <w:t>A</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3,125,700</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3,117,267</w:t>
            </w:r>
          </w:p>
        </w:tc>
        <w:tc>
          <w:tcPr>
            <w:tcW w:w="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w w:val="92"/>
              </w:rPr>
              <w:t>(0.27)% $</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3,096,339</w:t>
            </w:r>
          </w:p>
        </w:tc>
        <w:tc>
          <w:tcPr>
            <w:tcW w:w="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w w:val="97"/>
              </w:rPr>
              <w:t>(0.94)% $</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w w:val="98"/>
              </w:rPr>
              <w:t>3,020,643</w:t>
            </w:r>
          </w:p>
        </w:tc>
        <w:tc>
          <w:tcPr>
            <w:tcW w:w="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(3.36)% $</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w w:val="98"/>
              </w:rPr>
              <w:t>2,604,578</w:t>
            </w: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(16.67)%</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 by</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Stockholder A</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(Assumed to be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$15.00 per Share)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3,125,700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3,125,700</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3,125,700</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w w:val="98"/>
              </w:rPr>
              <w:t>3,125,700</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w w:val="98"/>
              </w:rPr>
              <w:t>3,125,700</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15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540"/>
          </w:cols>
          <w:pgMar w:left="1440" w:top="337" w:right="919" w:bottom="1440" w:gutter="0" w:footer="0" w:header="0"/>
        </w:sectPr>
      </w:pPr>
    </w:p>
    <w:bookmarkStart w:id="14" w:name="page15"/>
    <w:bookmarkEnd w:id="14"/>
    <w:tbl>
      <w:tblPr>
        <w:tblLayout w:type="fixed"/>
        <w:tblInd w:w="4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1240" w:type="dxa"/>
            <w:vAlign w:val="bottom"/>
            <w:gridSpan w:val="3"/>
          </w:tcPr>
          <w:p>
            <w:pPr>
              <w:jc w:val="center"/>
              <w:ind w:right="42"/>
              <w:spacing w:after="0"/>
              <w:rPr>
                <w:sz w:val="20"/>
                <w:szCs w:val="20"/>
                <w:color w:val="auto"/>
              </w:rPr>
            </w:pPr>
            <w:r>
              <w:rPr>
                <w:rFonts w:ascii="Arial" w:cs="Arial" w:eastAsia="Arial" w:hAnsi="Arial"/>
                <w:sz w:val="14"/>
                <w:szCs w:val="14"/>
                <w:b w:val="1"/>
                <w:bCs w:val="1"/>
                <w:color w:val="auto"/>
                <w:w w:val="92"/>
              </w:rPr>
              <w:t>Example 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1420" w:type="dxa"/>
            <w:vAlign w:val="bottom"/>
            <w:gridSpan w:val="3"/>
          </w:tcPr>
          <w:p>
            <w:pPr>
              <w:jc w:val="center"/>
              <w:ind w:right="62"/>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5% Offering at</w:t>
            </w:r>
          </w:p>
        </w:tc>
        <w:tc>
          <w:tcPr>
            <w:tcW w:w="100" w:type="dxa"/>
            <w:vAlign w:val="bottom"/>
          </w:tcPr>
          <w:p>
            <w:pPr>
              <w:spacing w:after="0"/>
              <w:rPr>
                <w:sz w:val="12"/>
                <w:szCs w:val="12"/>
                <w:color w:val="auto"/>
              </w:rPr>
            </w:pPr>
          </w:p>
        </w:tc>
        <w:tc>
          <w:tcPr>
            <w:tcW w:w="1240" w:type="dxa"/>
            <w:vAlign w:val="bottom"/>
            <w:gridSpan w:val="3"/>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10% Offering at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20% Offering at</w:t>
            </w:r>
          </w:p>
        </w:tc>
        <w:tc>
          <w:tcPr>
            <w:tcW w:w="100" w:type="dxa"/>
            <w:vAlign w:val="bottom"/>
          </w:tcPr>
          <w:p>
            <w:pPr>
              <w:spacing w:after="0"/>
              <w:rPr>
                <w:sz w:val="12"/>
                <w:szCs w:val="12"/>
                <w:color w:val="auto"/>
              </w:rPr>
            </w:pPr>
          </w:p>
        </w:tc>
        <w:tc>
          <w:tcPr>
            <w:tcW w:w="1420" w:type="dxa"/>
            <w:vAlign w:val="bottom"/>
            <w:gridSpan w:val="3"/>
          </w:tcPr>
          <w:p>
            <w:pPr>
              <w:jc w:val="center"/>
              <w:ind w:right="62"/>
              <w:spacing w:after="0" w:line="149" w:lineRule="exact"/>
              <w:rPr>
                <w:sz w:val="20"/>
                <w:szCs w:val="20"/>
                <w:color w:val="auto"/>
              </w:rPr>
            </w:pPr>
            <w:r>
              <w:rPr>
                <w:rFonts w:ascii="Arial" w:cs="Arial" w:eastAsia="Arial" w:hAnsi="Arial"/>
                <w:sz w:val="14"/>
                <w:szCs w:val="14"/>
                <w:b w:val="1"/>
                <w:bCs w:val="1"/>
                <w:color w:val="auto"/>
                <w:w w:val="97"/>
              </w:rPr>
              <w:t>20% Offering at</w:t>
            </w:r>
          </w:p>
        </w:tc>
        <w:tc>
          <w:tcPr>
            <w:tcW w:w="0" w:type="dxa"/>
            <w:vAlign w:val="bottom"/>
          </w:tcPr>
          <w:p>
            <w:pPr>
              <w:spacing w:after="0"/>
              <w:rPr>
                <w:sz w:val="1"/>
                <w:szCs w:val="1"/>
                <w:color w:val="auto"/>
              </w:rPr>
            </w:pPr>
          </w:p>
        </w:tc>
      </w:tr>
      <w:tr>
        <w:trPr>
          <w:trHeight w:val="186"/>
        </w:trPr>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5% Discount</w:t>
            </w:r>
          </w:p>
        </w:tc>
        <w:tc>
          <w:tcPr>
            <w:tcW w:w="100" w:type="dxa"/>
            <w:vAlign w:val="bottom"/>
          </w:tcPr>
          <w:p>
            <w:pPr>
              <w:spacing w:after="0"/>
              <w:rPr>
                <w:sz w:val="16"/>
                <w:szCs w:val="16"/>
                <w:color w:val="auto"/>
              </w:rPr>
            </w:pPr>
          </w:p>
        </w:tc>
        <w:tc>
          <w:tcPr>
            <w:tcW w:w="1240" w:type="dxa"/>
            <w:vAlign w:val="bottom"/>
            <w:gridSpan w:val="3"/>
          </w:tcPr>
          <w:p>
            <w:pPr>
              <w:jc w:val="center"/>
              <w:ind w:right="22"/>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6"/>
                <w:szCs w:val="16"/>
                <w:color w:val="auto"/>
              </w:rPr>
            </w:pPr>
          </w:p>
        </w:tc>
        <w:tc>
          <w:tcPr>
            <w:tcW w:w="1420" w:type="dxa"/>
            <w:vAlign w:val="bottom"/>
            <w:gridSpan w:val="3"/>
          </w:tcPr>
          <w:p>
            <w:pPr>
              <w:jc w:val="center"/>
              <w:ind w:right="42"/>
              <w:spacing w:after="0"/>
              <w:rPr>
                <w:sz w:val="20"/>
                <w:szCs w:val="20"/>
                <w:color w:val="auto"/>
              </w:rPr>
            </w:pPr>
            <w:r>
              <w:rPr>
                <w:rFonts w:ascii="Arial" w:cs="Arial" w:eastAsia="Arial" w:hAnsi="Arial"/>
                <w:sz w:val="14"/>
                <w:szCs w:val="14"/>
                <w:b w:val="1"/>
                <w:bCs w:val="1"/>
                <w:color w:val="auto"/>
                <w:w w:val="94"/>
              </w:rPr>
              <w:t>100% Discount</w:t>
            </w: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 Below NAV</w:t>
            </w: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Following</w:t>
            </w:r>
          </w:p>
        </w:tc>
        <w:tc>
          <w:tcPr>
            <w:tcW w:w="540" w:type="dxa"/>
            <w:vAlign w:val="bottom"/>
          </w:tcPr>
          <w:p>
            <w:pPr>
              <w:jc w:val="right"/>
              <w:ind w:right="142"/>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Following</w:t>
            </w:r>
          </w:p>
        </w:tc>
        <w:tc>
          <w:tcPr>
            <w:tcW w:w="560" w:type="dxa"/>
            <w:vAlign w:val="bottom"/>
          </w:tcPr>
          <w:p>
            <w:pPr>
              <w:jc w:val="right"/>
              <w:ind w:right="142"/>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86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Following</w:t>
            </w:r>
          </w:p>
        </w:tc>
        <w:tc>
          <w:tcPr>
            <w:tcW w:w="560" w:type="dxa"/>
            <w:vAlign w:val="bottom"/>
          </w:tcPr>
          <w:p>
            <w:pPr>
              <w:jc w:val="right"/>
              <w:ind w:right="142"/>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86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Following</w:t>
            </w:r>
          </w:p>
        </w:tc>
        <w:tc>
          <w:tcPr>
            <w:tcW w:w="66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6"/>
        </w:trPr>
        <w:tc>
          <w:tcPr>
            <w:tcW w:w="1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81"/>
              <w:spacing w:after="0"/>
              <w:rPr>
                <w:sz w:val="20"/>
                <w:szCs w:val="20"/>
                <w:color w:val="auto"/>
              </w:rPr>
            </w:pPr>
            <w:r>
              <w:rPr>
                <w:rFonts w:ascii="Arial" w:cs="Arial" w:eastAsia="Arial" w:hAnsi="Arial"/>
                <w:sz w:val="14"/>
                <w:szCs w:val="14"/>
                <w:b w:val="1"/>
                <w:bCs w:val="1"/>
                <w:color w:val="auto"/>
                <w:w w:val="90"/>
              </w:rPr>
              <w:t>Sale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Sale</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Sale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7"/>
              </w:rPr>
              <w:t>Change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Sale</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Sale</w:t>
            </w:r>
          </w:p>
        </w:tc>
        <w:tc>
          <w:tcPr>
            <w:tcW w:w="660" w:type="dxa"/>
            <w:vAlign w:val="bottom"/>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
        </w:trPr>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Total Dilution to</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Stockholder A</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Net Asset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Value Less Total</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Investment)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94"/>
              </w:rPr>
              <w:t>(8,433)</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(29,361)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(105,057)</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(521,122)</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640" w:type="dxa"/>
            <w:vAlign w:val="bottom"/>
            <w:gridSpan w:val="2"/>
          </w:tcPr>
          <w:p>
            <w:pPr>
              <w:spacing w:after="0"/>
              <w:rPr>
                <w:sz w:val="20"/>
                <w:szCs w:val="20"/>
                <w:color w:val="auto"/>
              </w:rPr>
            </w:pPr>
            <w:r>
              <w:rPr>
                <w:rFonts w:ascii="Arial" w:cs="Arial" w:eastAsia="Arial" w:hAnsi="Arial"/>
                <w:sz w:val="16"/>
                <w:szCs w:val="16"/>
                <w:color w:val="auto"/>
              </w:rPr>
              <w:t>Net Asset Value per</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gridSpan w:val="2"/>
          </w:tcPr>
          <w:p>
            <w:pPr>
              <w:ind w:left="180"/>
              <w:spacing w:after="0"/>
              <w:rPr>
                <w:sz w:val="20"/>
                <w:szCs w:val="20"/>
                <w:color w:val="auto"/>
              </w:rPr>
            </w:pPr>
            <w:r>
              <w:rPr>
                <w:rFonts w:ascii="Arial" w:cs="Arial" w:eastAsia="Arial" w:hAnsi="Arial"/>
                <w:sz w:val="16"/>
                <w:szCs w:val="16"/>
                <w:color w:val="auto"/>
              </w:rPr>
              <w:t>Share Held by</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40" w:type="dxa"/>
            <w:vAlign w:val="bottom"/>
            <w:gridSpan w:val="2"/>
          </w:tcPr>
          <w:p>
            <w:pPr>
              <w:ind w:left="180"/>
              <w:spacing w:after="0"/>
              <w:rPr>
                <w:sz w:val="20"/>
                <w:szCs w:val="20"/>
                <w:color w:val="auto"/>
              </w:rPr>
            </w:pPr>
            <w:r>
              <w:rPr>
                <w:rFonts w:ascii="Arial" w:cs="Arial" w:eastAsia="Arial" w:hAnsi="Arial"/>
                <w:sz w:val="16"/>
                <w:szCs w:val="16"/>
                <w:color w:val="auto"/>
              </w:rPr>
              <w:t>Stockholder A</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15.00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3"/>
              <w:spacing w:after="0"/>
              <w:rPr>
                <w:sz w:val="20"/>
                <w:szCs w:val="20"/>
                <w:color w:val="auto"/>
              </w:rPr>
            </w:pPr>
            <w:r>
              <w:rPr>
                <w:rFonts w:ascii="Arial" w:cs="Arial" w:eastAsia="Arial" w:hAnsi="Arial"/>
                <w:sz w:val="16"/>
                <w:szCs w:val="16"/>
                <w:color w:val="auto"/>
              </w:rPr>
              <w:t>14.96</w:t>
            </w:r>
          </w:p>
        </w:tc>
        <w:tc>
          <w:tcPr>
            <w:tcW w:w="8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4"/>
              <w:spacing w:after="0"/>
              <w:rPr>
                <w:sz w:val="20"/>
                <w:szCs w:val="20"/>
                <w:color w:val="auto"/>
              </w:rPr>
            </w:pPr>
            <w:r>
              <w:rPr>
                <w:rFonts w:ascii="Arial" w:cs="Arial" w:eastAsia="Arial" w:hAnsi="Arial"/>
                <w:sz w:val="16"/>
                <w:szCs w:val="16"/>
                <w:color w:val="auto"/>
              </w:rPr>
              <w:t>14.86</w:t>
            </w:r>
          </w:p>
        </w:tc>
        <w:tc>
          <w:tcPr>
            <w:tcW w:w="80" w:type="dxa"/>
            <w:vAlign w:val="bottom"/>
          </w:tcPr>
          <w:p>
            <w:pPr>
              <w:spacing w:after="0"/>
              <w:rPr>
                <w:sz w:val="17"/>
                <w:szCs w:val="17"/>
                <w:color w:val="auto"/>
              </w:rPr>
            </w:pPr>
          </w:p>
        </w:tc>
        <w:tc>
          <w:tcPr>
            <w:tcW w:w="5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14.50</w:t>
            </w:r>
          </w:p>
        </w:tc>
        <w:tc>
          <w:tcPr>
            <w:tcW w:w="8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12.50</w:t>
            </w:r>
          </w:p>
        </w:tc>
        <w:tc>
          <w:tcPr>
            <w:tcW w:w="80" w:type="dxa"/>
            <w:vAlign w:val="bottom"/>
          </w:tcPr>
          <w:p>
            <w:pPr>
              <w:spacing w:after="0"/>
              <w:rPr>
                <w:sz w:val="17"/>
                <w:szCs w:val="17"/>
                <w:color w:val="auto"/>
              </w:rPr>
            </w:pPr>
          </w:p>
        </w:tc>
        <w:tc>
          <w:tcPr>
            <w:tcW w:w="6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per Share</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Held by Stockholder</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 (Assumed to be</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8"/>
              </w:rPr>
              <w:t>$15.00 per Share on</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9"/>
              </w:rPr>
              <w:t>Shares Held Prior to</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Sale)</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15.00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15.00</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15.00</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15.00</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640" w:type="dxa"/>
            <w:vAlign w:val="bottom"/>
            <w:gridSpan w:val="2"/>
          </w:tcPr>
          <w:p>
            <w:pPr>
              <w:spacing w:after="0"/>
              <w:rPr>
                <w:sz w:val="20"/>
                <w:szCs w:val="20"/>
                <w:color w:val="auto"/>
              </w:rPr>
            </w:pPr>
            <w:r>
              <w:rPr>
                <w:rFonts w:ascii="Arial" w:cs="Arial" w:eastAsia="Arial" w:hAnsi="Arial"/>
                <w:sz w:val="16"/>
                <w:szCs w:val="16"/>
                <w:color w:val="auto"/>
                <w:w w:val="97"/>
              </w:rPr>
              <w:t>Dilution per Share Held</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gridSpan w:val="2"/>
          </w:tcPr>
          <w:p>
            <w:pPr>
              <w:ind w:left="180"/>
              <w:spacing w:after="0"/>
              <w:rPr>
                <w:sz w:val="20"/>
                <w:szCs w:val="20"/>
                <w:color w:val="auto"/>
              </w:rPr>
            </w:pPr>
            <w:r>
              <w:rPr>
                <w:rFonts w:ascii="Arial" w:cs="Arial" w:eastAsia="Arial" w:hAnsi="Arial"/>
                <w:sz w:val="16"/>
                <w:szCs w:val="16"/>
                <w:color w:val="auto"/>
              </w:rPr>
              <w:t>by Stockholder A</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tcPr>
          <w:p>
            <w:pPr>
              <w:ind w:left="180"/>
              <w:spacing w:after="0"/>
              <w:rPr>
                <w:sz w:val="20"/>
                <w:szCs w:val="20"/>
                <w:color w:val="auto"/>
              </w:rPr>
            </w:pPr>
            <w:r>
              <w:rPr>
                <w:rFonts w:ascii="Arial" w:cs="Arial" w:eastAsia="Arial" w:hAnsi="Arial"/>
                <w:sz w:val="16"/>
                <w:szCs w:val="16"/>
                <w:color w:val="auto"/>
                <w:w w:val="97"/>
              </w:rPr>
              <w:t>(Net Asset Value per</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tcPr>
          <w:p>
            <w:pPr>
              <w:ind w:left="180"/>
              <w:spacing w:after="0"/>
              <w:rPr>
                <w:sz w:val="20"/>
                <w:szCs w:val="20"/>
                <w:color w:val="auto"/>
              </w:rPr>
            </w:pPr>
            <w:r>
              <w:rPr>
                <w:rFonts w:ascii="Arial" w:cs="Arial" w:eastAsia="Arial" w:hAnsi="Arial"/>
                <w:sz w:val="16"/>
                <w:szCs w:val="16"/>
                <w:color w:val="auto"/>
              </w:rPr>
              <w:t>Share Less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tcPr>
          <w:p>
            <w:pPr>
              <w:ind w:left="180"/>
              <w:spacing w:after="0"/>
              <w:rPr>
                <w:sz w:val="20"/>
                <w:szCs w:val="20"/>
                <w:color w:val="auto"/>
              </w:rPr>
            </w:pPr>
            <w:r>
              <w:rPr>
                <w:rFonts w:ascii="Arial" w:cs="Arial" w:eastAsia="Arial" w:hAnsi="Arial"/>
                <w:sz w:val="16"/>
                <w:szCs w:val="16"/>
                <w:color w:val="auto"/>
              </w:rPr>
              <w:t>Investment per</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40" w:type="dxa"/>
            <w:vAlign w:val="bottom"/>
            <w:gridSpan w:val="2"/>
          </w:tcPr>
          <w:p>
            <w:pPr>
              <w:ind w:left="180"/>
              <w:spacing w:after="0"/>
              <w:rPr>
                <w:sz w:val="20"/>
                <w:szCs w:val="20"/>
                <w:color w:val="auto"/>
              </w:rPr>
            </w:pPr>
            <w:r>
              <w:rPr>
                <w:rFonts w:ascii="Arial" w:cs="Arial" w:eastAsia="Arial" w:hAnsi="Arial"/>
                <w:sz w:val="16"/>
                <w:szCs w:val="16"/>
                <w:color w:val="auto"/>
              </w:rPr>
              <w:t>Share)</w:t>
            </w:r>
          </w:p>
        </w:tc>
        <w:tc>
          <w:tcPr>
            <w:tcW w:w="12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(0.14)</w:t>
            </w:r>
          </w:p>
        </w:tc>
        <w:tc>
          <w:tcPr>
            <w:tcW w:w="80" w:type="dxa"/>
            <w:vAlign w:val="bottom"/>
          </w:tcPr>
          <w:p>
            <w:pPr>
              <w:spacing w:after="0"/>
              <w:rPr>
                <w:sz w:val="17"/>
                <w:szCs w:val="17"/>
                <w:color w:val="auto"/>
              </w:rPr>
            </w:pPr>
          </w:p>
        </w:tc>
        <w:tc>
          <w:tcPr>
            <w:tcW w:w="5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(0.50)</w:t>
            </w:r>
          </w:p>
        </w:tc>
        <w:tc>
          <w:tcPr>
            <w:tcW w:w="8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7"/>
                <w:szCs w:val="17"/>
                <w:color w:val="auto"/>
              </w:rPr>
            </w:pPr>
          </w:p>
        </w:tc>
        <w:tc>
          <w:tcPr>
            <w:tcW w:w="6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Percentage Dilution to</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Stockholder A</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(Dilution per Share</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Divided by</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 per</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Share)</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(0.27)%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(0.94)%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(16.67)%</w:t>
            </w:r>
          </w:p>
        </w:tc>
        <w:tc>
          <w:tcPr>
            <w:tcW w:w="0" w:type="dxa"/>
            <w:vAlign w:val="bottom"/>
          </w:tcPr>
          <w:p>
            <w:pPr>
              <w:spacing w:after="0"/>
              <w:rPr>
                <w:sz w:val="1"/>
                <w:szCs w:val="1"/>
                <w:color w:val="auto"/>
              </w:rPr>
            </w:pPr>
          </w:p>
        </w:tc>
      </w:tr>
      <w:tr>
        <w:trPr>
          <w:trHeight w:val="46"/>
        </w:trPr>
        <w:tc>
          <w:tcPr>
            <w:tcW w:w="15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Impact on Existing Shareholders Who Do Participate in an Offering of Common Shares</w:t>
      </w:r>
    </w:p>
    <w:p>
      <w:pPr>
        <w:spacing w:after="0" w:line="162"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The Company’s existing shareholders who participate in an offering below net asset value per share or who buy additional Common Shares in the secondary market at the same or lower price as the Company obtains in the offering (after expenses and commissions) will experience the same types of net asset value dilution as the nonparticipating shareholders, albeit at a lower level, to the extent they purchase less than the same percentage of the discounted offering as their interest in the Company’s Common Shares immediately prior to the offering. The level of net asset value dilution will decrease as the number of Common Shares such shareholders purchase increases. Existing shareholders who buy more than such percentage will experience net asset value dilution on their existing shares but will, in contrast to existing shareholders who purchase less than their proportionate share of the offering, experience an increase (often called accretion) in average net asset value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Common Shares such shareholders purchases increases. Even a shareholder who over-participates will, however, be subject to the risk that the Company may make additional discounted offerings in which such shareholder does not participate, in which case such a shareholder will experience net asset value dilution as described above in such subsequent offerings. These shareholders may also experience a decline in the market price of their Common Shares, which often reflects to some degree announced or potential decreases in net asset value per share. This decrease could be more pronounced as the size of the offering and level of discounts increases.</w:t>
      </w:r>
    </w:p>
    <w:p>
      <w:pPr>
        <w:spacing w:after="0" w:line="10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following chart illustrates the level of dilution and accretion in the hypothetical 20% discount offering from the prior chart for a shareholder that acquires Common Shares equal to (1) 50% of its proportionate share of the offering (i.e., 20,838,000 Common Shares, which is 0.5% of an offering of 4,167,600 Common Shares) rather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5" w:name="page16"/>
    <w:bookmarkEnd w:id="15"/>
    <w:p>
      <w:pPr>
        <w:ind w:left="460"/>
        <w:spacing w:after="0"/>
        <w:rPr>
          <w:sz w:val="20"/>
          <w:szCs w:val="20"/>
          <w:color w:val="auto"/>
        </w:rPr>
      </w:pPr>
      <w:r>
        <w:rPr>
          <w:rFonts w:ascii="Arial" w:cs="Arial" w:eastAsia="Arial" w:hAnsi="Arial"/>
          <w:sz w:val="17"/>
          <w:szCs w:val="17"/>
          <w:color w:val="auto"/>
        </w:rPr>
        <w:t>than its 1.00% proportionate share and (2) 150% of such percentage (i.e. 62,514 Common Shares, which is</w:t>
      </w:r>
    </w:p>
    <w:p>
      <w:pPr>
        <w:spacing w:after="0" w:line="35" w:lineRule="exact"/>
        <w:rPr>
          <w:sz w:val="20"/>
          <w:szCs w:val="20"/>
          <w:color w:val="auto"/>
        </w:rPr>
      </w:pPr>
    </w:p>
    <w:p>
      <w:pPr>
        <w:ind w:left="460" w:right="639"/>
        <w:spacing w:after="0" w:line="260" w:lineRule="auto"/>
        <w:rPr>
          <w:sz w:val="20"/>
          <w:szCs w:val="20"/>
          <w:color w:val="auto"/>
        </w:rPr>
      </w:pPr>
      <w:r>
        <w:rPr>
          <w:rFonts w:ascii="Arial" w:cs="Arial" w:eastAsia="Arial" w:hAnsi="Arial"/>
          <w:sz w:val="18"/>
          <w:szCs w:val="18"/>
          <w:color w:val="auto"/>
        </w:rPr>
        <w:t>1.5% of an offering of 4,167,600 Common Shares rather than its 0.10% proportionate share). It is not possible to predict the level of market price decline that may occur.</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4"/>
          </w:tcPr>
          <w:p>
            <w:pPr>
              <w:ind w:left="280"/>
              <w:spacing w:after="0"/>
              <w:rPr>
                <w:sz w:val="20"/>
                <w:szCs w:val="20"/>
                <w:color w:val="auto"/>
              </w:rPr>
            </w:pPr>
            <w:r>
              <w:rPr>
                <w:rFonts w:ascii="Arial" w:cs="Arial" w:eastAsia="Arial" w:hAnsi="Arial"/>
                <w:sz w:val="16"/>
                <w:szCs w:val="16"/>
                <w:b w:val="1"/>
                <w:bCs w:val="1"/>
                <w:color w:val="auto"/>
              </w:rPr>
              <w:t>50% Participation</w:t>
            </w:r>
          </w:p>
        </w:tc>
        <w:tc>
          <w:tcPr>
            <w:tcW w:w="120" w:type="dxa"/>
            <w:vAlign w:val="bottom"/>
          </w:tcPr>
          <w:p>
            <w:pPr>
              <w:spacing w:after="0"/>
              <w:rPr>
                <w:sz w:val="18"/>
                <w:szCs w:val="18"/>
                <w:color w:val="auto"/>
              </w:rPr>
            </w:pPr>
          </w:p>
        </w:tc>
        <w:tc>
          <w:tcPr>
            <w:tcW w:w="2020" w:type="dxa"/>
            <w:vAlign w:val="bottom"/>
            <w:gridSpan w:val="3"/>
          </w:tcPr>
          <w:p>
            <w:pPr>
              <w:ind w:left="280"/>
              <w:spacing w:after="0"/>
              <w:rPr>
                <w:sz w:val="20"/>
                <w:szCs w:val="20"/>
                <w:color w:val="auto"/>
              </w:rPr>
            </w:pPr>
            <w:r>
              <w:rPr>
                <w:rFonts w:ascii="Arial" w:cs="Arial" w:eastAsia="Arial" w:hAnsi="Arial"/>
                <w:sz w:val="16"/>
                <w:szCs w:val="16"/>
                <w:b w:val="1"/>
                <w:bCs w:val="1"/>
                <w:color w:val="auto"/>
              </w:rPr>
              <w:t>150% Participation</w:t>
            </w:r>
          </w:p>
        </w:tc>
        <w:tc>
          <w:tcPr>
            <w:tcW w:w="0" w:type="dxa"/>
            <w:vAlign w:val="bottom"/>
          </w:tcPr>
          <w:p>
            <w:pPr>
              <w:spacing w:after="0"/>
              <w:rPr>
                <w:sz w:val="1"/>
                <w:szCs w:val="1"/>
                <w:color w:val="auto"/>
              </w:rPr>
            </w:pPr>
          </w:p>
        </w:tc>
      </w:tr>
      <w:tr>
        <w:trPr>
          <w:trHeight w:val="46"/>
        </w:trPr>
        <w:tc>
          <w:tcPr>
            <w:tcW w:w="2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Prior to</w:t>
            </w: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Following</w:t>
            </w:r>
          </w:p>
        </w:tc>
        <w:tc>
          <w:tcPr>
            <w:tcW w:w="860" w:type="dxa"/>
            <w:vAlign w:val="bottom"/>
          </w:tcPr>
          <w:p>
            <w:pPr>
              <w:jc w:val="right"/>
              <w:ind w:right="271"/>
              <w:spacing w:after="0" w:line="182"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Following</w:t>
            </w:r>
          </w:p>
        </w:tc>
        <w:tc>
          <w:tcPr>
            <w:tcW w:w="940" w:type="dxa"/>
            <w:vAlign w:val="bottom"/>
          </w:tcPr>
          <w:p>
            <w:pPr>
              <w:jc w:val="right"/>
              <w:ind w:right="331"/>
              <w:spacing w:after="0" w:line="18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Prior to Sale Below NAV</w:t>
            </w: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Sale</w:t>
            </w:r>
          </w:p>
        </w:tc>
        <w:tc>
          <w:tcPr>
            <w:tcW w:w="120" w:type="dxa"/>
            <w:vAlign w:val="bottom"/>
          </w:tcPr>
          <w:p>
            <w:pPr>
              <w:spacing w:after="0"/>
              <w:rPr>
                <w:sz w:val="18"/>
                <w:szCs w:val="18"/>
                <w:color w:val="auto"/>
              </w:rPr>
            </w:pPr>
          </w:p>
        </w:tc>
        <w:tc>
          <w:tcPr>
            <w:tcW w:w="1080" w:type="dxa"/>
            <w:vAlign w:val="bottom"/>
            <w:gridSpan w:val="2"/>
          </w:tcPr>
          <w:p>
            <w:pPr>
              <w:ind w:left="300"/>
              <w:spacing w:after="0"/>
              <w:rPr>
                <w:sz w:val="20"/>
                <w:szCs w:val="20"/>
                <w:color w:val="auto"/>
              </w:rPr>
            </w:pPr>
            <w:r>
              <w:rPr>
                <w:rFonts w:ascii="Arial" w:cs="Arial" w:eastAsia="Arial" w:hAnsi="Arial"/>
                <w:sz w:val="16"/>
                <w:szCs w:val="16"/>
                <w:b w:val="1"/>
                <w:bCs w:val="1"/>
                <w:color w:val="auto"/>
              </w:rPr>
              <w:t>Sale</w:t>
            </w: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080" w:type="dxa"/>
            <w:vAlign w:val="bottom"/>
            <w:gridSpan w:val="2"/>
          </w:tcPr>
          <w:p>
            <w:pPr>
              <w:ind w:left="300"/>
              <w:spacing w:after="0"/>
              <w:rPr>
                <w:sz w:val="20"/>
                <w:szCs w:val="20"/>
                <w:color w:val="auto"/>
              </w:rPr>
            </w:pPr>
            <w:r>
              <w:rPr>
                <w:rFonts w:ascii="Arial" w:cs="Arial" w:eastAsia="Arial" w:hAnsi="Arial"/>
                <w:sz w:val="16"/>
                <w:szCs w:val="16"/>
                <w:b w:val="1"/>
                <w:bCs w:val="1"/>
                <w:color w:val="auto"/>
              </w:rPr>
              <w:t>Sale</w:t>
            </w:r>
          </w:p>
        </w:tc>
        <w:tc>
          <w:tcPr>
            <w:tcW w:w="940" w:type="dxa"/>
            <w:vAlign w:val="bottom"/>
          </w:tcPr>
          <w:p>
            <w:pPr>
              <w:jc w:val="right"/>
              <w:ind w:right="11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7"/>
        </w:trPr>
        <w:tc>
          <w:tcPr>
            <w:tcW w:w="2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w w:val="99"/>
              </w:rPr>
              <w:t>Decrease/Increase to Net Asset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Value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9"/>
              </w:rPr>
              <w:t>20,838,00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8"/>
              </w:rPr>
              <w:t>25,005,600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8"/>
              </w:rPr>
              <w:t>25,005,600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2"/>
              </w:rPr>
              <w:t>Dilution/Accretion to Participating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Stockholder</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208,380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229,218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270,894</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Percentage Held by Stockholder A</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rPr>
              <w:t>Total Net Asset Value Held by</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Stockholder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w w:val="89"/>
              </w:rPr>
              <w:t>3,125,700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w w:val="99"/>
              </w:rPr>
              <w:t>3,322,708</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w w:val="99"/>
              </w:rPr>
              <w:t>3,926,836</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Total Investment by Stockholder A</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(Assumed to be $15.00 per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3,388,917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3,915,351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rPr>
              <w:t>Total Dilution/Accretion 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Stockholder A (Total Net Asset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Value Less Total Investment)</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(66,209)</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11,486</w:t>
            </w:r>
          </w:p>
        </w:tc>
        <w:tc>
          <w:tcPr>
            <w:tcW w:w="100" w:type="dxa"/>
            <w:vAlign w:val="bottom"/>
          </w:tcPr>
          <w:p>
            <w:pPr>
              <w:spacing w:after="0"/>
              <w:rPr>
                <w:sz w:val="20"/>
                <w:szCs w:val="20"/>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Net Asset Value per Share held by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Stockholder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rPr>
              <w:t>Investment per Share held by</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Stockholder A (Assumed to be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w w:val="93"/>
              </w:rPr>
              <w:t>$15.00 per Share on Shares Held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Prior to Sale)</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Dilution/Accretion per Share Held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by Stockholder A (Net Asset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Value per Share Less Investment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w w:val="96"/>
              </w:rPr>
              <w:t>Percentage Dilution to Stockholder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A (Dilution/Accretion per Share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color w:val="auto"/>
                <w:w w:val="93"/>
              </w:rPr>
              <w:t>Divided by Investment per Share)</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Impact on New Investors of Common Shares</w:t>
      </w:r>
    </w:p>
    <w:p>
      <w:pPr>
        <w:spacing w:after="0" w:line="162"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Investors who are not currently shareholders and who participate in an offering of the Company’s common stock below net asset value but whose investment per share is greater than the resulting net asset value per share due to selling compensation and expenses paid by the issuer will experience an immediate decrease, albeit small, in the net asset value of their shares of common stock and their net asset value per share compared to the price they pay for their shares of common stock. Investors who are not currently shareholders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of common stock and their net asset value per share compared to the price they pay for their shares of common stock. These investors will experience a disproportionately greater participation in the Company’s earnings and assets and their voting power than the Company’s increase in assets, potential earning power and voting interests. These investors will, however, be subject to the risk that the Company may make additional discounted offerings in which such new shareholder does not participate, in which case such new shareholder will experience dilution as described above in such subsequent offerings. These investors may also experience a decline in the market price of their shares of common stock, which often reflects to some degree announced or potential increases and decreases in net asset value per share. This decrease could be more pronounced as the size of the offering and level of discounts increases.</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right="559" w:firstLine="432"/>
        <w:spacing w:after="0" w:line="296" w:lineRule="auto"/>
        <w:rPr>
          <w:sz w:val="20"/>
          <w:szCs w:val="20"/>
          <w:color w:val="auto"/>
        </w:rPr>
      </w:pPr>
      <w:r>
        <w:rPr>
          <w:rFonts w:ascii="Arial" w:cs="Arial" w:eastAsia="Arial" w:hAnsi="Arial"/>
          <w:sz w:val="16"/>
          <w:szCs w:val="16"/>
          <w:color w:val="auto"/>
        </w:rPr>
        <w:t>The following chart illustrates the level of dilution or accretion for new investors that would be experienced by a new investor in the same hypothetical 5%, 10% and 20% discounted offerings as described in the first chart above. The illustration is for a new investor who purchases the same percentage (1.00%) of the shares of common stock in the offering as Shareholder A in the prior examples held immediately prior to the offering. It is not possible to predict the level of market price decline that may occur.</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3"/>
          </w:tcPr>
          <w:p>
            <w:pPr>
              <w:jc w:val="center"/>
              <w:ind w:right="51"/>
              <w:spacing w:after="0"/>
              <w:rPr>
                <w:sz w:val="20"/>
                <w:szCs w:val="20"/>
                <w:color w:val="auto"/>
              </w:rPr>
            </w:pPr>
            <w:r>
              <w:rPr>
                <w:rFonts w:ascii="Arial" w:cs="Arial" w:eastAsia="Arial" w:hAnsi="Arial"/>
                <w:sz w:val="16"/>
                <w:szCs w:val="16"/>
                <w:b w:val="1"/>
                <w:bCs w:val="1"/>
                <w:color w:val="auto"/>
                <w:w w:val="93"/>
              </w:rPr>
              <w:t>Example 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Example 2</w:t>
            </w:r>
          </w:p>
        </w:tc>
        <w:tc>
          <w:tcPr>
            <w:tcW w:w="100" w:type="dxa"/>
            <w:vAlign w:val="bottom"/>
          </w:tcPr>
          <w:p>
            <w:pPr>
              <w:spacing w:after="0"/>
              <w:rPr>
                <w:sz w:val="17"/>
                <w:szCs w:val="17"/>
                <w:color w:val="auto"/>
              </w:rPr>
            </w:pPr>
          </w:p>
        </w:tc>
        <w:tc>
          <w:tcPr>
            <w:tcW w:w="1640" w:type="dxa"/>
            <w:vAlign w:val="bottom"/>
            <w:gridSpan w:val="3"/>
          </w:tcPr>
          <w:p>
            <w:pPr>
              <w:jc w:val="center"/>
              <w:ind w:right="51"/>
              <w:spacing w:after="0"/>
              <w:rPr>
                <w:sz w:val="20"/>
                <w:szCs w:val="20"/>
                <w:color w:val="auto"/>
              </w:rPr>
            </w:pPr>
            <w:r>
              <w:rPr>
                <w:rFonts w:ascii="Arial" w:cs="Arial" w:eastAsia="Arial" w:hAnsi="Arial"/>
                <w:sz w:val="16"/>
                <w:szCs w:val="16"/>
                <w:b w:val="1"/>
                <w:bCs w:val="1"/>
                <w:color w:val="auto"/>
                <w:w w:val="93"/>
              </w:rPr>
              <w:t>Example 3</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3"/>
          </w:tcPr>
          <w:p>
            <w:pPr>
              <w:jc w:val="center"/>
              <w:ind w:right="51"/>
              <w:spacing w:after="0"/>
              <w:rPr>
                <w:sz w:val="20"/>
                <w:szCs w:val="20"/>
                <w:color w:val="auto"/>
              </w:rPr>
            </w:pPr>
            <w:r>
              <w:rPr>
                <w:rFonts w:ascii="Arial" w:cs="Arial" w:eastAsia="Arial" w:hAnsi="Arial"/>
                <w:sz w:val="16"/>
                <w:szCs w:val="16"/>
                <w:b w:val="1"/>
                <w:bCs w:val="1"/>
                <w:color w:val="auto"/>
                <w:w w:val="97"/>
              </w:rPr>
              <w:t>5% Offering at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7"/>
              </w:rPr>
              <w:t>10% Offering at</w:t>
            </w:r>
          </w:p>
        </w:tc>
        <w:tc>
          <w:tcPr>
            <w:tcW w:w="100" w:type="dxa"/>
            <w:vAlign w:val="bottom"/>
          </w:tcPr>
          <w:p>
            <w:pPr>
              <w:spacing w:after="0"/>
              <w:rPr>
                <w:sz w:val="17"/>
                <w:szCs w:val="17"/>
                <w:color w:val="auto"/>
              </w:rPr>
            </w:pPr>
          </w:p>
        </w:tc>
        <w:tc>
          <w:tcPr>
            <w:tcW w:w="1640" w:type="dxa"/>
            <w:vAlign w:val="bottom"/>
            <w:gridSpan w:val="3"/>
          </w:tcPr>
          <w:p>
            <w:pPr>
              <w:jc w:val="center"/>
              <w:ind w:right="51"/>
              <w:spacing w:after="0"/>
              <w:rPr>
                <w:sz w:val="20"/>
                <w:szCs w:val="20"/>
                <w:color w:val="auto"/>
              </w:rPr>
            </w:pPr>
            <w:r>
              <w:rPr>
                <w:rFonts w:ascii="Arial" w:cs="Arial" w:eastAsia="Arial" w:hAnsi="Arial"/>
                <w:sz w:val="16"/>
                <w:szCs w:val="16"/>
                <w:b w:val="1"/>
                <w:bCs w:val="1"/>
                <w:color w:val="auto"/>
                <w:w w:val="97"/>
              </w:rPr>
              <w:t>20% Offering at</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11"/>
              <w:spacing w:after="0"/>
              <w:rPr>
                <w:sz w:val="20"/>
                <w:szCs w:val="20"/>
                <w:color w:val="auto"/>
              </w:rPr>
            </w:pPr>
            <w:r>
              <w:rPr>
                <w:rFonts w:ascii="Arial" w:cs="Arial" w:eastAsia="Arial" w:hAnsi="Arial"/>
                <w:sz w:val="16"/>
                <w:szCs w:val="16"/>
                <w:b w:val="1"/>
                <w:bCs w:val="1"/>
                <w:color w:val="auto"/>
                <w:w w:val="93"/>
              </w:rPr>
              <w:t>5% Discount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3"/>
              </w:rPr>
              <w:t>10% Discount</w:t>
            </w:r>
          </w:p>
        </w:tc>
        <w:tc>
          <w:tcPr>
            <w:tcW w:w="100" w:type="dxa"/>
            <w:vAlign w:val="bottom"/>
          </w:tcPr>
          <w:p>
            <w:pPr>
              <w:spacing w:after="0"/>
              <w:rPr>
                <w:sz w:val="18"/>
                <w:szCs w:val="18"/>
                <w:color w:val="auto"/>
              </w:rPr>
            </w:pPr>
          </w:p>
        </w:tc>
        <w:tc>
          <w:tcPr>
            <w:tcW w:w="1640" w:type="dxa"/>
            <w:vAlign w:val="bottom"/>
            <w:gridSpan w:val="3"/>
          </w:tcPr>
          <w:p>
            <w:pPr>
              <w:jc w:val="center"/>
              <w:ind w:right="11"/>
              <w:spacing w:after="0"/>
              <w:rPr>
                <w:sz w:val="20"/>
                <w:szCs w:val="20"/>
                <w:color w:val="auto"/>
              </w:rPr>
            </w:pPr>
            <w:r>
              <w:rPr>
                <w:rFonts w:ascii="Arial" w:cs="Arial" w:eastAsia="Arial" w:hAnsi="Arial"/>
                <w:sz w:val="16"/>
                <w:szCs w:val="16"/>
                <w:b w:val="1"/>
                <w:bCs w:val="1"/>
                <w:color w:val="auto"/>
                <w:w w:val="93"/>
              </w:rPr>
              <w:t>20% Discount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4"/>
              </w:rPr>
              <w:t>Prior to</w:t>
            </w: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80"/>
              <w:spacing w:after="0" w:line="182" w:lineRule="exact"/>
              <w:rPr>
                <w:sz w:val="20"/>
                <w:szCs w:val="20"/>
                <w:color w:val="auto"/>
              </w:rPr>
            </w:pPr>
            <w:r>
              <w:rPr>
                <w:rFonts w:ascii="Arial" w:cs="Arial" w:eastAsia="Arial" w:hAnsi="Arial"/>
                <w:sz w:val="16"/>
                <w:szCs w:val="16"/>
                <w:b w:val="1"/>
                <w:bCs w:val="1"/>
                <w:color w:val="auto"/>
                <w:w w:val="93"/>
              </w:rPr>
              <w:t>Following</w:t>
            </w:r>
          </w:p>
        </w:tc>
        <w:tc>
          <w:tcPr>
            <w:tcW w:w="600" w:type="dxa"/>
            <w:vAlign w:val="bottom"/>
          </w:tcPr>
          <w:p>
            <w:pPr>
              <w:jc w:val="right"/>
              <w:ind w:right="151"/>
              <w:spacing w:after="0" w:line="182" w:lineRule="exact"/>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line="182" w:lineRule="exact"/>
              <w:rPr>
                <w:sz w:val="20"/>
                <w:szCs w:val="20"/>
                <w:color w:val="auto"/>
              </w:rPr>
            </w:pPr>
            <w:r>
              <w:rPr>
                <w:rFonts w:ascii="Arial" w:cs="Arial" w:eastAsia="Arial" w:hAnsi="Arial"/>
                <w:sz w:val="16"/>
                <w:szCs w:val="16"/>
                <w:b w:val="1"/>
                <w:bCs w:val="1"/>
                <w:color w:val="auto"/>
                <w:w w:val="90"/>
              </w:rPr>
              <w:t>Following</w:t>
            </w:r>
          </w:p>
        </w:tc>
        <w:tc>
          <w:tcPr>
            <w:tcW w:w="620" w:type="dxa"/>
            <w:vAlign w:val="bottom"/>
          </w:tcPr>
          <w:p>
            <w:pPr>
              <w:jc w:val="right"/>
              <w:ind w:right="151"/>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line="182" w:lineRule="exact"/>
              <w:rPr>
                <w:sz w:val="20"/>
                <w:szCs w:val="20"/>
                <w:color w:val="auto"/>
              </w:rPr>
            </w:pPr>
            <w:r>
              <w:rPr>
                <w:rFonts w:ascii="Arial" w:cs="Arial" w:eastAsia="Arial" w:hAnsi="Arial"/>
                <w:sz w:val="16"/>
                <w:szCs w:val="16"/>
                <w:b w:val="1"/>
                <w:bCs w:val="1"/>
                <w:color w:val="auto"/>
                <w:w w:val="90"/>
              </w:rPr>
              <w:t>Following</w:t>
            </w:r>
          </w:p>
        </w:tc>
        <w:tc>
          <w:tcPr>
            <w:tcW w:w="620" w:type="dxa"/>
            <w:vAlign w:val="bottom"/>
          </w:tcPr>
          <w:p>
            <w:pPr>
              <w:jc w:val="right"/>
              <w:ind w:right="151"/>
              <w:spacing w:after="0" w:line="18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6"/>
                <w:szCs w:val="16"/>
                <w:b w:val="1"/>
                <w:bCs w:val="1"/>
                <w:color w:val="auto"/>
                <w:w w:val="94"/>
              </w:rPr>
              <w:t>Prior to Sale Below NAV</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Sale</w:t>
            </w:r>
          </w:p>
        </w:tc>
        <w:tc>
          <w:tcPr>
            <w:tcW w:w="8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Sale</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1"/>
              </w:rPr>
              <w:t>Change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Sale</w:t>
            </w:r>
          </w:p>
        </w:tc>
        <w:tc>
          <w:tcPr>
            <w:tcW w:w="68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Sale</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5"/>
              </w:rPr>
              <w:t>Change</w:t>
            </w:r>
          </w:p>
        </w:tc>
        <w:tc>
          <w:tcPr>
            <w:tcW w:w="0" w:type="dxa"/>
            <w:vAlign w:val="bottom"/>
          </w:tcPr>
          <w:p>
            <w:pPr>
              <w:spacing w:after="0"/>
              <w:rPr>
                <w:sz w:val="1"/>
                <w:szCs w:val="1"/>
                <w:color w:val="auto"/>
              </w:rPr>
            </w:pPr>
          </w:p>
        </w:tc>
      </w:tr>
      <w:tr>
        <w:trPr>
          <w:trHeight w:val="47"/>
        </w:trPr>
        <w:tc>
          <w:tcPr>
            <w:tcW w:w="1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rPr>
              <w:t>Price per Share to</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Public</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20"/>
                <w:szCs w:val="20"/>
                <w:color w:val="auto"/>
              </w:rPr>
            </w:pP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14.21</w:t>
            </w:r>
          </w:p>
        </w:tc>
        <w:tc>
          <w:tcPr>
            <w:tcW w:w="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12.63</w:t>
            </w:r>
          </w:p>
        </w:tc>
        <w:tc>
          <w:tcPr>
            <w:tcW w:w="60" w:type="dxa"/>
            <w:vAlign w:val="bottom"/>
          </w:tcPr>
          <w:p>
            <w:pPr>
              <w:spacing w:after="0"/>
              <w:rPr>
                <w:sz w:val="20"/>
                <w:szCs w:val="20"/>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Net Proceeds per Share</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Issuer</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14.25</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13.50</w:t>
            </w: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12.00</w:t>
            </w: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91"/>
              </w:rPr>
              <w:t>Decrease to Net Asset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Value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Shares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8"/>
              </w:rPr>
              <w:t>20,838,000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8"/>
              </w:rPr>
              <w:t>21,879,900</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8"/>
              </w:rPr>
              <w:t>22,921,800</w:t>
            </w:r>
          </w:p>
        </w:tc>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6"/>
              </w:rPr>
              <w:t>25,005,600</w:t>
            </w: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rPr>
              <w:t>Net Asset Value per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Share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14.96</w:t>
            </w:r>
          </w:p>
        </w:tc>
        <w:tc>
          <w:tcPr>
            <w:tcW w:w="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2"/>
              </w:rPr>
              <w:t>(0.27)% $</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14.86</w:t>
            </w:r>
          </w:p>
        </w:tc>
        <w:tc>
          <w:tcPr>
            <w:tcW w:w="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7"/>
              </w:rPr>
              <w:t>(0.94)% $</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14.50</w:t>
            </w: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5"/>
              </w:rPr>
              <w:t>(3.36)%</w:t>
            </w:r>
          </w:p>
        </w:tc>
        <w:tc>
          <w:tcPr>
            <w:tcW w:w="0" w:type="dxa"/>
            <w:vAlign w:val="bottom"/>
          </w:tcPr>
          <w:p>
            <w:pPr>
              <w:spacing w:after="0"/>
              <w:rPr>
                <w:sz w:val="1"/>
                <w:szCs w:val="1"/>
                <w:color w:val="auto"/>
              </w:rPr>
            </w:pPr>
          </w:p>
        </w:tc>
      </w:tr>
      <w:tr>
        <w:trPr>
          <w:trHeight w:val="41"/>
        </w:trPr>
        <w:tc>
          <w:tcPr>
            <w:tcW w:w="1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0"/>
              </w:rPr>
              <w:t>Dilution/Accretion to a</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New Investor</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w w:val="90"/>
              </w:rPr>
              <w:t>Shares Held by Investor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A</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208,380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10,419</w:t>
            </w:r>
          </w:p>
        </w:tc>
        <w:tc>
          <w:tcPr>
            <w:tcW w:w="60" w:type="dxa"/>
            <w:vAlign w:val="bottom"/>
          </w:tcPr>
          <w:p>
            <w:pPr>
              <w:spacing w:after="0"/>
              <w:rPr>
                <w:sz w:val="20"/>
                <w:szCs w:val="20"/>
                <w:color w:val="auto"/>
              </w:rPr>
            </w:pP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20,838</w:t>
            </w:r>
          </w:p>
        </w:tc>
        <w:tc>
          <w:tcPr>
            <w:tcW w:w="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41,676</w:t>
            </w:r>
          </w:p>
        </w:tc>
        <w:tc>
          <w:tcPr>
            <w:tcW w:w="60" w:type="dxa"/>
            <w:vAlign w:val="bottom"/>
          </w:tcPr>
          <w:p>
            <w:pPr>
              <w:spacing w:after="0"/>
              <w:rPr>
                <w:sz w:val="20"/>
                <w:szCs w:val="20"/>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Percentage Held by</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Investor A</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w w:val="99"/>
              </w:rPr>
              <w:t>Total Net Asset Value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Held by Investor A</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w w:val="99"/>
              </w:rPr>
              <w:t>3,125,700</w:t>
            </w:r>
          </w:p>
        </w:tc>
        <w:tc>
          <w:tcPr>
            <w:tcW w:w="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155,863</w:t>
            </w:r>
          </w:p>
        </w:tc>
        <w:tc>
          <w:tcPr>
            <w:tcW w:w="60" w:type="dxa"/>
            <w:vAlign w:val="bottom"/>
          </w:tcPr>
          <w:p>
            <w:pPr>
              <w:spacing w:after="0"/>
              <w:rPr>
                <w:sz w:val="20"/>
                <w:szCs w:val="20"/>
                <w:color w:val="auto"/>
              </w:rPr>
            </w:pP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309,634</w:t>
            </w:r>
          </w:p>
        </w:tc>
        <w:tc>
          <w:tcPr>
            <w:tcW w:w="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604,129</w:t>
            </w:r>
          </w:p>
        </w:tc>
        <w:tc>
          <w:tcPr>
            <w:tcW w:w="60" w:type="dxa"/>
            <w:vAlign w:val="bottom"/>
          </w:tcPr>
          <w:p>
            <w:pPr>
              <w:spacing w:after="0"/>
              <w:rPr>
                <w:sz w:val="20"/>
                <w:szCs w:val="20"/>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Investment by</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Investor A (Assumed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be $15.00 per</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3,125,700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156,285</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296,119</w:t>
            </w: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526,434</w:t>
            </w: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rPr>
              <w:t>Total Dilution to</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Investor A (Total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Net Asset Value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Less Total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Investment)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20"/>
                <w:szCs w:val="20"/>
                <w:color w:val="auto"/>
              </w:rPr>
            </w:pP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(13,515)</w:t>
            </w:r>
          </w:p>
        </w:tc>
        <w:tc>
          <w:tcPr>
            <w:tcW w:w="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77,695</w:t>
            </w:r>
          </w:p>
        </w:tc>
        <w:tc>
          <w:tcPr>
            <w:tcW w:w="60" w:type="dxa"/>
            <w:vAlign w:val="bottom"/>
          </w:tcPr>
          <w:p>
            <w:pPr>
              <w:spacing w:after="0"/>
              <w:rPr>
                <w:sz w:val="20"/>
                <w:szCs w:val="20"/>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Asset Value per</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Held by</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Investor A</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14.96</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14.86</w:t>
            </w: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14.50</w:t>
            </w: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rPr>
              <w:t>Investment per Share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Held by Investor A</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(Assumed to be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$15.00 per Share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w w:val="93"/>
              </w:rPr>
              <w:t>on Shares Held Prior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to Sale)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20"/>
                <w:szCs w:val="20"/>
                <w:color w:val="auto"/>
              </w:rPr>
            </w:pP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14.21</w:t>
            </w:r>
          </w:p>
        </w:tc>
        <w:tc>
          <w:tcPr>
            <w:tcW w:w="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12.63</w:t>
            </w:r>
          </w:p>
        </w:tc>
        <w:tc>
          <w:tcPr>
            <w:tcW w:w="60" w:type="dxa"/>
            <w:vAlign w:val="bottom"/>
          </w:tcPr>
          <w:p>
            <w:pPr>
              <w:spacing w:after="0"/>
              <w:rPr>
                <w:sz w:val="20"/>
                <w:szCs w:val="20"/>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Dilution per Share Held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 Investor A (Net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Asset Value per Share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Less Investment per</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0.65</w:t>
            </w: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1.86</w:t>
            </w: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w w:val="98"/>
              </w:rPr>
              <w:t>Percentage Dilution to</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Investor A (Dilution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per Share Divided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by Investment per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Share)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8"/>
              </w:rPr>
              <w:t>(0.27)%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8"/>
              </w:rPr>
              <w:t>14.76%</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5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 reaching its recommendation to the shareholders of the Company to approve this Proposal 1, the Board of Directors considered the effect or the following factors:</w:t>
      </w:r>
    </w:p>
    <w:p>
      <w:pPr>
        <w:spacing w:after="0" w:line="62" w:lineRule="exact"/>
        <w:rPr>
          <w:sz w:val="20"/>
          <w:szCs w:val="20"/>
          <w:color w:val="auto"/>
        </w:rPr>
      </w:pPr>
    </w:p>
    <w:p>
      <w:pPr>
        <w:ind w:left="1320" w:right="659" w:hanging="434"/>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benefits of a Common Share offering below NAV compared to other possible means for raising capital or concluding not to raise capital;</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size of a Common Share offering in relation to the number of Common Shares outstanding;</w:t>
      </w:r>
    </w:p>
    <w:p>
      <w:pPr>
        <w:spacing w:after="0" w:line="128" w:lineRule="exact"/>
        <w:rPr>
          <w:rFonts w:ascii="Arial" w:cs="Arial" w:eastAsia="Arial" w:hAnsi="Arial"/>
          <w:sz w:val="17"/>
          <w:szCs w:val="17"/>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ectPr>
          <w:pgSz w:w="11900" w:h="16838" w:orient="portrait"/>
          <w:cols w:equalWidth="0" w:num="1">
            <w:col w:w="9019"/>
          </w:cols>
          <w:pgMar w:left="1440" w:top="274" w:right="1440" w:bottom="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7" w:name="page18"/>
    <w:bookmarkEnd w:id="17"/>
    <w:p>
      <w:pPr>
        <w:ind w:left="460" w:right="479" w:firstLine="432"/>
        <w:spacing w:after="0" w:line="263" w:lineRule="auto"/>
        <w:rPr>
          <w:sz w:val="20"/>
          <w:szCs w:val="20"/>
          <w:color w:val="auto"/>
        </w:rPr>
      </w:pPr>
      <w:r>
        <w:rPr>
          <w:rFonts w:ascii="Arial" w:cs="Arial" w:eastAsia="Arial" w:hAnsi="Arial"/>
          <w:sz w:val="18"/>
          <w:szCs w:val="18"/>
          <w:color w:val="auto"/>
        </w:rPr>
        <w:t>The Board of Directors, including a majority of the non-interested directors who have no financial interest in this Proposal 1, concluded that the benefits to the shareholders from increasing the Company’s capital base outweighed any detriment, including dilution to existing shareholders.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Required Vote</w:t>
      </w:r>
    </w:p>
    <w:p>
      <w:pPr>
        <w:spacing w:after="0" w:line="14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The authorization of the Company to sell Common Shares at a price or prices below the Company’s then current NAV per share in one or multiple offerings will require the affirmative vote of (1) a majority of the outstanding Common Shares entitled to vote at the Meeting; and (2) a majority of the outstanding Common Shares entitled to vote at the Meeting that are not held by affiliated persons of us, which includes the Company’s officers, directors, employees and 5% shareholders. Because the Company is regulated as a BDC under the 1940 Act, the 1940 Act definition of “a majority of the outstanding shares” must be used for purposes of this proposal. Under the 1940 Act, “a majority of the outstanding shares” is defined as the lesser of: (i) 67% or more of the voting securities present at the Meeting if the holders of more than 50% of the Company’s outstanding voting securities are present or represented by proxy; or (ii) more than 50% of the Company’s outstanding voting securities. Abstentions and Broker Non-Votes will have the effect of a vote against this proposal.</w:t>
      </w:r>
    </w:p>
    <w:p>
      <w:pPr>
        <w:spacing w:after="0" w:line="110" w:lineRule="exact"/>
        <w:rPr>
          <w:sz w:val="20"/>
          <w:szCs w:val="20"/>
          <w:color w:val="auto"/>
        </w:rPr>
      </w:pPr>
    </w:p>
    <w:p>
      <w:pPr>
        <w:ind w:left="460" w:right="659" w:firstLine="432"/>
        <w:spacing w:after="0" w:line="256" w:lineRule="auto"/>
        <w:rPr>
          <w:sz w:val="20"/>
          <w:szCs w:val="20"/>
          <w:color w:val="auto"/>
        </w:rPr>
      </w:pPr>
      <w:r>
        <w:rPr>
          <w:rFonts w:ascii="Arial" w:cs="Arial" w:eastAsia="Arial" w:hAnsi="Arial"/>
          <w:sz w:val="18"/>
          <w:szCs w:val="18"/>
          <w:b w:val="1"/>
          <w:bCs w:val="1"/>
          <w:color w:val="auto"/>
        </w:rPr>
        <w:t>THE BOARD OF DIRECTORS BELIEVES THAT A VOTE “FOR” PROPOSAL 1 TO AUTHORIZE THE COMPANY TO SELL ITS COMMON SHARES AT A PRICE OR PRICES BELOW THE COMPANY’S THEN CURRENT NET ASSET VALUE PER SHARE IN ONE OR MULTIPLE OFFERINGS, (SUBJECT TO CERTAIN LIMITATIONS DESCRIBED IN THIS PROXY STATEMENT), AS DESCRIBED ABOVE IS IN THE BEST INTERESTS OF THE COMPANY’S SHAREHOLDERS AND RECOMMENDS A VOTE “FOR” PROPOSAL 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jc w:val="center"/>
        <w:ind w:left="460" w:right="479"/>
        <w:spacing w:after="0" w:line="282" w:lineRule="auto"/>
        <w:rPr>
          <w:sz w:val="20"/>
          <w:szCs w:val="20"/>
          <w:color w:val="auto"/>
        </w:rPr>
      </w:pPr>
      <w:r>
        <w:rPr>
          <w:rFonts w:ascii="Arial" w:cs="Arial" w:eastAsia="Arial" w:hAnsi="Arial"/>
          <w:sz w:val="18"/>
          <w:szCs w:val="18"/>
          <w:b w:val="1"/>
          <w:bCs w:val="1"/>
          <w:color w:val="auto"/>
        </w:rPr>
        <w:t>PROPOSAL 2: APPROVE AN AMENDMENT TO THE COMPANY’S CHARTER TO ALLOW THE COMPANY’S SHAREHOLDERS TO AMEND THE BYLAWS</w:t>
      </w:r>
    </w:p>
    <w:p>
      <w:pPr>
        <w:spacing w:after="0" w:line="98"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The Board of Directors has adopted a resolution whereby it has declared advisable, and recommends for your approval, an amendment to Article VI, Section 5.6 of the Company’s Charter, to provide that the Company’s Bylaws may be amended by the vote of a majority of its entire Board of Directors or by its shareholders by the affirmative vote of a majority of all the votes entitled to be cast on the matter. Currently, Article VI, Section 5.6 of the Company’s Charter provides that the Board of Directors has the exclusive power to make, alter, amend or repeal the Bylaws.</w:t>
      </w:r>
    </w:p>
    <w:p>
      <w:pPr>
        <w:spacing w:after="0" w:line="111"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Board of Directors is committed to strong and effective corporate governance and monitors regularly the Company’s corporate governance policies and practices. After careful consideration, the Board of Directors believes that allowing the Company’s shareholders to amend its Bylaws by the affirmative vote of a majority of all the votes entitled to be cast on the matter is in the Company’s best interests and in the best interests of its shareholders. A copy of the proposed amendment to the Company’s Charter is attached as Attachment A to this Proxy Statement and incorporated by reference into this Proposal 2. If this Charter amendment is approved by the Company’s shareholders, the Board of Directors will similarly amend the Company’s Bylaws. If this Charter amendment is not approved by shareholders, then the Board of Directors will not amend the Company’s Charter or Bylaws to provide this right to shareholders.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affirmative vote of a majority of all the votes entitled to be cast on the matter is required to amend the Company’s Charter to allow shareholders to amend the Bylaws by the affirmative vote of a majority of all the votes entitled to be cast on the matter. For purposes of the vote on this Proposal 2, abstentions and broker non-votes will have the effect of a vote against this proposal.</w:t>
      </w:r>
    </w:p>
    <w:p>
      <w:pPr>
        <w:spacing w:after="0" w:line="115" w:lineRule="exact"/>
        <w:rPr>
          <w:sz w:val="20"/>
          <w:szCs w:val="20"/>
          <w:color w:val="auto"/>
        </w:rPr>
      </w:pPr>
    </w:p>
    <w:p>
      <w:pPr>
        <w:ind w:left="460" w:right="639" w:firstLine="432"/>
        <w:spacing w:after="0" w:line="261" w:lineRule="auto"/>
        <w:rPr>
          <w:sz w:val="20"/>
          <w:szCs w:val="20"/>
          <w:color w:val="auto"/>
        </w:rPr>
      </w:pPr>
      <w:r>
        <w:rPr>
          <w:rFonts w:ascii="Arial" w:cs="Arial" w:eastAsia="Arial" w:hAnsi="Arial"/>
          <w:sz w:val="18"/>
          <w:szCs w:val="18"/>
          <w:b w:val="1"/>
          <w:bCs w:val="1"/>
          <w:color w:val="auto"/>
        </w:rPr>
        <w:t>THE BOARD OF DIRECTORS BELIEVES THAT A VOTE “FOR” PROPOSAL 2 TO AMEND THE COMPANY’S CHARTER TO ALLOW SHAREHOLDERS TO AMEND THE COMPANY’S BYLAWS IS IN THE BEST INTERESTS OF THE COMPANY’S SHARHEOLDERS AND RECOMMENDS A VOTE “FOR” THE APPROVAL OF THIS PROPOSAL 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3: ADJOURNMENT OF THE MEETING</w:t>
      </w:r>
    </w:p>
    <w:p>
      <w:pPr>
        <w:spacing w:after="0" w:line="162"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Company’s shareholders may be asked to consider and act upon one or more adjournments of the Meeting, if necessary or appropriate, to solicit additional proxies in favor of any or all of the other proposals set forth in this proxy statement.</w:t>
      </w:r>
    </w:p>
    <w:p>
      <w:pPr>
        <w:spacing w:after="0" w:line="103"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If a quorum is not present at the Meeting, the Company’s shareholders may be asked to vote on the proposal to adjourn the Meeting to solicit additional proxies. If a quorum is present at the Meeting, but there are not sufficient votes at the time of the Meeting to approve one or more of the proposals, the Company’s shareholders may also be asked to vote on the proposal to approve the adjournment of the Meeting to permit further solicitation of proxies in favor of the other proposals. However, a shareholder vote may be taken on one of the proposals in this proxy statement prior to any such adjournment if there are sufficient votes for approval on such proposal.</w:t>
      </w:r>
    </w:p>
    <w:p>
      <w:pPr>
        <w:spacing w:after="0" w:line="127"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If the adjournment proposal is submitted for a vote at the Meeting, and if the Company’s shareholders vote to approve the adjournment proposal, the meeting will be adjourned to enable the Board of Directors to solicit additional proxies in favor of one or more proposals. If the adjournment proposal is approved, and the Meeting is adjourned, the Board of Directors will use the additional time to solicit additional proxies in favor of any of the proposals to be presented at the Meeting, including the solicitation of proxies from shareholders that have previously voted against the relevant proposal.</w:t>
      </w:r>
    </w:p>
    <w:p>
      <w:pPr>
        <w:spacing w:after="0" w:line="110"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The Board of Directors believes that, if the number of Common Shares voting in favor of any of the proposals presented at the Meeting is insufficient to approve a proposal, it is in the best interests of the Company’s shareholders to enable the Board of Directors, for a limited period of time, to continue to seek to obtain a sufficient number of additional votes in favor of the proposal. Any signed proxies received by the Company in which no voting instructions are provided on such matter will be voted in favor of an adjournment in these circumstances. The time and place of the adjourned meeting will be announced at the time the adjournment is taken. Any adjournment of the Meeting for the purpose of soliciting additional proxies will allow the Company’s shareholders who have already sent in their proxies to revoke them at any time prior to their use at the Meeting was adjourned or postponed.</w:t>
      </w:r>
    </w:p>
    <w:p>
      <w:pPr>
        <w:spacing w:after="0" w:line="96" w:lineRule="exact"/>
        <w:rPr>
          <w:sz w:val="20"/>
          <w:szCs w:val="20"/>
          <w:color w:val="auto"/>
        </w:rPr>
      </w:pPr>
    </w:p>
    <w:p>
      <w:pPr>
        <w:ind w:left="460" w:right="759" w:firstLine="432"/>
        <w:spacing w:after="0" w:line="282" w:lineRule="auto"/>
        <w:rPr>
          <w:sz w:val="20"/>
          <w:szCs w:val="20"/>
          <w:color w:val="auto"/>
        </w:rPr>
      </w:pPr>
      <w:r>
        <w:rPr>
          <w:rFonts w:ascii="Arial" w:cs="Arial" w:eastAsia="Arial" w:hAnsi="Arial"/>
          <w:sz w:val="18"/>
          <w:szCs w:val="18"/>
          <w:b w:val="1"/>
          <w:bCs w:val="1"/>
          <w:color w:val="auto"/>
        </w:rPr>
        <w:t>THE BOARD OF DIRECTORS RECOMMENDS A VOTE “FOR” THE ADJOURNMENT OF THE MEETING, IF NECESSARY OR APPROPRIATE, TO SOLICIT ADDITIONAL PROXIES.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Board of Directors is not aware of any business to come before the Meeting other than the matter described above in this Proxy Statement and matters incident to the conduct of the Meeting. Properly executed proxies in the accompanying form that have not been revoked confer discretionary authority on the persons named therein to vote at the direction of a majority of the Board of Directors on any other matters presented at the Meeting. Under SEC rules, if a shareholder does not notify the Company within a reasonable time before the date of this Proxy Statement of such shareholder’s intent to present a proposal at the Meeting, the persons named in the accompanying proxy may exercise such discretionary voting authority if the proposal is raised at the Meeting, without any discussion of the matter in this Proxy Statement.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SPECIAL MEETING TO BE HELD ON JULY 10, 2020</w:t>
      </w:r>
    </w:p>
    <w:p>
      <w:pPr>
        <w:spacing w:after="0" w:line="130"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 xml:space="preserve">The Proxy Statement, the Proxy Card and the accompanying Notice of Special Meeting of Shareholders are available at the website: </w:t>
      </w:r>
      <w:r>
        <w:rPr>
          <w:rFonts w:ascii="Arial" w:cs="Arial" w:eastAsia="Arial" w:hAnsi="Arial"/>
          <w:sz w:val="18"/>
          <w:szCs w:val="18"/>
          <w:i w:val="1"/>
          <w:iCs w:val="1"/>
          <w:color w:val="auto"/>
        </w:rPr>
        <w:t>http://www.astproxyportal.com/ast/98844</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162"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 xml:space="preserve">The Company’s SEC filings are also available to the public from commercial document retrieval services and on the web site maintained by the SEC at www.sec.gov. Such information will also be furnished upon written request to Newtek Business Services Corp., 1981 Marcus Avenue, Suite 130, Lake Success, New York 11042, Attention: Corporate Secretary, and can also be accessed through the Company’s website at </w:t>
      </w:r>
      <w:r>
        <w:rPr>
          <w:rFonts w:ascii="Arial" w:cs="Arial" w:eastAsia="Arial" w:hAnsi="Arial"/>
          <w:sz w:val="18"/>
          <w:szCs w:val="18"/>
          <w:i w:val="1"/>
          <w:iCs w:val="1"/>
          <w:color w:val="auto"/>
        </w:rPr>
        <w:t>www.newtekone.com</w:t>
      </w:r>
      <w:r>
        <w:rPr>
          <w:rFonts w:ascii="Arial" w:cs="Arial" w:eastAsia="Arial" w:hAnsi="Arial"/>
          <w:sz w:val="18"/>
          <w:szCs w:val="18"/>
          <w:color w:val="auto"/>
        </w:rPr>
        <w:t>.</w:t>
      </w:r>
    </w:p>
    <w:p>
      <w:pPr>
        <w:spacing w:after="0" w:line="120"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 (212) 356-9500. Promptly upon receipt by the Company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OF PROXIES</w:t>
      </w:r>
    </w:p>
    <w:p>
      <w:pPr>
        <w:spacing w:after="0" w:line="148" w:lineRule="exact"/>
        <w:rPr>
          <w:sz w:val="20"/>
          <w:szCs w:val="20"/>
          <w:color w:val="auto"/>
        </w:rPr>
      </w:pPr>
    </w:p>
    <w:p>
      <w:pPr>
        <w:ind w:left="460" w:right="619" w:firstLine="432"/>
        <w:spacing w:after="0" w:line="311"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16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 The Company has engaged the services of Georgeson LLC to assist in the solicitation of proxies. The Company has estimated that it will pay approximately $40,000, plus reimbursement of certain expenses and fees for additional services requested. Please note that Georgeson LLC may solicit shareholder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 Shareholders may send written communications to the Board of Directors to the attention of the Board of Directors, c/o Newtek Business Services Corp., 1981 Marcus Avenue, Suite 130, Lake Success, New York 11042. Shareholder communications must be signed by the shareholder and identify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ind w:left="460" w:right="699"/>
        <w:spacing w:after="0" w:line="286" w:lineRule="auto"/>
        <w:rPr>
          <w:sz w:val="20"/>
          <w:szCs w:val="20"/>
          <w:color w:val="auto"/>
        </w:rPr>
      </w:pPr>
      <w:r>
        <w:rPr>
          <w:rFonts w:ascii="Arial" w:cs="Arial" w:eastAsia="Arial" w:hAnsi="Arial"/>
          <w:sz w:val="17"/>
          <w:szCs w:val="17"/>
          <w:color w:val="auto"/>
        </w:rPr>
        <w:t>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48"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The Company will furnish, without charge, a copy of the Company’s Annual Report on Form 10-K for the fiscal year ended December 31, 2019 to any shareholder upon request. Requests should be directed to Newtek Business Services Corp., 1981 Marcus Avenue, Suite 130, Lake Success, New York 11042, Attention: Chief Legal Officer or call (212) 356-9500, or by emailing mschwartz@newtekone.com.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162"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In order to be eligible for inclusion in the Proxy Statement and proxy relating to the 2021 Annual Meeting of Shareholders of the Company, which will be held on or about June 12, 2021, any shareholder proposal to take action at such meeting must be received by the Secretary of the Company at 1981 Marcus Avenue, Suite 130, Lake Success, New York 11042, no later than January 13, 2021. Nothing in this paragraph shall be deemed to require the Company to include in its Proxy Statement and proxy relating to the 2020 Special Meeting of Shareholders, or to consider and vote upon at any such meeting, any shareholder proposal which does not meet all of the requirements established by the SEC or the Company’s Articles of Amendment and Restatement or Bylaws in effect at the time such proposal is received.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WHETHER OR NOT YOU PLAN TO ATTEND THE MEETING, THE COMPANY URGES YOU TO</w:t>
      </w:r>
    </w:p>
    <w:p>
      <w:pPr>
        <w:spacing w:after="0" w:line="27" w:lineRule="exact"/>
        <w:rPr>
          <w:sz w:val="20"/>
          <w:szCs w:val="20"/>
          <w:color w:val="auto"/>
        </w:rPr>
      </w:pPr>
    </w:p>
    <w:p>
      <w:pPr>
        <w:jc w:val="center"/>
        <w:ind w:left="460" w:right="479"/>
        <w:spacing w:after="0" w:line="255" w:lineRule="auto"/>
        <w:rPr>
          <w:sz w:val="20"/>
          <w:szCs w:val="20"/>
          <w:color w:val="auto"/>
        </w:rPr>
      </w:pPr>
      <w:r>
        <w:rPr>
          <w:rFonts w:ascii="Arial" w:cs="Arial" w:eastAsia="Arial" w:hAnsi="Arial"/>
          <w:sz w:val="18"/>
          <w:szCs w:val="18"/>
          <w:b w:val="1"/>
          <w:bCs w:val="1"/>
          <w:color w:val="auto"/>
        </w:rPr>
        <w:t>VOTE OVER THE INTERNET, BY PHONE, OR BY MARKING, SIGNING AND RETURNING YOUR PROXY OR VOTING INSTRUCTION CARD AS SOON AS POSSIBLE. NO POSTAGE IS NECESSARY IF MAILED IN THE UNITED STATES.</w:t>
      </w:r>
    </w:p>
    <w:p>
      <w:pPr>
        <w:spacing w:after="0" w:line="1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40640</wp:posOffset>
            </wp:positionV>
            <wp:extent cx="25717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A. Schwartz</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Corporate Secretary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jc w:val="right"/>
        <w:ind w:right="45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ATTACHMENT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CHARTER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NEWTEK BUSINESS SERVICES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w:t>
      </w:r>
    </w:p>
    <w:p>
      <w:pPr>
        <w:spacing w:after="0" w:line="148"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NEWTEK BUSINESS SERVICES CORP., a Maryland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hereby certifies to the State Department of Assessments and Taxation of Maryland that:</w:t>
      </w:r>
    </w:p>
    <w:p>
      <w:pPr>
        <w:spacing w:after="0" w:line="103"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Article VI, Section 5.6 of the Articles of Amendment and Restatement of the Corporation filed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31, 2014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is hereby amended by deleting such Section 5.6 and replacing it in its entirety with the following: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Charter and Bylaws</w:t>
      </w:r>
      <w:r>
        <w:rPr>
          <w:rFonts w:ascii="Arial" w:cs="Arial" w:eastAsia="Arial" w:hAnsi="Arial"/>
          <w:sz w:val="18"/>
          <w:szCs w:val="18"/>
          <w:color w:val="auto"/>
        </w:rPr>
        <w:t>. All persons who shall acquire stock in the Corporation shall acquire the same subject to the provisions of the charter and the Bylaws. The Board of Directors is vested with the power to adopt, alter or repeal any provision of the Bylaws and to make new Bylaws. In addition, the stockholders may adopt, alter or repeal any provision of the Bylaws and make new Bylaws if such action is approved by the affirmative vote of a majority of all votes entitled to be cast on the matter, except that the stockholders shall not have the power to alter or repeal any provision of the Bylaws providing indemnification or advancement rights to any person.”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This amendment to the Charter has been approved by the Board of Directors and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Corporation.</w:t>
      </w:r>
    </w:p>
    <w:p>
      <w:pPr>
        <w:spacing w:after="0" w:line="89"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The undersigned acknowledges these Articles of Amendment to be the corporate act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as to all matters of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WITNESS WHEREOF, the Corporation has caused these Articles of Amendment to be signed in its</w:t>
      </w:r>
    </w:p>
    <w:p>
      <w:pPr>
        <w:spacing w:after="0" w:line="46" w:lineRule="exact"/>
        <w:rPr>
          <w:sz w:val="20"/>
          <w:szCs w:val="20"/>
          <w:color w:val="auto"/>
        </w:rPr>
      </w:pPr>
    </w:p>
    <w:p>
      <w:pPr>
        <w:ind w:left="460" w:right="639"/>
        <w:spacing w:after="0" w:line="260" w:lineRule="auto"/>
        <w:rPr>
          <w:sz w:val="20"/>
          <w:szCs w:val="20"/>
          <w:color w:val="auto"/>
        </w:rPr>
      </w:pPr>
      <w:r>
        <w:rPr>
          <w:rFonts w:ascii="Arial" w:cs="Arial" w:eastAsia="Arial" w:hAnsi="Arial"/>
          <w:sz w:val="18"/>
          <w:szCs w:val="18"/>
          <w:color w:val="auto"/>
        </w:rPr>
        <w:t>name and on its behalf by Chief Executive Officer and attested to by its Secretary as of the day of ,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4"/>
              </w:rPr>
              <w:t>NEWTEK BUSINESS SERVICES CORP.</w:t>
            </w:r>
          </w:p>
        </w:tc>
      </w:tr>
      <w:tr>
        <w:trPr>
          <w:trHeight w:val="283"/>
        </w:trPr>
        <w:tc>
          <w:tcPr>
            <w:tcW w:w="3020" w:type="dxa"/>
            <w:vAlign w:val="bottom"/>
          </w:tcPr>
          <w:p>
            <w:pPr>
              <w:spacing w:after="0"/>
              <w:rPr>
                <w:sz w:val="20"/>
                <w:szCs w:val="20"/>
                <w:color w:val="auto"/>
              </w:rPr>
            </w:pPr>
            <w:r>
              <w:rPr>
                <w:rFonts w:ascii="Arial" w:cs="Arial" w:eastAsia="Arial" w:hAnsi="Arial"/>
                <w:sz w:val="18"/>
                <w:szCs w:val="18"/>
                <w:color w:val="auto"/>
              </w:rPr>
              <w:t>Attest:</w:t>
            </w:r>
          </w:p>
        </w:tc>
        <w:tc>
          <w:tcPr>
            <w:tcW w:w="194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By:</w:t>
            </w:r>
          </w:p>
        </w:tc>
      </w:tr>
      <w:tr>
        <w:trPr>
          <w:trHeight w:val="324"/>
        </w:trPr>
        <w:tc>
          <w:tcPr>
            <w:tcW w:w="302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195"/>
        </w:trPr>
        <w:tc>
          <w:tcPr>
            <w:tcW w:w="3020" w:type="dxa"/>
            <w:vAlign w:val="bottom"/>
          </w:tcPr>
          <w:p>
            <w:pPr>
              <w:spacing w:after="0" w:line="195" w:lineRule="exact"/>
              <w:rPr>
                <w:sz w:val="20"/>
                <w:szCs w:val="20"/>
                <w:color w:val="auto"/>
              </w:rPr>
            </w:pPr>
            <w:r>
              <w:rPr>
                <w:rFonts w:ascii="Arial" w:cs="Arial" w:eastAsia="Arial" w:hAnsi="Arial"/>
                <w:sz w:val="18"/>
                <w:szCs w:val="18"/>
                <w:color w:val="auto"/>
              </w:rPr>
              <w:t>Michael A. Schwartz</w:t>
            </w:r>
          </w:p>
        </w:tc>
        <w:tc>
          <w:tcPr>
            <w:tcW w:w="1940" w:type="dxa"/>
            <w:vAlign w:val="bottom"/>
          </w:tcPr>
          <w:p>
            <w:pPr>
              <w:spacing w:after="0"/>
              <w:rPr>
                <w:sz w:val="16"/>
                <w:szCs w:val="16"/>
                <w:color w:val="auto"/>
              </w:rPr>
            </w:pPr>
          </w:p>
        </w:tc>
        <w:tc>
          <w:tcPr>
            <w:tcW w:w="3140" w:type="dxa"/>
            <w:vAlign w:val="bottom"/>
          </w:tcPr>
          <w:p>
            <w:pPr>
              <w:spacing w:after="0" w:line="195" w:lineRule="exact"/>
              <w:rPr>
                <w:sz w:val="20"/>
                <w:szCs w:val="20"/>
                <w:color w:val="auto"/>
              </w:rPr>
            </w:pPr>
            <w:r>
              <w:rPr>
                <w:rFonts w:ascii="Arial" w:cs="Arial" w:eastAsia="Arial" w:hAnsi="Arial"/>
                <w:sz w:val="18"/>
                <w:szCs w:val="18"/>
                <w:color w:val="auto"/>
              </w:rPr>
              <w:t>Barry Sloane</w:t>
            </w:r>
          </w:p>
        </w:tc>
      </w:tr>
      <w:tr>
        <w:trPr>
          <w:trHeight w:val="230"/>
        </w:trPr>
        <w:tc>
          <w:tcPr>
            <w:tcW w:w="3020" w:type="dxa"/>
            <w:vAlign w:val="bottom"/>
          </w:tcPr>
          <w:p>
            <w:pPr>
              <w:spacing w:after="0"/>
              <w:rPr>
                <w:sz w:val="20"/>
                <w:szCs w:val="20"/>
                <w:color w:val="auto"/>
              </w:rPr>
            </w:pPr>
            <w:r>
              <w:rPr>
                <w:rFonts w:ascii="Arial" w:cs="Arial" w:eastAsia="Arial" w:hAnsi="Arial"/>
                <w:sz w:val="18"/>
                <w:szCs w:val="18"/>
                <w:i w:val="1"/>
                <w:iCs w:val="1"/>
                <w:color w:val="auto"/>
              </w:rPr>
              <w:t>Secretary</w:t>
            </w:r>
          </w:p>
        </w:tc>
        <w:tc>
          <w:tcPr>
            <w:tcW w:w="194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445"/>
        </w:trPr>
        <w:tc>
          <w:tcPr>
            <w:tcW w:w="30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9019"/>
          </w:cols>
          <w:pgMar w:left="1440" w:top="270" w:right="1440" w:bottom="1440"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182880</wp:posOffset>
            </wp:positionV>
            <wp:extent cx="5143500" cy="6909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182880</wp:posOffset>
            </wp:positionV>
            <wp:extent cx="5143500" cy="6909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182880</wp:posOffset>
            </wp:positionV>
            <wp:extent cx="5143500" cy="6909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6909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S"/>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2"/>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2020-06-05T16:19:56Z</dcterms:created>
  <dcterms:modified xsi:type="dcterms:W3CDTF">2020-06-05T16:19:56Z</dcterms:modified>
</cp:coreProperties>
</file>