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33"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(RULE 14a-101)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NEWTEK BUSINESS SERVICES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 (i) (1)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-2351405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-2771775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-3329305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-3749040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289560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-130175</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-550545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-970915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693" w:right="259" w:bottom="32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invite you to attend the Special Meeting of Shareholders (the “Meeting”) of Newtek Business Services Corp. (the “Company”) to be held at 2711 South Ocean Drive, Hollywood, FL 33019 on July 26, 2017 at 9:00 a.m., local time.</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attached Notice of Special Meeting and Proxy Statement accompanying this letter provide an outline of the business to be conducted at the meeting. At the meeting, you will be asked to consider and vote upon a proposal to authorize flexibility for the Company, with approval of its Board of Directors, to sell shares of its common stock (during the next 12 months) at a price below its then current net asset value per share subject to certain conditions as set forth herein (including that the cumulative number of shares sold does not exceed 20% of its then outstanding common stock immediately prior to each such sale).</w:t>
      </w:r>
    </w:p>
    <w:p>
      <w:pPr>
        <w:spacing w:after="0" w:line="15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 behalf of the Company’s Board of Directors, we</w:t>
      </w:r>
      <w:r>
        <w:rPr>
          <w:rFonts w:ascii="Arial" w:cs="Arial" w:eastAsia="Arial" w:hAnsi="Arial"/>
          <w:sz w:val="18"/>
          <w:szCs w:val="18"/>
          <w:b w:val="1"/>
          <w:bCs w:val="1"/>
          <w:color w:val="auto"/>
        </w:rPr>
        <w:t xml:space="preserve"> </w:t>
      </w:r>
      <w:r>
        <w:rPr>
          <w:rFonts w:ascii="Arial" w:cs="Arial" w:eastAsia="Arial" w:hAnsi="Arial"/>
          <w:sz w:val="18"/>
          <w:szCs w:val="18"/>
          <w:color w:val="auto"/>
        </w:rPr>
        <w:t>urge you even if you plan to attend the meeting in person, to complete, date and sign the enclosed Proxy Card and promptly return it in the envelope provided. If you prefer, you can save time by authorizing your proxy through the Internet or by telephone as described in the Proxy Statement and on the enclosed Proxy Card. This will not prevent you from voting in person, but will assure that your vote is counted if you are unable to attend the Meeting. Your vote and participation in the governance of the Company is very important to us.</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NEWTEK BUSINESS SERVICES CORP.</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1981 Marcus Avenue, Suite 130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July 26,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Shareholders (the “Meeting”) of Newtek Business Services Corp. (the “Company”) will be held at</w:t>
      </w:r>
      <w:r>
        <w:rPr>
          <w:rFonts w:ascii="Arial" w:cs="Arial" w:eastAsia="Arial" w:hAnsi="Arial"/>
          <w:sz w:val="18"/>
          <w:szCs w:val="18"/>
          <w:b w:val="1"/>
          <w:bCs w:val="1"/>
          <w:color w:val="auto"/>
        </w:rPr>
        <w:t xml:space="preserve"> </w:t>
      </w:r>
      <w:r>
        <w:rPr>
          <w:rFonts w:ascii="Arial" w:cs="Arial" w:eastAsia="Arial" w:hAnsi="Arial"/>
          <w:sz w:val="18"/>
          <w:szCs w:val="18"/>
          <w:color w:val="auto"/>
        </w:rPr>
        <w:t>2711 South Ocean Drive, Hollywood, FL 33019 on July 26, 2017 at 9:00 a.m., local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Meeting is for the following purpose, which is more completely described in the accompanying Proxy Statement:</w:t>
      </w:r>
    </w:p>
    <w:p>
      <w:pPr>
        <w:spacing w:after="0" w:line="225" w:lineRule="exact"/>
        <w:rPr>
          <w:sz w:val="20"/>
          <w:szCs w:val="20"/>
          <w:color w:val="auto"/>
        </w:rPr>
      </w:pPr>
    </w:p>
    <w:p>
      <w:pPr>
        <w:jc w:val="both"/>
        <w:ind w:left="980" w:right="40" w:hanging="324"/>
        <w:spacing w:after="0" w:line="25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 (including that the number of shares sold on any given date does not exceed 20% of its outstanding common stock immediately prior to such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is not aware of any other business to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at the close of business on June 9, 2017 are entitled to vote at the Meeting and any adjournment thereof.</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Meeting in person.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BARRY SLOANE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 Success,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98995" cy="647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647065"/>
                    </a:xfrm>
                    <a:prstGeom prst="rect">
                      <a:avLst/>
                    </a:prstGeom>
                    <a:noFill/>
                  </pic:spPr>
                </pic:pic>
              </a:graphicData>
            </a:graphic>
          </wp:anchor>
        </w:drawing>
      </w:r>
    </w:p>
    <w:p>
      <w:pPr>
        <w:spacing w:after="0" w:line="268" w:lineRule="exact"/>
        <w:rPr>
          <w:sz w:val="20"/>
          <w:szCs w:val="20"/>
          <w:color w:val="auto"/>
        </w:rPr>
      </w:pPr>
    </w:p>
    <w:p>
      <w:pPr>
        <w:ind w:left="80" w:right="140"/>
        <w:spacing w:after="0" w:line="261" w:lineRule="auto"/>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THE PROMPT RETURN OF PROXIES WILL SAVE YOUR COMPANY THE EXPENSE OF A FURTHER REQUEST FOR</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48"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NEWTEK BUSINESS SERVICES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1981 Marcus Avenue, Suite 130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Lake Success, New York 11042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 356-9500</w:t>
      </w:r>
    </w:p>
    <w:p>
      <w:pPr>
        <w:spacing w:after="0" w:line="20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SPECIAL MEETING OF SHAREHOLDERS</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July 26,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Newtek Business Services Corp. (the “Company”) for the Special Meeting of Shareholders (the “Meeting”) to be held at 2711 South Ocean Drive, Hollywood, FL 33019 on July 26, 2017 at 9:00 a.m., local time. The accompanying Notice of Special Meeting and this Proxy Statement, together with the enclosed Proxy Card (collectively, the “Proxy Statement”), are first being mailed to shareholders on or about June 23, 2017.</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encourage you to vote your shares</w:t>
      </w:r>
      <w:r>
        <w:rPr>
          <w:rFonts w:ascii="Arial" w:cs="Arial" w:eastAsia="Arial" w:hAnsi="Arial"/>
          <w:sz w:val="16"/>
          <w:szCs w:val="16"/>
          <w:color w:val="auto"/>
        </w:rPr>
        <w:t>, either by voting in person at the Meeting or by granting a proxy (i.e., authorizing someone to vote your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may vote using any of the following methods:</w:t>
      </w:r>
    </w:p>
    <w:p>
      <w:pPr>
        <w:spacing w:after="0" w:line="221" w:lineRule="exact"/>
        <w:rPr>
          <w:sz w:val="20"/>
          <w:szCs w:val="20"/>
          <w:color w:val="auto"/>
        </w:rPr>
      </w:pPr>
    </w:p>
    <w:p>
      <w:pPr>
        <w:jc w:val="both"/>
        <w:ind w:right="160"/>
        <w:spacing w:after="0" w:line="281" w:lineRule="auto"/>
        <w:rPr>
          <w:sz w:val="20"/>
          <w:szCs w:val="20"/>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 Shareholders of record may submit proxies by completing, signing and dating each Proxy Card received and returning it in the prepaid envelope.</w:t>
      </w:r>
      <w:r>
        <w:rPr>
          <w:rFonts w:ascii="Arial" w:cs="Arial" w:eastAsia="Arial" w:hAnsi="Arial"/>
          <w:sz w:val="17"/>
          <w:szCs w:val="17"/>
          <w:b w:val="1"/>
          <w:bCs w:val="1"/>
          <w:color w:val="auto"/>
        </w:rPr>
        <w:t xml:space="preserve"> </w:t>
      </w:r>
      <w:r>
        <w:rPr>
          <w:rFonts w:ascii="Arial" w:cs="Arial" w:eastAsia="Arial" w:hAnsi="Arial"/>
          <w:sz w:val="17"/>
          <w:szCs w:val="17"/>
          <w:color w:val="auto"/>
        </w:rPr>
        <w:t>Sign your name exactly as it appears on the proxy. If you return your signed proxy but do not indicate your voting preferences, your shares will be voted on your behalf “FOR” the Proposal listed in this Proxy Statement. Shareholders who hold shares beneficially in street name may provide voting instructions by mail by completing, signing and dating the voting instruction forms provided by their brokers, banks or other nominees.</w:t>
      </w:r>
    </w:p>
    <w:p>
      <w:pPr>
        <w:spacing w:after="0" w:line="16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Shareholders of record may submit proxies by following the telephone voting instructions on each Proxy Card. Most shareholders who hold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18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 voting instructions on their Proxy Cards. Most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hold shares beneficially in street name may provide voting instructions by accessing the website specified on the voting instruction form provided by their brokers, banks or nominees.</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 Shares held in your name as the shareholder of record may be voted at the Meeting. Shares held beneficially in street name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voted in person only if you obtain a legal proxy from the broker, bank or nominee that holds your shares giving you the right to vote the shares. </w:t>
      </w:r>
      <w:r>
        <w:rPr>
          <w:rFonts w:ascii="Arial" w:cs="Arial" w:eastAsia="Arial" w:hAnsi="Arial"/>
          <w:sz w:val="18"/>
          <w:szCs w:val="18"/>
          <w:b w:val="1"/>
          <w:bCs w:val="1"/>
          <w:i w:val="1"/>
          <w:iCs w:val="1"/>
          <w:color w:val="auto"/>
        </w:rPr>
        <w:t>Even if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you plan to attend the Meeting, we recommend that you also submit your proxy or voting instructions or vote by telephone or the internet so that your vote will be counted if you later decide not to attend the meeting</w:t>
      </w:r>
      <w:r>
        <w:rPr>
          <w:rFonts w:ascii="Arial" w:cs="Arial" w:eastAsia="Arial" w:hAnsi="Arial"/>
          <w:sz w:val="18"/>
          <w:szCs w:val="18"/>
          <w:color w:val="auto"/>
        </w:rPr>
        <w:t>.</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Secretary of the Company or by the filing of a properly executed, later-dated proxy. A proxy will not be voted if a shareholder attends the Meeting and votes in person. The presence of a shareholder at the Meeting alone will not revoke such shareholder’s proxy. Shareholders have no dissenters’ or appraisal rights in connection with the Proposal described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4680"/>
        <w:spacing w:after="0"/>
        <w:rPr>
          <w:sz w:val="20"/>
          <w:szCs w:val="20"/>
          <w:color w:val="auto"/>
        </w:rPr>
      </w:pPr>
      <w:r>
        <w:rPr>
          <w:rFonts w:ascii="Arial" w:cs="Arial" w:eastAsia="Arial" w:hAnsi="Arial"/>
          <w:sz w:val="18"/>
          <w:szCs w:val="18"/>
          <w:b w:val="1"/>
          <w:bCs w:val="1"/>
          <w:color w:val="auto"/>
        </w:rPr>
        <w:t>PURPOSE OF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you will be asked to vote on the following proposal:</w:t>
      </w:r>
    </w:p>
    <w:p>
      <w:pPr>
        <w:spacing w:after="0" w:line="225" w:lineRule="exact"/>
        <w:rPr>
          <w:sz w:val="20"/>
          <w:szCs w:val="20"/>
          <w:color w:val="auto"/>
        </w:rPr>
      </w:pPr>
    </w:p>
    <w:p>
      <w:pPr>
        <w:ind w:left="980" w:right="14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(“Common Shares”), at a price below the then current net asset value per share of such Common Shares in one or multiple offerings, subject to certain limitations described in this Proxy Statement (including that the number of shares sold on any given date does not exceed 20% of its outstanding Common Shares immediately prior to such sale) (the “Proposal”).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QUORUM REQUIRED</w:t>
      </w:r>
    </w:p>
    <w:p>
      <w:pPr>
        <w:spacing w:after="0" w:line="229" w:lineRule="exact"/>
        <w:rPr>
          <w:sz w:val="20"/>
          <w:szCs w:val="20"/>
          <w:color w:val="auto"/>
        </w:rPr>
      </w:pPr>
    </w:p>
    <w:p>
      <w:pPr>
        <w:ind w:left="20"/>
        <w:spacing w:after="0" w:line="259" w:lineRule="auto"/>
        <w:rPr>
          <w:sz w:val="20"/>
          <w:szCs w:val="20"/>
          <w:color w:val="auto"/>
        </w:rPr>
      </w:pPr>
      <w:r>
        <w:rPr>
          <w:rFonts w:ascii="Arial" w:cs="Arial" w:eastAsia="Arial" w:hAnsi="Arial"/>
          <w:sz w:val="18"/>
          <w:szCs w:val="18"/>
          <w:color w:val="auto"/>
        </w:rPr>
        <w:t>A quorum must be present at the Meeting for any business to be conducted. The presence at the Meeting, in person or by proxy, of holders of a majority of the shares of Common Shares of the Company outstanding on the Record Date will constitute a quorum. Abstentions and broker non-votes will be deemed to be present for the purpose of determining a quorum for the Meeting. If there are not enough votes for a quorum, the Chairman of the Meeting may adjourn the Meeting to permit the further solicitation of proxies.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20" w:right="140"/>
        <w:spacing w:after="0" w:line="277" w:lineRule="auto"/>
        <w:rPr>
          <w:sz w:val="20"/>
          <w:szCs w:val="20"/>
          <w:color w:val="auto"/>
        </w:rPr>
      </w:pPr>
      <w:r>
        <w:rPr>
          <w:rFonts w:ascii="Arial" w:cs="Arial" w:eastAsia="Arial" w:hAnsi="Arial"/>
          <w:sz w:val="18"/>
          <w:szCs w:val="18"/>
          <w:color w:val="auto"/>
        </w:rPr>
        <w:t>Approval of the Proposal requires the affirmative vote of: (i) a majority of outstanding Common Shares entitled to vote at the Meeting; and (ii) a majority of the outstanding Common Shares entitled to vote at the Meeting which are not held by affiliated persons of the Company.</w:t>
      </w:r>
    </w:p>
    <w:p>
      <w:pPr>
        <w:spacing w:after="0" w:line="170"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For purposes of this proposal, the Investment Company Act of 1940, as amended (the “1940 Act”), defines “a majority of the outstanding shares”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and broker non-votes will have the effect of a vote against this proposal.</w:t>
      </w:r>
    </w:p>
    <w:p>
      <w:pPr>
        <w:spacing w:after="0" w:line="187" w:lineRule="exact"/>
        <w:rPr>
          <w:sz w:val="20"/>
          <w:szCs w:val="20"/>
          <w:color w:val="auto"/>
        </w:rPr>
      </w:pPr>
    </w:p>
    <w:p>
      <w:pPr>
        <w:ind w:left="20" w:right="540"/>
        <w:spacing w:after="0" w:line="277" w:lineRule="auto"/>
        <w:rPr>
          <w:sz w:val="20"/>
          <w:szCs w:val="20"/>
          <w:color w:val="auto"/>
        </w:rPr>
      </w:pPr>
      <w:r>
        <w:rPr>
          <w:rFonts w:ascii="Arial" w:cs="Arial" w:eastAsia="Arial" w:hAnsi="Arial"/>
          <w:sz w:val="18"/>
          <w:szCs w:val="18"/>
          <w:color w:val="auto"/>
        </w:rPr>
        <w:t>If there are not enough Common Shares represented at the Meeting for votes to approve the proposal at the Meeting, the Chairman of the Meeting may adjourn the Meeting to permit the further solicitation of proxies.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 NON-VOTES</w:t>
      </w:r>
    </w:p>
    <w:p>
      <w:pPr>
        <w:spacing w:after="0" w:line="229" w:lineRule="exact"/>
        <w:rPr>
          <w:sz w:val="20"/>
          <w:szCs w:val="20"/>
          <w:color w:val="auto"/>
        </w:rPr>
      </w:pPr>
    </w:p>
    <w:p>
      <w:pPr>
        <w:ind w:left="20" w:right="40"/>
        <w:spacing w:after="0" w:line="286" w:lineRule="auto"/>
        <w:rPr>
          <w:sz w:val="20"/>
          <w:szCs w:val="20"/>
          <w:color w:val="auto"/>
        </w:rPr>
      </w:pPr>
      <w:r>
        <w:rPr>
          <w:rFonts w:ascii="Arial" w:cs="Arial" w:eastAsia="Arial" w:hAnsi="Arial"/>
          <w:sz w:val="16"/>
          <w:szCs w:val="16"/>
          <w:color w:val="auto"/>
        </w:rPr>
        <w:t>If a shareholder of the Company does not vote in person at the Meeting or does not submit voting instructions to its broker, bank or nominee, the broker, bank or other nominee will not be permitted to vote the shareholder’s shares on non-routine proposals. The Proposal is considered a non-routine proposal. As a result, if you hold Common Shares in street name through a broker, your broker will not be permitted to exercise voting discretion with respect to the Proposal. Thus, if you do not vote or give your broker specific instructions on how to vote for you, your broker cannot vote with respect to the</w:t>
      </w:r>
    </w:p>
    <w:p>
      <w:pPr>
        <w:spacing w:after="0" w:line="2" w:lineRule="exact"/>
        <w:rPr>
          <w:sz w:val="20"/>
          <w:szCs w:val="20"/>
          <w:color w:val="auto"/>
        </w:rPr>
      </w:pPr>
    </w:p>
    <w:p>
      <w:pPr>
        <w:ind w:left="20" w:right="400"/>
        <w:spacing w:after="0" w:line="261" w:lineRule="auto"/>
        <w:rPr>
          <w:sz w:val="20"/>
          <w:szCs w:val="20"/>
          <w:color w:val="auto"/>
        </w:rPr>
      </w:pPr>
      <w:r>
        <w:rPr>
          <w:rFonts w:ascii="Arial" w:cs="Arial" w:eastAsia="Arial" w:hAnsi="Arial"/>
          <w:sz w:val="18"/>
          <w:szCs w:val="18"/>
          <w:color w:val="auto"/>
        </w:rPr>
        <w:t>Proposal. While broker non-votes would have the effect of a vote “against” the Proposal, we do not expect many, if any, broker non-votes at the Meeting because there are no routine proposals to be voted on at the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AND REVOCATION OF PROXIES</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Proxies solicited by the Board of Directors of the Company will be voted in accordance with the direction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PROXIES FOR THE MEETING</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The named proxies for the Meeting are Michael A. Schwartz and Barry Sloane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ind w:right="400" w:firstLine="492"/>
        <w:spacing w:after="0" w:line="264" w:lineRule="auto"/>
        <w:rPr>
          <w:sz w:val="20"/>
          <w:szCs w:val="20"/>
          <w:color w:val="auto"/>
        </w:rPr>
      </w:pPr>
      <w:r>
        <w:rPr>
          <w:rFonts w:ascii="Arial" w:cs="Arial" w:eastAsia="Arial" w:hAnsi="Arial"/>
          <w:sz w:val="18"/>
          <w:szCs w:val="18"/>
          <w:color w:val="auto"/>
        </w:rPr>
        <w:t>The securities which can be voted at the Meeting consist of the Company’s common stock, $0.02 par value per share (“Common Shares”). Shareholders of record as of the close of business on June 9, 2017 (the “Record Date”) are entitled to one vote for each Common Share then held on all matters. As of the Record Date, 17,432,330 Common Shares were issued and outstanding.</w:t>
      </w:r>
    </w:p>
    <w:p>
      <w:pPr>
        <w:spacing w:after="0" w:line="181" w:lineRule="exact"/>
        <w:rPr>
          <w:sz w:val="20"/>
          <w:szCs w:val="20"/>
          <w:color w:val="auto"/>
        </w:rPr>
      </w:pPr>
    </w:p>
    <w:p>
      <w:pPr>
        <w:ind w:right="340" w:firstLine="492"/>
        <w:spacing w:after="0" w:line="308" w:lineRule="auto"/>
        <w:rPr>
          <w:sz w:val="20"/>
          <w:szCs w:val="20"/>
          <w:color w:val="auto"/>
        </w:rPr>
      </w:pPr>
      <w:r>
        <w:rPr>
          <w:rFonts w:ascii="Arial" w:cs="Arial" w:eastAsia="Arial" w:hAnsi="Arial"/>
          <w:sz w:val="17"/>
          <w:szCs w:val="17"/>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The following table sets forth, as of June 9, 2017, the beneficial ownership of each current director, the Company’s executive officers, each person known to us to beneficially own 5% or more of the outstanding Common Shares, and the executive officers and directors as a group. The percentage of beneficial ownership is based on 17,432,330 shares of Common Shares outstanding as of June 9, 2017.</w:t>
      </w:r>
    </w:p>
    <w:p>
      <w:pPr>
        <w:spacing w:after="0" w:line="166"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our Common Shares is based upon filings by such persons with the SEC and other information obtained from such persons, if available.</w:t>
      </w:r>
    </w:p>
    <w:p>
      <w:pPr>
        <w:spacing w:after="0" w:line="18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Unless otherwise indicated, the Company believes that each beneficial owner set forth in the table has sole voting and investment power and has the same address as the Company. The Company’s directors are divided into two groups—interested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1981 Marcus Avenue, Suite 130, Lake Success, New York 11042.</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02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 Shares</w:t>
            </w:r>
          </w:p>
        </w:tc>
        <w:tc>
          <w:tcPr>
            <w:tcW w:w="148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2020" w:type="dxa"/>
            <w:vAlign w:val="bottom"/>
          </w:tcPr>
          <w:p>
            <w:pPr>
              <w:jc w:val="right"/>
              <w:ind w:right="150"/>
              <w:spacing w:after="0"/>
              <w:rPr>
                <w:sz w:val="20"/>
                <w:szCs w:val="20"/>
                <w:color w:val="auto"/>
              </w:rPr>
            </w:pPr>
            <w:r>
              <w:rPr>
                <w:rFonts w:ascii="Arial" w:cs="Arial" w:eastAsia="Arial" w:hAnsi="Arial"/>
                <w:sz w:val="18"/>
                <w:szCs w:val="18"/>
                <w:b w:val="1"/>
                <w:bCs w:val="1"/>
                <w:color w:val="auto"/>
              </w:rPr>
              <w:t>Beneficially Owned</w:t>
            </w: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Percent of Class</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2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4480" w:type="dxa"/>
            <w:vAlign w:val="bottom"/>
          </w:tcPr>
          <w:p>
            <w:pPr>
              <w:spacing w:after="0" w:line="256" w:lineRule="exact"/>
              <w:rPr>
                <w:sz w:val="20"/>
                <w:szCs w:val="20"/>
                <w:color w:val="auto"/>
              </w:rPr>
            </w:pPr>
            <w:r>
              <w:rPr>
                <w:rFonts w:ascii="Arial" w:cs="Arial" w:eastAsia="Arial" w:hAnsi="Arial"/>
                <w:sz w:val="18"/>
                <w:szCs w:val="18"/>
                <w:color w:val="auto"/>
              </w:rPr>
              <w:t>Barry Sloane</w:t>
            </w:r>
            <w:r>
              <w:rPr>
                <w:rFonts w:ascii="Arial" w:cs="Arial" w:eastAsia="Arial" w:hAnsi="Arial"/>
                <w:sz w:val="29"/>
                <w:szCs w:val="29"/>
                <w:b w:val="1"/>
                <w:bCs w:val="1"/>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8"/>
                <w:szCs w:val="18"/>
                <w:color w:val="auto"/>
              </w:rPr>
              <w:t>1,001,704</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4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Peter Downs</w:t>
            </w:r>
            <w:r>
              <w:rPr>
                <w:rFonts w:ascii="Arial" w:cs="Arial" w:eastAsia="Arial" w:hAnsi="Arial"/>
                <w:sz w:val="29"/>
                <w:szCs w:val="29"/>
                <w:b w:val="1"/>
                <w:bCs w:val="1"/>
                <w:color w:val="auto"/>
                <w:vertAlign w:val="superscript"/>
              </w:rPr>
              <w:t>(2)</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21,644</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Gregory Zink</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Salvatore Mulia</w:t>
            </w:r>
          </w:p>
        </w:tc>
        <w:tc>
          <w:tcPr>
            <w:tcW w:w="2020" w:type="dxa"/>
            <w:vAlign w:val="bottom"/>
          </w:tcPr>
          <w:p>
            <w:pPr>
              <w:jc w:val="right"/>
              <w:spacing w:after="0"/>
              <w:rPr>
                <w:sz w:val="20"/>
                <w:szCs w:val="20"/>
                <w:color w:val="auto"/>
              </w:rPr>
            </w:pPr>
            <w:r>
              <w:rPr>
                <w:rFonts w:ascii="Arial" w:cs="Arial" w:eastAsia="Arial" w:hAnsi="Arial"/>
                <w:sz w:val="18"/>
                <w:szCs w:val="18"/>
                <w:color w:val="auto"/>
              </w:rPr>
              <w:t>65,163</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7"/>
        </w:trPr>
        <w:tc>
          <w:tcPr>
            <w:tcW w:w="4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Jennifer Eddelson</w:t>
            </w:r>
            <w:r>
              <w:rPr>
                <w:rFonts w:ascii="Arial" w:cs="Arial" w:eastAsia="Arial" w:hAnsi="Arial"/>
                <w:sz w:val="29"/>
                <w:szCs w:val="29"/>
                <w:b w:val="1"/>
                <w:bCs w:val="1"/>
                <w:color w:val="auto"/>
                <w:vertAlign w:val="superscript"/>
              </w:rPr>
              <w:t>(3)</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36,304</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4480" w:type="dxa"/>
            <w:vAlign w:val="bottom"/>
          </w:tcPr>
          <w:p>
            <w:pPr>
              <w:spacing w:after="0" w:line="256" w:lineRule="exact"/>
              <w:rPr>
                <w:sz w:val="20"/>
                <w:szCs w:val="20"/>
                <w:color w:val="auto"/>
              </w:rPr>
            </w:pPr>
            <w:r>
              <w:rPr>
                <w:rFonts w:ascii="Arial" w:cs="Arial" w:eastAsia="Arial" w:hAnsi="Arial"/>
                <w:sz w:val="18"/>
                <w:szCs w:val="18"/>
                <w:color w:val="auto"/>
              </w:rPr>
              <w:t>Michael Schwartz</w:t>
            </w:r>
            <w:r>
              <w:rPr>
                <w:rFonts w:ascii="Arial" w:cs="Arial" w:eastAsia="Arial" w:hAnsi="Arial"/>
                <w:sz w:val="29"/>
                <w:szCs w:val="29"/>
                <w:b w:val="1"/>
                <w:bCs w:val="1"/>
                <w:color w:val="auto"/>
                <w:vertAlign w:val="superscript"/>
              </w:rPr>
              <w:t>(4)</w:t>
            </w:r>
          </w:p>
        </w:tc>
        <w:tc>
          <w:tcPr>
            <w:tcW w:w="2020" w:type="dxa"/>
            <w:vAlign w:val="bottom"/>
          </w:tcPr>
          <w:p>
            <w:pPr>
              <w:jc w:val="right"/>
              <w:spacing w:after="0"/>
              <w:rPr>
                <w:sz w:val="20"/>
                <w:szCs w:val="20"/>
                <w:color w:val="auto"/>
              </w:rPr>
            </w:pPr>
            <w:r>
              <w:rPr>
                <w:rFonts w:ascii="Arial" w:cs="Arial" w:eastAsia="Arial" w:hAnsi="Arial"/>
                <w:sz w:val="18"/>
                <w:szCs w:val="18"/>
                <w:color w:val="auto"/>
              </w:rPr>
              <w:t>11,037</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44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John Raven</w:t>
            </w:r>
            <w:r>
              <w:rPr>
                <w:rFonts w:ascii="Arial" w:cs="Arial" w:eastAsia="Arial" w:hAnsi="Arial"/>
                <w:sz w:val="29"/>
                <w:szCs w:val="29"/>
                <w:b w:val="1"/>
                <w:bCs w:val="1"/>
                <w:color w:val="auto"/>
                <w:vertAlign w:val="superscript"/>
              </w:rPr>
              <w:t>(5)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4480" w:type="dxa"/>
            <w:vAlign w:val="bottom"/>
          </w:tcPr>
          <w:p>
            <w:pPr>
              <w:spacing w:after="0" w:line="256" w:lineRule="exact"/>
              <w:rPr>
                <w:sz w:val="20"/>
                <w:szCs w:val="20"/>
                <w:color w:val="auto"/>
              </w:rPr>
            </w:pPr>
            <w:r>
              <w:rPr>
                <w:rFonts w:ascii="Arial" w:cs="Arial" w:eastAsia="Arial" w:hAnsi="Arial"/>
                <w:sz w:val="18"/>
                <w:szCs w:val="18"/>
                <w:color w:val="auto"/>
              </w:rPr>
              <w:t>Nilesh Joshi</w:t>
            </w:r>
            <w:r>
              <w:rPr>
                <w:rFonts w:ascii="Arial" w:cs="Arial" w:eastAsia="Arial" w:hAnsi="Arial"/>
                <w:sz w:val="29"/>
                <w:szCs w:val="29"/>
                <w:b w:val="1"/>
                <w:bCs w:val="1"/>
                <w:color w:val="auto"/>
                <w:vertAlign w:val="superscript"/>
              </w:rPr>
              <w:t>(6)</w:t>
            </w:r>
          </w:p>
        </w:tc>
        <w:tc>
          <w:tcPr>
            <w:tcW w:w="2020" w:type="dxa"/>
            <w:vAlign w:val="bottom"/>
          </w:tcPr>
          <w:p>
            <w:pPr>
              <w:jc w:val="right"/>
              <w:spacing w:after="0"/>
              <w:rPr>
                <w:sz w:val="20"/>
                <w:szCs w:val="20"/>
                <w:color w:val="auto"/>
              </w:rPr>
            </w:pPr>
            <w:r>
              <w:rPr>
                <w:rFonts w:ascii="Arial" w:cs="Arial" w:eastAsia="Arial" w:hAnsi="Arial"/>
                <w:sz w:val="18"/>
                <w:szCs w:val="18"/>
                <w:color w:val="auto"/>
              </w:rPr>
              <w:t>2,898</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2"/>
        </w:trPr>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2"/>
              </w:rPr>
              <w:t>All current directors and executive officers as a group (9</w:t>
            </w:r>
          </w:p>
        </w:tc>
        <w:tc>
          <w:tcPr>
            <w:tcW w:w="20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persons)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1,155,433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bl>
    <w:p>
      <w:pPr>
        <w:spacing w:after="0" w:line="20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of total Common Shares outstanding as of the Record Date.</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28,471 shares of restricted common stock.</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7,117 shares of restricted common stock.</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7,117 shares of restricted common stock.</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7,117 shares of restricted common stock.</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3,558 shares of restricted common stock.</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6900" w:type="dxa"/>
            <w:vAlign w:val="bottom"/>
            <w:gridSpan w:val="3"/>
          </w:tcPr>
          <w:p>
            <w:pPr>
              <w:ind w:left="220"/>
              <w:spacing w:after="0"/>
              <w:rPr>
                <w:sz w:val="20"/>
                <w:szCs w:val="20"/>
                <w:color w:val="auto"/>
              </w:rPr>
            </w:pPr>
            <w:r>
              <w:rPr>
                <w:rFonts w:ascii="Arial" w:cs="Arial" w:eastAsia="Arial" w:hAnsi="Arial"/>
                <w:sz w:val="18"/>
                <w:szCs w:val="18"/>
                <w:color w:val="auto"/>
              </w:rPr>
              <w:t>Includes 1,779 shares of restricted common stock.</w:t>
            </w:r>
          </w:p>
        </w:tc>
        <w:tc>
          <w:tcPr>
            <w:tcW w:w="23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40" w:type="dxa"/>
            <w:vAlign w:val="bottom"/>
            <w:gridSpan w:val="4"/>
          </w:tcPr>
          <w:p>
            <w:pPr>
              <w:spacing w:after="0"/>
              <w:rPr>
                <w:sz w:val="20"/>
                <w:szCs w:val="20"/>
                <w:color w:val="auto"/>
              </w:rPr>
            </w:pPr>
            <w:r>
              <w:rPr>
                <w:rFonts w:ascii="Arial" w:cs="Arial" w:eastAsia="Arial" w:hAnsi="Arial"/>
                <w:sz w:val="18"/>
                <w:szCs w:val="18"/>
                <w:b w:val="1"/>
                <w:bCs w:val="1"/>
                <w:color w:val="auto"/>
                <w:w w:val="97"/>
              </w:rPr>
              <w:t>Dollar Range of Equity Securities in the Company Beneficially Owned by Each Director:</w:t>
            </w: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Dollar Range of</w:t>
            </w:r>
          </w:p>
        </w:tc>
      </w:tr>
      <w:tr>
        <w:trPr>
          <w:trHeight w:val="216"/>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Equity Securities in Newtek</w:t>
            </w:r>
          </w:p>
        </w:tc>
      </w:tr>
      <w:tr>
        <w:trPr>
          <w:trHeight w:val="234"/>
        </w:trPr>
        <w:tc>
          <w:tcPr>
            <w:tcW w:w="440" w:type="dxa"/>
            <w:vAlign w:val="bottom"/>
          </w:tcPr>
          <w:p>
            <w:pPr>
              <w:spacing w:after="0"/>
              <w:rPr>
                <w:sz w:val="20"/>
                <w:szCs w:val="20"/>
                <w:color w:val="auto"/>
              </w:rPr>
            </w:pPr>
          </w:p>
        </w:tc>
        <w:tc>
          <w:tcPr>
            <w:tcW w:w="6900" w:type="dxa"/>
            <w:vAlign w:val="bottom"/>
            <w:gridSpan w:val="3"/>
          </w:tcPr>
          <w:p>
            <w:pPr>
              <w:ind w:left="1280"/>
              <w:spacing w:after="0"/>
              <w:rPr>
                <w:sz w:val="20"/>
                <w:szCs w:val="20"/>
                <w:color w:val="auto"/>
              </w:rPr>
            </w:pPr>
            <w:r>
              <w:rPr>
                <w:rFonts w:ascii="Arial" w:cs="Arial" w:eastAsia="Arial" w:hAnsi="Arial"/>
                <w:sz w:val="18"/>
                <w:szCs w:val="18"/>
                <w:b w:val="1"/>
                <w:bCs w:val="1"/>
                <w:color w:val="auto"/>
              </w:rPr>
              <w:t>Name of Director</w:t>
            </w:r>
          </w:p>
        </w:tc>
        <w:tc>
          <w:tcPr>
            <w:tcW w:w="2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Business Services Corp. (1)(2)</w:t>
            </w:r>
          </w:p>
        </w:tc>
      </w:tr>
      <w:tr>
        <w:trPr>
          <w:trHeight w:val="210"/>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Barry Sloane</w:t>
            </w:r>
          </w:p>
        </w:tc>
        <w:tc>
          <w:tcPr>
            <w:tcW w:w="2360" w:type="dxa"/>
            <w:vAlign w:val="bottom"/>
            <w:gridSpan w:val="2"/>
          </w:tcPr>
          <w:p>
            <w:pPr>
              <w:jc w:val="right"/>
              <w:ind w:right="60"/>
              <w:spacing w:after="0"/>
              <w:rPr>
                <w:sz w:val="20"/>
                <w:szCs w:val="20"/>
                <w:color w:val="auto"/>
              </w:rPr>
            </w:pPr>
            <w:r>
              <w:rPr>
                <w:rFonts w:ascii="Arial" w:cs="Arial" w:eastAsia="Arial" w:hAnsi="Arial"/>
                <w:sz w:val="18"/>
                <w:szCs w:val="18"/>
                <w:color w:val="auto"/>
              </w:rPr>
              <w:t>Over $100,000</w:t>
            </w:r>
          </w:p>
        </w:tc>
      </w:tr>
      <w:tr>
        <w:trPr>
          <w:trHeight w:val="216"/>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Downs</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Over $100,000</w:t>
            </w:r>
          </w:p>
        </w:tc>
      </w:tr>
      <w:tr>
        <w:trPr>
          <w:trHeight w:val="216"/>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$50,000 - $100,000</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Salvatore Mulia</w:t>
            </w:r>
          </w:p>
        </w:tc>
        <w:tc>
          <w:tcPr>
            <w:tcW w:w="2360" w:type="dxa"/>
            <w:vAlign w:val="bottom"/>
            <w:gridSpan w:val="2"/>
          </w:tcPr>
          <w:p>
            <w:pPr>
              <w:jc w:val="right"/>
              <w:ind w:right="60"/>
              <w:spacing w:after="0"/>
              <w:rPr>
                <w:sz w:val="20"/>
                <w:szCs w:val="20"/>
                <w:color w:val="auto"/>
              </w:rPr>
            </w:pPr>
            <w:r>
              <w:rPr>
                <w:rFonts w:ascii="Arial" w:cs="Arial" w:eastAsia="Arial" w:hAnsi="Arial"/>
                <w:sz w:val="18"/>
                <w:szCs w:val="18"/>
                <w:color w:val="auto"/>
              </w:rPr>
              <w:t>Over $100,000</w:t>
            </w:r>
          </w:p>
        </w:tc>
      </w:tr>
      <w:tr>
        <w:trPr>
          <w:trHeight w:val="216"/>
        </w:trPr>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Zink</w:t>
            </w:r>
          </w:p>
        </w:tc>
        <w:tc>
          <w:tcPr>
            <w:tcW w:w="2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Over $100,000</w:t>
            </w:r>
          </w:p>
        </w:tc>
      </w:tr>
    </w:tbl>
    <w:p>
      <w:pPr>
        <w:spacing w:after="0" w:line="20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is based on the closing price for our Common Shares of $16.40 on June 16, 2017 on the Nasdaq Global Market. Beneficial ownership has been determined in accordance with Rule 13d-3 under the Exchange Act.</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8" w:name="page9"/>
    <w:bookmarkEnd w:id="8"/>
    <w:p>
      <w:pPr>
        <w:jc w:val="center"/>
        <w:ind w:left="280" w:right="180"/>
        <w:spacing w:after="0" w:line="276" w:lineRule="auto"/>
        <w:rPr>
          <w:sz w:val="20"/>
          <w:szCs w:val="20"/>
          <w:color w:val="auto"/>
        </w:rPr>
      </w:pPr>
      <w:r>
        <w:rPr>
          <w:rFonts w:ascii="Arial" w:cs="Arial" w:eastAsia="Arial" w:hAnsi="Arial"/>
          <w:sz w:val="17"/>
          <w:szCs w:val="17"/>
          <w:b w:val="1"/>
          <w:bCs w:val="1"/>
          <w:color w:val="auto"/>
        </w:rPr>
        <w:t>PROPOSAL – AUTHORIZATION FOR THE COMPANY TO SELL ITS COMMON STOCK, PAR VALUE $0.02 PER SHARE, (“COMMON SHARES”) AT A PRICE BELOW THE COMPANY’S THEN CURRENT NET ASSET VALUE PER SHARE IN ONE OR MULTIPLE</w:t>
      </w:r>
    </w:p>
    <w:p>
      <w:pPr>
        <w:spacing w:after="0" w:line="1" w:lineRule="exact"/>
        <w:rPr>
          <w:sz w:val="20"/>
          <w:szCs w:val="20"/>
          <w:color w:val="auto"/>
        </w:rPr>
      </w:pPr>
    </w:p>
    <w:p>
      <w:pPr>
        <w:jc w:val="center"/>
        <w:ind w:left="280" w:right="20"/>
        <w:spacing w:after="0" w:line="255" w:lineRule="auto"/>
        <w:rPr>
          <w:sz w:val="20"/>
          <w:szCs w:val="20"/>
          <w:color w:val="auto"/>
        </w:rPr>
      </w:pPr>
      <w:r>
        <w:rPr>
          <w:rFonts w:ascii="Arial" w:cs="Arial" w:eastAsia="Arial" w:hAnsi="Arial"/>
          <w:sz w:val="18"/>
          <w:szCs w:val="18"/>
          <w:b w:val="1"/>
          <w:bCs w:val="1"/>
          <w:color w:val="auto"/>
        </w:rPr>
        <w:t>OFFERINGS SUBJECT TO CERTAIN CONDITIONS SET FORTH IN THIS PROPOSAL (INCLUDING THAT THE CUMULATIVE NUMBER OF COMMON SHARES SOLD DOES NOT EXCEED 20% OF ITS THEN OUTSTANDING COMMON SHARES IMMEDIATELY PRIOR TO EACH SUCH SALE)</w:t>
      </w:r>
    </w:p>
    <w:p>
      <w:pPr>
        <w:spacing w:after="0" w:line="19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Under the 1940 Act, the Company, as a business development company (“BDC”), may not sell its Common Shares at a price below the then current net asset value (“NAV”), exclusive of sales compensation, unless its shareholders approve such a sale and our Board of Directors makes certain determinations. We are seeking the authorization of our shareholders so that we may, in one or multiple public or private offerings, sell or otherwise issue Common Shares at a price below our then current NAV, subject to certain conditions discussed below. Our Board of Directors believes that having the flexibility to sell our Common Shares below NAV in certain instances is in the best interests of shareholders.</w:t>
      </w:r>
    </w:p>
    <w:p>
      <w:pPr>
        <w:spacing w:after="0" w:line="1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While we have been able to access the capital necessary to finance our investment activities, capital may not be available to us on favorable terms, or at all, in light of the inherent uncertainty and volatility of the financial markets. To capitalize on these investment opportunities as they arise, we need to be able to maintain consistent access to capital. Flexibility to sell our Common Shares below NAV will provide us with better access to the capital markets as attractive investment opportunities arise, and improve our ability to grow over time and pay dividends to shareholders. Accordingly, even when our Common Shares trade at a market price below NAV, this Proposal would permit us to offer and sell our Common Shares in accordance with pricing standards that market conditions generally require, subject to the conditions described below in connection with any offering undertaken pursuant to this Proposal. If approved, as required under the 1940 Act, the authorization would be effective for securities sold during a period beginning on the date of such shareholder approval and expiring on the earlier of the one year anniversary of the date of the Meeting, or the date of our 2018 Annual Meeting of Shareholders.</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did not sell our Common Shares below NAV during the previous twelve months, and have no immediate plans to sell our Common Shares below NAV. However, we are seeking shareholder approval for multiple such offerings in order to maintain access to the markets if the Board of Directors determines that we should sell Common Shares below NAV. These sales typically must be undertaken quickly. The final terms of any such sale will be determined by the Board of Directors at the time of sale, and it is impracticable to describe the transaction or transactions in which our Common Shares would be sold at a price below NAV. Instead, any transaction where we sell such Common Shares, including the nature and amount of consideration that we would receive at the time of sale and the use of any such consideration, will be reviewed and approved by the Board of Directors at the time of sale.</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Subject to the condition that the cumulative number of Common Shares sold on any given date does not exceed 20% of its then outstanding Common Shares immediately prior to each such sale, there will be no limit on the percentage below NAV at which our Common Shares may be sold in an offering by the Company under this Proposal. If this Proposal is approved, no further authorization from the shareholders will be solicited prior to any such sale in accordance with the terms of this Proposal.</w:t>
      </w:r>
    </w:p>
    <w:p>
      <w:pPr>
        <w:spacing w:after="0" w:line="18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THE BOARD BELIEVES THAT A VOTE “FOR” THE PROPOSAL TO AUTHORIZE THE COMPANY TO SELL ITS COMMON SHARES AT A PRICE OR PRICES BELOW THE COMPANY’S THEN CURRENT NET ASSET VALUE PER SHARE IN ONE OR MULTIPLE OFFERINGS AS DESCRIBED HEREIN IS IN THE BEST INTERESTS OF OUR SHAREHOLDERS AND RECOMMENDS A VOTE “FOR” THE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for Sales below NAV</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 BDC’s ability to issue shares of its common stock at a price below NAV is governed by the 1940 Act. If shareholders approve this Proposal, we will only sell Company Shares at a price below NAV if the following conditions are met:</w:t>
      </w:r>
    </w:p>
    <w:p>
      <w:pPr>
        <w:spacing w:after="0" w:line="170" w:lineRule="exact"/>
        <w:rPr>
          <w:sz w:val="20"/>
          <w:szCs w:val="20"/>
          <w:color w:val="auto"/>
        </w:rPr>
      </w:pPr>
    </w:p>
    <w:p>
      <w:pPr>
        <w:ind w:left="660" w:right="50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ind w:left="660" w:right="4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and the cumulative number of shares sold on any given date does not exceed 20% of the Company’s then outstanding Common Shares immediately prior to each such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Approval</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June 7, 2017, the Company’s Board of Directors, including a majority of the non-interested directors who have no financial interest in this Proposal, approved this Proposal as in the best interests of the Company and its shareholders and is recommending that the Company’s shareholders vote in favor of this Proposal to offer and sell the Company’s Common Shares at prices that may be less than NAV. In evaluating this Proposal, the Company’s Board of Directors, including the non-interested directors, considered and evaluated factors including the following, as discussed more fully below:</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long-term benefits to the Company’s shareholders;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Prior to approving this Proposal, the Company’s Board of Directors met to consider and evaluate material that our management provided on the merits of our possibly raising additional capital and the merits of publicly offering Common Shares at a price below NAV. The Company’s Board of Directors considered the objectives of a possible offering, the mechanics of an offering, establishing size parameters for an offering, the possible effects of dilution, Common Shares trading volume, and other matters, including that the Company’s Common Shares have frequently traded both above and below NAV in recent quarters.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and its shareholders and must comply with the other requirements of the 1940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to Offer Common Shares Below NAV</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While the Company has not sold its Common Shares below NAV during the previous twelve months, our Board of Directors believes that having the flexibility for the Company to sell its Common Shares below NAV in certain instances is in the Company’s best interests and the best interests of its shareholders. Such flexibility will enhance our ability to expand our business finance platform. After any proposed offering of Common Shares, if we were unable to access the capital markets when attractive investment opportunities arise, our ability to grow over time and to continue to pay dividends to shareholders could be adversely affected. In reaching that conclusion, our Board of Directors considered the following possible benefits to its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Market Conditions Have Created Attractive Opportunities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Current market opportunities have created, and we believe will continue to create for the foreseeable future, favorable opportunities to invest, including opportunities that, all else being equal, may increase the Company’s NAV over the longer-term, even if financed with the issuance of Common Shares below NAV. Shareholder approval of this Proposal, subject to the conditions detailed below, is expected to provide the Company with the flexibility to expand its business finance platform and invest in the attractive opportunities we believe are presented by current market conditions.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Company could benefit from access to capital in this constrained credit market and that the current environment should provide attractive investment opportunities. Our ability to take advantage of these opportunities will depend upon its continued access to capital.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Board of Directors believes that additional capital raised through an offering of Common Shares may help it generate additional deal flow. Based on discussions with management, the Company’s Board of Directors believes that greater deal flow, which may be achieved with more capital, would enable the Company to be a more significant participant in the private debt and equity markets and to compete more effectively for attractive investment opportunities. Management has represented to the Company’s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Shares More Attractive to Investors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If the Company issues Common Shares, its market capitalization and the amount of its publicly tradable Common Shares will increase, which may afford all holders of its Common Shares greater liquidity. A larger market capitalization may make the Company’s stock more attractive to a larger number of investors who have limitations of the size of companies in which they invest. Furthermore, a larger number of Common Shares outstanding may increase the Company’s trading volume, which could decrease the volatility in the secondary market price of its Common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Initiation and Possible Increase of Dividends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larger and more diversified portfolio could provide the Company with more consistent cash flow, which may support the growth of its dividend.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 offering that increases the Company’s total assets may reduce its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a BDC, and as a Company that has elected to be treated as a RIC for tax purposes beginning with our tax year ended December 31, 2015, the Company is dependent on its ability to raise capital through the sale of Common Shares. RICs generally must distribute substantially all of their earnings from dividends, interest and short-term gains to shareholders as dividends in order to achieve tax treatment as a RIC, which prevents the Company from using those earnings to support new investments. Further, in order to borrow money or issue preferred stock, BDCs must maintain a debt-to-equity ratio of not more than 1-for-2, which requires the Company to finance its investments with at least twice as much common equity as debt and preferred stock in the aggregate. Therefore, to continue to build the Company’s investment portfolio, and thereby support maintenance and growth of the Company’s dividends, the Company will endeavor to maintain consistent access to capital through the public and private equity markets to enable it to take advantage of investment opportunities as they arise.</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Exceeding the required 1-for-2 debt-to-equity ratio would have severe negative consequences for a BDC, including an inability to pay dividends, possible breaches of debt covenants and a possible failure to qualify for tax treatment as a RIC. Although the Company does not currently expect that it will exceed the required 1-for-2 debt-to-equity ratio, the markets the Company operates in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the Company’s portfolio companies, if any, will negatively impact its shareholders’ equity and the resulting debt-to-equity ratio. Issuing new equity will improve the Company’s debt-to-equity ratio. In addition to meeting legal requirements applicable to BDCs, having a more favorable debt-to-equity ratio will also generally strengthen the Company’s balance sheet and give it more flexibility in its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2017 the Company’s asset coverage ratio was 241%.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Shares of BDCs may trade at a market price that is less than the value of the net assets attributable to those shares. The possibility that the Company’s Common Shares will trade at a discount from NAV, or at premiums that are unsustainable over the long term, are separate and distinct from the risk that the Company’s NAV will decrease. Shares of the Company’s Common Shares have traded at a price both above and below their NAV since they began trading on the Nasdaq Global Market. It is not possible to predict whether the Company’s Common Shares will trade at, above, or below NAV. The following table sets forth, for the two most recent fiscal years and the current fiscal year, the range of high and low sales prices of our Common Shares as reported on the Nasdaq Global Market, our NAV per share, the premium (discount) of high sales price to NAV and the premium (discount) of low sales price to NAV:</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ind w:left="1100"/>
              <w:spacing w:after="0"/>
              <w:rPr>
                <w:sz w:val="20"/>
                <w:szCs w:val="20"/>
                <w:color w:val="auto"/>
              </w:rPr>
            </w:pPr>
            <w:r>
              <w:rPr>
                <w:rFonts w:ascii="Arial" w:cs="Arial" w:eastAsia="Arial" w:hAnsi="Arial"/>
                <w:sz w:val="18"/>
                <w:szCs w:val="18"/>
                <w:b w:val="1"/>
                <w:bCs w:val="1"/>
                <w:color w:val="auto"/>
              </w:rPr>
              <w:t>Premium</w:t>
            </w:r>
          </w:p>
        </w:tc>
        <w:tc>
          <w:tcPr>
            <w:tcW w:w="560" w:type="dxa"/>
            <w:vAlign w:val="bottom"/>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8"/>
                <w:szCs w:val="18"/>
                <w:b w:val="1"/>
                <w:bCs w:val="1"/>
                <w:color w:val="auto"/>
              </w:rPr>
              <w:t>Premium</w:t>
            </w:r>
          </w:p>
        </w:tc>
      </w:tr>
      <w:tr>
        <w:trPr>
          <w:trHeight w:val="216"/>
        </w:trPr>
        <w:tc>
          <w:tcPr>
            <w:tcW w:w="4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ind w:left="1100"/>
              <w:spacing w:after="0"/>
              <w:rPr>
                <w:sz w:val="20"/>
                <w:szCs w:val="20"/>
                <w:color w:val="auto"/>
              </w:rPr>
            </w:pPr>
            <w:r>
              <w:rPr>
                <w:rFonts w:ascii="Arial" w:cs="Arial" w:eastAsia="Arial" w:hAnsi="Arial"/>
                <w:sz w:val="18"/>
                <w:szCs w:val="18"/>
                <w:b w:val="1"/>
                <w:bCs w:val="1"/>
                <w:color w:val="auto"/>
              </w:rPr>
              <w:t>(Discount)</w:t>
            </w:r>
          </w:p>
        </w:tc>
        <w:tc>
          <w:tcPr>
            <w:tcW w:w="560" w:type="dxa"/>
            <w:vAlign w:val="bottom"/>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8"/>
                <w:szCs w:val="18"/>
                <w:b w:val="1"/>
                <w:bCs w:val="1"/>
                <w:color w:val="auto"/>
              </w:rPr>
              <w:t>(Discount)</w:t>
            </w:r>
          </w:p>
        </w:tc>
      </w:tr>
      <w:tr>
        <w:trPr>
          <w:trHeight w:val="216"/>
        </w:trPr>
        <w:tc>
          <w:tcPr>
            <w:tcW w:w="4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ind w:left="1100"/>
              <w:spacing w:after="0"/>
              <w:rPr>
                <w:sz w:val="20"/>
                <w:szCs w:val="20"/>
                <w:color w:val="auto"/>
              </w:rPr>
            </w:pPr>
            <w:r>
              <w:rPr>
                <w:rFonts w:ascii="Arial" w:cs="Arial" w:eastAsia="Arial" w:hAnsi="Arial"/>
                <w:sz w:val="18"/>
                <w:szCs w:val="18"/>
                <w:b w:val="1"/>
                <w:bCs w:val="1"/>
                <w:color w:val="auto"/>
              </w:rPr>
              <w:t>of</w:t>
            </w:r>
          </w:p>
        </w:tc>
        <w:tc>
          <w:tcPr>
            <w:tcW w:w="560" w:type="dxa"/>
            <w:vAlign w:val="bottom"/>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8"/>
                <w:szCs w:val="18"/>
                <w:b w:val="1"/>
                <w:bCs w:val="1"/>
                <w:color w:val="auto"/>
              </w:rPr>
              <w:t>of</w:t>
            </w:r>
          </w:p>
        </w:tc>
      </w:tr>
      <w:tr>
        <w:trPr>
          <w:trHeight w:val="216"/>
        </w:trPr>
        <w:tc>
          <w:tcPr>
            <w:tcW w:w="4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40" w:type="dxa"/>
            <w:vAlign w:val="bottom"/>
          </w:tcPr>
          <w:p>
            <w:pPr>
              <w:ind w:left="1100"/>
              <w:spacing w:after="0"/>
              <w:rPr>
                <w:sz w:val="20"/>
                <w:szCs w:val="20"/>
                <w:color w:val="auto"/>
              </w:rPr>
            </w:pPr>
            <w:r>
              <w:rPr>
                <w:rFonts w:ascii="Arial" w:cs="Arial" w:eastAsia="Arial" w:hAnsi="Arial"/>
                <w:sz w:val="18"/>
                <w:szCs w:val="18"/>
                <w:b w:val="1"/>
                <w:bCs w:val="1"/>
                <w:color w:val="auto"/>
                <w:w w:val="99"/>
              </w:rPr>
              <w:t>High Sales</w:t>
            </w:r>
          </w:p>
        </w:tc>
        <w:tc>
          <w:tcPr>
            <w:tcW w:w="560" w:type="dxa"/>
            <w:vAlign w:val="bottom"/>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8"/>
                <w:szCs w:val="18"/>
                <w:b w:val="1"/>
                <w:bCs w:val="1"/>
                <w:color w:val="auto"/>
              </w:rPr>
              <w:t>Low Sales</w:t>
            </w:r>
          </w:p>
        </w:tc>
      </w:tr>
      <w:tr>
        <w:trPr>
          <w:trHeight w:val="220"/>
        </w:trPr>
        <w:tc>
          <w:tcPr>
            <w:tcW w:w="4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tcPr>
          <w:p>
            <w:pPr>
              <w:ind w:left="1100"/>
              <w:spacing w:after="0"/>
              <w:rPr>
                <w:sz w:val="20"/>
                <w:szCs w:val="20"/>
                <w:color w:val="auto"/>
              </w:rPr>
            </w:pPr>
            <w:r>
              <w:rPr>
                <w:rFonts w:ascii="Arial" w:cs="Arial" w:eastAsia="Arial" w:hAnsi="Arial"/>
                <w:sz w:val="18"/>
                <w:szCs w:val="18"/>
                <w:b w:val="1"/>
                <w:bCs w:val="1"/>
                <w:color w:val="auto"/>
              </w:rPr>
              <w:t>Price to</w:t>
            </w:r>
          </w:p>
        </w:tc>
        <w:tc>
          <w:tcPr>
            <w:tcW w:w="560" w:type="dxa"/>
            <w:vAlign w:val="bottom"/>
          </w:tcPr>
          <w:p>
            <w:pPr>
              <w:spacing w:after="0"/>
              <w:rPr>
                <w:sz w:val="19"/>
                <w:szCs w:val="19"/>
                <w:color w:val="auto"/>
              </w:rPr>
            </w:pPr>
          </w:p>
        </w:tc>
        <w:tc>
          <w:tcPr>
            <w:tcW w:w="1520" w:type="dxa"/>
            <w:vAlign w:val="bottom"/>
          </w:tcPr>
          <w:p>
            <w:pPr>
              <w:ind w:left="60"/>
              <w:spacing w:after="0"/>
              <w:rPr>
                <w:sz w:val="20"/>
                <w:szCs w:val="20"/>
                <w:color w:val="auto"/>
              </w:rPr>
            </w:pPr>
            <w:r>
              <w:rPr>
                <w:rFonts w:ascii="Arial" w:cs="Arial" w:eastAsia="Arial" w:hAnsi="Arial"/>
                <w:sz w:val="18"/>
                <w:szCs w:val="18"/>
                <w:b w:val="1"/>
                <w:bCs w:val="1"/>
                <w:color w:val="auto"/>
              </w:rPr>
              <w:t>Price to</w:t>
            </w:r>
          </w:p>
        </w:tc>
      </w:tr>
      <w:tr>
        <w:trPr>
          <w:trHeight w:val="285"/>
        </w:trPr>
        <w:tc>
          <w:tcPr>
            <w:tcW w:w="40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Price Range</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ind w:left="1100"/>
              <w:spacing w:after="0" w:line="285" w:lineRule="exact"/>
              <w:rPr>
                <w:sz w:val="20"/>
                <w:szCs w:val="20"/>
                <w:color w:val="auto"/>
              </w:rPr>
            </w:pPr>
            <w:r>
              <w:rPr>
                <w:rFonts w:ascii="Arial" w:cs="Arial" w:eastAsia="Arial" w:hAnsi="Arial"/>
                <w:sz w:val="33"/>
                <w:szCs w:val="33"/>
                <w:b w:val="1"/>
                <w:bCs w:val="1"/>
                <w:color w:val="auto"/>
                <w:vertAlign w:val="subscript"/>
              </w:rPr>
              <w:t>NAV</w:t>
            </w:r>
            <w:r>
              <w:rPr>
                <w:rFonts w:ascii="Arial" w:cs="Arial" w:eastAsia="Arial" w:hAnsi="Arial"/>
                <w:sz w:val="14"/>
                <w:szCs w:val="14"/>
                <w:b w:val="1"/>
                <w:bCs w:val="1"/>
                <w:color w:val="auto"/>
              </w:rPr>
              <w:t xml:space="preserve"> (2)</w:t>
            </w:r>
          </w:p>
        </w:tc>
        <w:tc>
          <w:tcPr>
            <w:tcW w:w="560" w:type="dxa"/>
            <w:vAlign w:val="bottom"/>
          </w:tcPr>
          <w:p>
            <w:pPr>
              <w:spacing w:after="0"/>
              <w:rPr>
                <w:sz w:val="24"/>
                <w:szCs w:val="24"/>
                <w:color w:val="auto"/>
              </w:rPr>
            </w:pPr>
          </w:p>
        </w:tc>
        <w:tc>
          <w:tcPr>
            <w:tcW w:w="1520" w:type="dxa"/>
            <w:vAlign w:val="bottom"/>
          </w:tcPr>
          <w:p>
            <w:pPr>
              <w:ind w:left="60"/>
              <w:spacing w:after="0" w:line="285" w:lineRule="exact"/>
              <w:rPr>
                <w:sz w:val="20"/>
                <w:szCs w:val="20"/>
                <w:color w:val="auto"/>
              </w:rPr>
            </w:pPr>
            <w:r>
              <w:rPr>
                <w:rFonts w:ascii="Arial" w:cs="Arial" w:eastAsia="Arial" w:hAnsi="Arial"/>
                <w:sz w:val="33"/>
                <w:szCs w:val="33"/>
                <w:b w:val="1"/>
                <w:bCs w:val="1"/>
                <w:color w:val="auto"/>
                <w:vertAlign w:val="subscript"/>
              </w:rPr>
              <w:t>NAV</w:t>
            </w:r>
            <w:r>
              <w:rPr>
                <w:rFonts w:ascii="Arial" w:cs="Arial" w:eastAsia="Arial" w:hAnsi="Arial"/>
                <w:sz w:val="14"/>
                <w:szCs w:val="14"/>
                <w:b w:val="1"/>
                <w:bCs w:val="1"/>
                <w:color w:val="auto"/>
              </w:rPr>
              <w:t xml:space="preserve"> (2)</w:t>
            </w:r>
          </w:p>
        </w:tc>
      </w:tr>
      <w:tr>
        <w:trPr>
          <w:trHeight w:val="237"/>
        </w:trPr>
        <w:tc>
          <w:tcPr>
            <w:tcW w:w="40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High</w:t>
            </w:r>
          </w:p>
        </w:tc>
        <w:tc>
          <w:tcPr>
            <w:tcW w:w="7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Low</w:t>
            </w:r>
          </w:p>
        </w:tc>
        <w:tc>
          <w:tcPr>
            <w:tcW w:w="480" w:type="dxa"/>
            <w:vAlign w:val="bottom"/>
          </w:tcPr>
          <w:p>
            <w:pPr>
              <w:spacing w:after="0"/>
              <w:rPr>
                <w:sz w:val="20"/>
                <w:szCs w:val="20"/>
                <w:color w:val="auto"/>
              </w:rPr>
            </w:pPr>
          </w:p>
        </w:tc>
        <w:tc>
          <w:tcPr>
            <w:tcW w:w="2040" w:type="dxa"/>
            <w:vAlign w:val="bottom"/>
          </w:tcPr>
          <w:p>
            <w:pPr>
              <w:jc w:val="right"/>
              <w:ind w:right="1072"/>
              <w:spacing w:after="0" w:line="236" w:lineRule="exact"/>
              <w:rPr>
                <w:sz w:val="20"/>
                <w:szCs w:val="20"/>
                <w:color w:val="auto"/>
              </w:rPr>
            </w:pPr>
            <w:r>
              <w:rPr>
                <w:rFonts w:ascii="Arial" w:cs="Arial" w:eastAsia="Arial" w:hAnsi="Arial"/>
                <w:sz w:val="17"/>
                <w:szCs w:val="17"/>
                <w:b w:val="1"/>
                <w:bCs w:val="1"/>
                <w:color w:val="auto"/>
              </w:rPr>
              <w:t xml:space="preserve">NAV </w:t>
            </w:r>
            <w:r>
              <w:rPr>
                <w:rFonts w:ascii="Arial" w:cs="Arial" w:eastAsia="Arial" w:hAnsi="Arial"/>
                <w:sz w:val="27"/>
                <w:szCs w:val="27"/>
                <w:b w:val="1"/>
                <w:bCs w:val="1"/>
                <w:color w:val="auto"/>
                <w:vertAlign w:val="superscript"/>
              </w:rPr>
              <w:t>(1)</w:t>
            </w:r>
          </w:p>
        </w:tc>
        <w:tc>
          <w:tcPr>
            <w:tcW w:w="5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2015</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Through March 31, 2015</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16.61</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Second Quarter: April 1, 2015</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Through June 30, 2015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72"/>
              <w:spacing w:after="0"/>
              <w:rPr>
                <w:sz w:val="20"/>
                <w:szCs w:val="20"/>
                <w:color w:val="auto"/>
              </w:rPr>
            </w:pPr>
            <w:r>
              <w:rPr>
                <w:rFonts w:ascii="Arial" w:cs="Arial" w:eastAsia="Arial" w:hAnsi="Arial"/>
                <w:sz w:val="18"/>
                <w:szCs w:val="18"/>
                <w:color w:val="auto"/>
              </w:rPr>
              <w:t>16.62</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Third Quarter: July 1, 2015</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Through September 30, 2015</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19.82</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16.88</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Fourth Quarter: October 1, 2015</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Through December 31, 2015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19.18</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72"/>
              <w:spacing w:after="0"/>
              <w:rPr>
                <w:sz w:val="20"/>
                <w:szCs w:val="20"/>
                <w:color w:val="auto"/>
              </w:rPr>
            </w:pPr>
            <w:r>
              <w:rPr>
                <w:rFonts w:ascii="Arial" w:cs="Arial" w:eastAsia="Arial" w:hAnsi="Arial"/>
                <w:sz w:val="18"/>
                <w:szCs w:val="18"/>
                <w:color w:val="auto"/>
              </w:rPr>
              <w:t>14.60</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2016</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Through March 31, 2016</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14.51</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14.10</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Second Quarter: April 1, 2016</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Through June 30, 2016</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72"/>
              <w:spacing w:after="0"/>
              <w:rPr>
                <w:sz w:val="20"/>
                <w:szCs w:val="20"/>
                <w:color w:val="auto"/>
              </w:rPr>
            </w:pPr>
            <w:r>
              <w:rPr>
                <w:rFonts w:ascii="Arial" w:cs="Arial" w:eastAsia="Arial" w:hAnsi="Arial"/>
                <w:sz w:val="18"/>
                <w:szCs w:val="18"/>
                <w:color w:val="auto"/>
              </w:rPr>
              <w:t>14.11</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Third Quarter: July 1, 2016</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Through September 30, 2016</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14.26</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Fourth Quarter: October 1, 2016</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Through December 31, 2016</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72"/>
              <w:spacing w:after="0"/>
              <w:rPr>
                <w:sz w:val="20"/>
                <w:szCs w:val="20"/>
                <w:color w:val="auto"/>
              </w:rPr>
            </w:pPr>
            <w:r>
              <w:rPr>
                <w:rFonts w:ascii="Arial" w:cs="Arial" w:eastAsia="Arial" w:hAnsi="Arial"/>
                <w:sz w:val="18"/>
                <w:szCs w:val="18"/>
                <w:color w:val="auto"/>
              </w:rPr>
              <w:t>14.30</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 Quarter: January 1, 2017</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Through March 31, 2017</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rPr>
              <w:t>14.31</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2"/>
        </w:trPr>
        <w:tc>
          <w:tcPr>
            <w:tcW w:w="4040" w:type="dxa"/>
            <w:vAlign w:val="bottom"/>
          </w:tcPr>
          <w:p>
            <w:pPr>
              <w:spacing w:after="0" w:line="201" w:lineRule="exact"/>
              <w:rPr>
                <w:sz w:val="20"/>
                <w:szCs w:val="20"/>
                <w:color w:val="auto"/>
              </w:rPr>
            </w:pPr>
            <w:r>
              <w:rPr>
                <w:rFonts w:ascii="Arial" w:cs="Arial" w:eastAsia="Arial" w:hAnsi="Arial"/>
                <w:sz w:val="18"/>
                <w:szCs w:val="18"/>
                <w:color w:val="auto"/>
              </w:rPr>
              <w:t>Second Quarter: April 1, 2017</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Through June 16, 2017</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7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2" w:lineRule="exact"/>
        <w:rPr>
          <w:sz w:val="20"/>
          <w:szCs w:val="20"/>
          <w:color w:val="auto"/>
        </w:rPr>
      </w:pPr>
    </w:p>
    <w:p>
      <w:pPr>
        <w:ind w:left="340" w:righ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NAV per share is determined as of the last day in the relevant quarter and therefore may not reflect the NAV per share on the date of the high and low sales prices. The values reflect shareholders’ equity per share/NAV and are based on outstanding shares at the end of each period.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Calculated as the respective high or low sales price less NAV or shareholders’ equity per share, as applicable, divided by NAV or shareholders’ equity per share, as applicable and subtracting 1.</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Not determinable at time of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Shareholder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Before voting on this Proposal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dilution to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 Subject to the condition that the cumulative number of shares sold on any given date does not exceed 20% of its then outstanding Common Shares immediately prior to each such sale, there will be no limit on the percentage below NAV at which shares may be sold in an offering by the Company under this Proposal. The Board of Directors of the Company will consider the potential dilutive effect of the issuance of Common Shares at a price below the NAV per share and will consider again such dilutive effect when considering whether to authorize any specific issuance of Common Shares below NAV.</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shareholders should consider the risk that the approval of this Proposal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common shares are sold at a sale price below NAV per share, the resulting increase in the number of outstanding shares reduces NAV per share. Shareholders should also consider that they will have no subscription, preferential or preemptive rights to additional Common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of Directors would expect that the net proceeds to us will be equal to the price that investors pay per share less the amount of any underwriting discounts and commissions.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discussed above, it should be noted that the cumulative number of shares sold from an offering of Company’s Common Shares will not exceed 20% of its then outstanding Common Shares immediately prior to each such sale.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tables below provide hypothetical examples of the impact that an offering at a price less than NAV per share may have on the NAV per share of shareholders and investors who do and do not participate in such an offering. However, the tables below do not show, nor are they intended to show, any potential changes in market price that may occur from an offering at a price less than NAV per share and it is not possible to predict any potential market price change that may occur from such an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Existing Shareholders Who Do Not Participate in an Offering of Common Shares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existing shareholders who do not participate in an offering below NAV per share or who do not buy additional shares of common stock in the secondary market at the same or lower price we obtain in the offering (after expenses and commissions) face the greatest potential risk of an immediate decrease (often called dilution) in the NAV of the shares of common stock they hold and their NAV per share. These shareholders will also experience a disproportionately greater decrease in their participation in our earnings and assets and their voting power than the increase we will experience in our assets, potential earning power and voting interests due to the offering. These shareholders may also experience a decline in the market price of their shares of common stock, which often reflects to some degree announced or potential increases and decreases in NAV per share. This decrease could be more pronounced as the size of the offering and level of discounts increases.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100"/>
        <w:spacing w:after="0" w:line="308" w:lineRule="auto"/>
        <w:rPr>
          <w:sz w:val="20"/>
          <w:szCs w:val="20"/>
          <w:color w:val="auto"/>
        </w:rPr>
      </w:pPr>
      <w:r>
        <w:rPr>
          <w:rFonts w:ascii="Arial" w:cs="Arial" w:eastAsia="Arial" w:hAnsi="Arial"/>
          <w:sz w:val="17"/>
          <w:szCs w:val="17"/>
          <w:color w:val="auto"/>
        </w:rPr>
        <w:t>The following chart illustrates the level of NAV dilution that would be experienced by a nonparticipating shareholder in three different hypothetical offerings of different sizes and levels of discount from NAV per share. It is not possible to predict the level of market price decline that may occur.</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examples assume that the issuer has 17,220,166 shares of common stock outstanding, $443,311,000 in total assets and $196,947,000 in total liabilities. The current NAV and NAV per share are thus $246,364,000 and $14.31. The chart illustrates the dilutive effect on Shareholder A of (1) an offering of 861,008 shares of common stock (5% of the outstanding shares of common stock) at $13.59 per share after offering expenses and commission (a 5% discount from NAV), (2) an offering of 1,722,017 shares of common stock (10% of the outstanding shares of common stock) at $12.88 per share after offering expenses and commissions (a 10% discount from NAV), (3) an offering of 3,444,033 shares of common stock (20% of the outstanding shares of common stock) at $11.45 per share after offering expenses and commissions (a 20% discount from NAV) and (4) an offering of 3,444,033 shares of common stock (20% of the outstanding shares of common stock) at $0.02 per share after offering expenses and commissions (a 100% discount from NAV).</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Example 1 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Example 2 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Example 3 20%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Example 4 20%</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Offering at 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Offering at 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Offering at 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Offering at 100%</w:t>
            </w: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Discount</w:t>
            </w: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Discount</w:t>
            </w:r>
          </w:p>
        </w:tc>
        <w:tc>
          <w:tcPr>
            <w:tcW w:w="6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Discount</w:t>
            </w: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left="468"/>
              <w:spacing w:after="0" w:line="149" w:lineRule="exact"/>
              <w:rPr>
                <w:sz w:val="20"/>
                <w:szCs w:val="20"/>
                <w:color w:val="auto"/>
              </w:rPr>
            </w:pPr>
            <w:r>
              <w:rPr>
                <w:rFonts w:ascii="Arial" w:cs="Arial" w:eastAsia="Arial" w:hAnsi="Arial"/>
                <w:sz w:val="14"/>
                <w:szCs w:val="14"/>
                <w:b w:val="1"/>
                <w:bCs w:val="1"/>
                <w:color w:val="auto"/>
                <w:w w:val="93"/>
              </w:rPr>
              <w:t>Discount</w:t>
            </w:r>
          </w:p>
        </w:tc>
        <w:tc>
          <w:tcPr>
            <w:tcW w:w="6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Following</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Following</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Following</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Following</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Below NAV</w:t>
            </w:r>
          </w:p>
        </w:tc>
        <w:tc>
          <w:tcPr>
            <w:tcW w:w="12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Sale</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Price per Share to Public</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14.31</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13.56</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12.05</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12.88</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11.45</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Decrease to Net Asset Value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17,220,166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18,081,174</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18,942,183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20,664,199</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20,664,199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Net Asset Value per Share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14.31</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14.27</w:t>
            </w:r>
          </w:p>
        </w:tc>
        <w:tc>
          <w:tcPr>
            <w:tcW w:w="14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-0.26%</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14.18</w:t>
            </w:r>
          </w:p>
        </w:tc>
        <w:tc>
          <w:tcPr>
            <w:tcW w:w="16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-0.93%</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13.83</w:t>
            </w: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11.93</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i w:val="1"/>
                <w:iCs w:val="1"/>
                <w:color w:val="auto"/>
              </w:rPr>
              <w:t>Dilution to Nonparticipating</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Stockholder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172,202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172,202</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172,202</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172,202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172,202</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Total Net Asset Value Held by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Stockholder A</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2,464,206</w:t>
            </w:r>
          </w:p>
        </w:tc>
        <w:tc>
          <w:tcPr>
            <w:tcW w:w="18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2,457,800</w:t>
            </w: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-0.26%</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2,441,290</w:t>
            </w: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-0.93%</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2,381,594</w:t>
            </w:r>
          </w:p>
        </w:tc>
        <w:tc>
          <w:tcPr>
            <w:tcW w:w="1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-3.35%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2,053,607</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Total Investment by Stockholder A</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(Assumed to be $14.31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2,464,206</w:t>
            </w:r>
          </w:p>
        </w:tc>
        <w:tc>
          <w:tcPr>
            <w:tcW w:w="1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2,464,206</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2,464,206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2,464,206</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2,464,206</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Total Dilution to Stockholder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(Total Net Asset Value Less Total</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Investment)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(6,406)</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(22,916)</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(82,612)</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(410,598)</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Stockholder 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14.31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14.27</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14.18</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13.83</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11.93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Investment per Share Held by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Stockholder A (Assumed to be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$14.31 per Share on Shares Held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Prior to Sale)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14.31</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14.31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14.31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14.31</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14.31</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Dilution per Share Held by</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 A (Net Asset Value per</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 Less Investment per Share)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(0.13)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(0.48)</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w w:val="99"/>
              </w:rPr>
              <w:t>Percentage Dilution to Stockholder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(Dilution per Share Divided by</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4"/>
                <w:szCs w:val="14"/>
                <w:color w:val="auto"/>
              </w:rPr>
              <w:t>Investment per Share)</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Impact on Existing Shareholders Who Do Participate in an Offering of Common Shares</w:t>
      </w:r>
    </w:p>
    <w:p>
      <w:pPr>
        <w:spacing w:after="0" w:line="22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Our existing shareholders who participate in an offering below NAV per share or who buy additional Common Shares in the secondary market at the same or lower price as we obtain in the offering (after expenses and commissions) will experience the same types of NAV dilution as the nonparticipating shareholders, albeit at a lower level, to the extent they purchase less than the same percentage of the discounted offering as their interest in our Common Shares immediately prior to the offering. The level of NAV dilution will decrease as the number of Common Shares such shareholders purchase increases. Existing shareholders who buy more than such percentage will experience NAV dilution on their existing shares but will, in contrast to existing shareholders who purchase less than their proportionate share of the offering, experience an increase (often called accretion) in average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Common Shares such shareholders purchases increases. Even a shareholder who over-participates will, however, be subject to the risk that we may make additional discounted offerings in which such shareholder does not participate, in which case such a shareholder will experience NAV dilution as described above in such subsequent offerings. These shareholders may also experience a decline in the market price of their Common Shares, which often reflects to some degree announced or potential decreases in NAV per share. This decrease could be more pronounced as the size of the offering and level of discounts increases.</w:t>
      </w:r>
    </w:p>
    <w:p>
      <w:pPr>
        <w:spacing w:after="0" w:line="169" w:lineRule="exact"/>
        <w:rPr>
          <w:sz w:val="20"/>
          <w:szCs w:val="20"/>
          <w:color w:val="auto"/>
        </w:rPr>
      </w:pPr>
    </w:p>
    <w:p>
      <w:pPr>
        <w:ind w:right="60" w:firstLine="270"/>
        <w:spacing w:after="0" w:line="302" w:lineRule="auto"/>
        <w:rPr>
          <w:sz w:val="20"/>
          <w:szCs w:val="20"/>
          <w:color w:val="auto"/>
        </w:rPr>
      </w:pPr>
      <w:r>
        <w:rPr>
          <w:rFonts w:ascii="Arial" w:cs="Arial" w:eastAsia="Arial" w:hAnsi="Arial"/>
          <w:sz w:val="16"/>
          <w:szCs w:val="16"/>
          <w:color w:val="auto"/>
        </w:rPr>
        <w:t>The following chart illustrates the level of dilution and accretion in the hypothetical 20% discount offering from the prior chart for a shareholder that acquires Common Shares equal to (1) 50% of its proportionate share of the offering (i.e., 17,220,000 Common Shares, which is 0.5% of an offering of 3,444,033 Common Shares) rather than its 1.00% proportionate share and (2) 150% of such percentage (i.e. 51,660 Common Shares, which is 1.5% of an offering of 3,444,033 Common Shares rather than its 0.10% proportionate share). It is not possible to predict the level of market price decline that may occur.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50% Participation</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150% Participation</w:t>
            </w: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Prior to Sale Below NAV</w:t>
            </w:r>
          </w:p>
        </w:tc>
        <w:tc>
          <w:tcPr>
            <w:tcW w:w="1320" w:type="dxa"/>
            <w:vAlign w:val="bottom"/>
            <w:gridSpan w:val="4"/>
          </w:tcPr>
          <w:p>
            <w:pPr>
              <w:ind w:left="100"/>
              <w:spacing w:after="0"/>
              <w:rPr>
                <w:sz w:val="20"/>
                <w:szCs w:val="20"/>
                <w:color w:val="auto"/>
              </w:rPr>
            </w:pPr>
            <w:r>
              <w:rPr>
                <w:rFonts w:ascii="Arial" w:cs="Arial" w:eastAsia="Arial" w:hAnsi="Arial"/>
                <w:sz w:val="18"/>
                <w:szCs w:val="18"/>
                <w:b w:val="1"/>
                <w:bCs w:val="1"/>
                <w:color w:val="auto"/>
              </w:rPr>
              <w:t>Prior to Sale</w:t>
            </w: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rPr>
              <w:t>Following Sale</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Following Sale</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12.05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12.05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i w:val="1"/>
                <w:iCs w:val="1"/>
                <w:color w:val="auto"/>
              </w:rPr>
              <w:t>Decrease/Increase to Net Asset Value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17,220,166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20,664,199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20,664,199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14.31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13.83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13.83</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172,202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189,422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223,862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Total Net Asset Value Held by Stockholder A</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2,464,206</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2,619,754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3,096,072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25.64%</w:t>
            </w: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$14.31 per Share)</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2,671,718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3,086,742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Asset Value Less Total Investment)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(51,964)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9,330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 held by Stockholder A</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2"/>
              </w:rPr>
              <w:t>Investment per Share held by Stockholder A (Assumed to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be $14.31 per Share on Shares Held Prior to 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13.83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13.83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Dilution/Accretion per Share Held by Stockholder A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Asset Value per Share Less Investment per Share)</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4"/>
              </w:rPr>
              <w:t>Percentage Dilution to Stockholder A (Dilution/Accretion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per Share Divided by Investment per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on New Investors of Common Shares</w:t>
      </w:r>
    </w:p>
    <w:p>
      <w:pPr>
        <w:spacing w:after="0" w:line="229"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Investors who are not currently shareholders and who participate in an offering of our Common Shares below NAV but whose investment per share is greater than the resulting NAV per share due to selling compensation and expenses paid by the issuer will experience an immediate decrease, albeit small, in the NAV of their Common Shares and their NAV per share compared to the price they pay for their Common Shares. Investors who are not currently shareholders and who participate in an offering below net asset value per share and whose investment per share is also less than the resulting NAV per share due to selling compensation and expenses paid by the issuer being significantly less than the discount per share will experience an immediate increase in the NAV of their Common Shares and their NAV per share compared to the price they pay for their Common Shares.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shareholder does not participate, in which case such new shareholder will experience dilution as described above in such subsequent offerings. These investors may also experience a decline in the market price of their Common Shares, which often reflects to some degree announced or potential increases and decreases in NAV per share. This decrease could be more pronounced as the size of the offering and level of discounts increases.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firstLine="270"/>
        <w:spacing w:after="0" w:line="259" w:lineRule="auto"/>
        <w:rPr>
          <w:sz w:val="20"/>
          <w:szCs w:val="20"/>
          <w:color w:val="auto"/>
        </w:rPr>
      </w:pPr>
      <w:r>
        <w:rPr>
          <w:rFonts w:ascii="Arial" w:cs="Arial" w:eastAsia="Arial" w:hAnsi="Arial"/>
          <w:sz w:val="18"/>
          <w:szCs w:val="18"/>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 (1.00%) of the Common Shares in the offering as Shareholder A in the prior examples held immediately prior to the offering. It is not possible to predict the level of market price decline that may occur.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Example 1 5% Offering at 5%</w:t>
            </w:r>
          </w:p>
        </w:tc>
        <w:tc>
          <w:tcPr>
            <w:tcW w:w="6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Arial" w:cs="Arial" w:eastAsia="Arial" w:hAnsi="Arial"/>
                <w:sz w:val="14"/>
                <w:szCs w:val="14"/>
                <w:b w:val="1"/>
                <w:bCs w:val="1"/>
                <w:color w:val="auto"/>
              </w:rPr>
              <w:t>Example 2 10% Offering at 10%</w:t>
            </w: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rPr>
              <w:t>Example 3 20% Offering at 20%</w:t>
            </w: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Discount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4"/>
                <w:szCs w:val="14"/>
                <w:color w:val="auto"/>
              </w:rPr>
            </w:pPr>
          </w:p>
        </w:tc>
        <w:tc>
          <w:tcPr>
            <w:tcW w:w="20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Discount</w:t>
            </w:r>
          </w:p>
        </w:tc>
      </w:tr>
      <w:tr>
        <w:trPr>
          <w:trHeight w:val="171"/>
        </w:trPr>
        <w:tc>
          <w:tcPr>
            <w:tcW w:w="3340" w:type="dxa"/>
            <w:vAlign w:val="bottom"/>
          </w:tcPr>
          <w:p>
            <w:pPr>
              <w:spacing w:after="0"/>
              <w:rPr>
                <w:sz w:val="20"/>
                <w:szCs w:val="20"/>
                <w:color w:val="auto"/>
              </w:rPr>
            </w:pPr>
            <w:r>
              <w:rPr>
                <w:rFonts w:ascii="Arial" w:cs="Arial" w:eastAsia="Arial" w:hAnsi="Arial"/>
                <w:sz w:val="14"/>
                <w:szCs w:val="14"/>
                <w:b w:val="1"/>
                <w:bCs w:val="1"/>
                <w:color w:val="auto"/>
              </w:rPr>
              <w:t>Prior to Sale Below NAV</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Prior to Sale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Following Sale</w:t>
            </w: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Following Sale</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Following Sale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Change</w:t>
            </w:r>
          </w:p>
        </w:tc>
      </w:tr>
      <w:tr>
        <w:trPr>
          <w:trHeight w:val="142"/>
        </w:trPr>
        <w:tc>
          <w:tcPr>
            <w:tcW w:w="3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14.31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13.56</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12.88</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Decrease to Net Asset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17,220,166</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18,081,174</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18,942,183</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20,664,199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Net Asset Value per Share</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14.31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14.27</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-0.26%</w:t>
            </w: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14.18</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w:t>
            </w: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Dilution/Accretion to a New Investor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Shares Held by Investor 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172,202</w:t>
            </w:r>
          </w:p>
        </w:tc>
        <w:tc>
          <w:tcPr>
            <w:tcW w:w="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8,610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17,220</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0.09%</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2,464,206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122,890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244,129</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476,319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r>
      <w:tr>
        <w:trPr>
          <w:trHeight w:val="130"/>
        </w:trPr>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Total Investment by Investor A (Assumed to be $14.31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per Share)</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2,464,206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123,210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233,451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415,024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w w:val="97"/>
              </w:rPr>
              <w:t>Total Dilution to Investor A (Total Net Asset Value Less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Total 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(320)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10,678</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61,295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 Held by Investor A</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14.18</w:t>
            </w: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w w:val="93"/>
              </w:rPr>
              <w:t>Investment per Share Held by Investor A (Assumed to be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$14.31 per Share on Shares Held Prior to Sale)</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14.31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14.31</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13.56</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12.05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30"/>
        </w:trPr>
        <w:tc>
          <w:tcPr>
            <w:tcW w:w="33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Dilution per Share Held by Investor A (Net Asset Value</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67"/>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per Share Less Investment per Share)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(0.04)</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0.62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rPr>
              <w:t>Percentage Dilution to Investor A (Dilution per Share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82"/>
        </w:trPr>
        <w:tc>
          <w:tcPr>
            <w:tcW w:w="3340" w:type="dxa"/>
            <w:vAlign w:val="bottom"/>
          </w:tcPr>
          <w:p>
            <w:pPr>
              <w:spacing w:after="0"/>
              <w:rPr>
                <w:sz w:val="20"/>
                <w:szCs w:val="20"/>
                <w:color w:val="auto"/>
              </w:rPr>
            </w:pPr>
            <w:r>
              <w:rPr>
                <w:rFonts w:ascii="Arial" w:cs="Arial" w:eastAsia="Arial" w:hAnsi="Arial"/>
                <w:sz w:val="14"/>
                <w:szCs w:val="14"/>
                <w:color w:val="auto"/>
              </w:rPr>
              <w:t>Divided by Investment per 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4.57%</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14.77%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reaching its recommendation to the shareholders of the Company to approve this Proposal, the Board of Directors considered the effect or the following factors:</w:t>
      </w:r>
    </w:p>
    <w:p>
      <w:pPr>
        <w:spacing w:after="0" w:line="170" w:lineRule="exact"/>
        <w:rPr>
          <w:sz w:val="20"/>
          <w:szCs w:val="20"/>
          <w:color w:val="auto"/>
        </w:rPr>
      </w:pPr>
    </w:p>
    <w:p>
      <w:pPr>
        <w:ind w:left="660" w:right="5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Shares outstanding;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Board of Directors, including a majority of the non-interested directors who have no financial interest in this Proposal, concluded that the benefits to the shareholders from increasing our capital base outweighed any detriment, including dilution to existing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authorization of the Company to sell Common Shares at a price or prices below the Company’s then current NAV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our officers, directors, employees and 5% shareholders. Because we are regulated as a BDC under the 1940 Act, the 1940 Act definition of “a majority of the outstanding shares” must be used for purposes of this proposal. Under the 1940 Act, “a majority of the outstanding shares” is defined as the lesser of: (i) 67% or more of the voting securities present at the Meeting if the holders of more than 50% of our outstanding voting securities are present or represented by proxy; or (ii) more than 50% of our outstanding voting securities. Abstentions and Broker Non-Votes will have the effect of a vote against this proposal.</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THE BOARD BELIEVES THAT A VOTE “FOR” THE PROPOSAL TO AUTHORIZE THE COMPANY TO SELL ITS COMMON SHARES AT A PRICE OR PRICES BELOW THE COMPANY’S THEN CURRENT NET ASSET VALUE PER SHARE IN ONE OR MULTIPLE OFFERINGS AS DESCRIBED ABOVE IS IN THE BEST INTERESTS OF OUR SHAREHOLDERS AND RECOMMENDS A VOTE “FOR” THE PROPOSAL.</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Board of Directors is not aware of any business to come before the Meeting other than the matter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SPECIAL MEETING TO BE HELD ON JULY 26,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the Proxy Card and the accompanying Notice of Special Meeting of Shareholders are available at the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http://www.astproxyportal.com/ast/98633/.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file quarterly and current reports, Proxy Statements and other information with the SEC at 100 F Street, N.E., Washington, D.C. 20549. You may read and copy any reports, statements or other information we file at the SEC’s Public Reference Room in Washington, D.C. 20549. Please call the SEC at (800) SEC-0330 for further information on the Public Reference Room. Our SEC filings are also available to the public from commercial document retrieval services and on the web site maintained by the SEC at www.sec.gov. Such information will also be furnished upon written request to Newtek Business Services Corp., 1981 Marcus Avenue, Suite 130, Lake Success, New York 11042, Attention: Secretary, and can also be accessed through our website at www.thesba.com.</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w:t>
      </w:r>
    </w:p>
    <w:p>
      <w:pPr>
        <w:spacing w:after="0" w:line="2" w:lineRule="exact"/>
        <w:rPr>
          <w:sz w:val="20"/>
          <w:szCs w:val="20"/>
          <w:color w:val="auto"/>
        </w:rPr>
      </w:pPr>
    </w:p>
    <w:p>
      <w:pPr>
        <w:ind w:right="240" w:firstLine="8"/>
        <w:spacing w:after="0" w:line="255" w:lineRule="auto"/>
        <w:tabs>
          <w:tab w:leader="none" w:pos="4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 OF PROXIES</w:t>
      </w:r>
    </w:p>
    <w:p>
      <w:pPr>
        <w:spacing w:after="0" w:line="229"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cost of solicitation of proxies will be borne by the Company. The Company will reimburse brokerage firms and other custodians, nominees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fiduciaries for reasonable expenses incurred by them in sending proxy material to the beneficial owners of Common Shares. In addition to solicitations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mail, directors, officers and regular employees of the Company may solicit proxies personally, by telephone or by email without additional compensation.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has engaged the services of Georgeson LLC to assist in the solicitation of proxies. The Company has estimated that it will pay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$30,000, plus reimbursement of certain expenses and fees for additional services requested. Please note that Georgeson LLC may solicit stockholder proxies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telephone on behalf of the Company. They will not attempt to influence how you vote your shares, but only ask that you take the time to authorize your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proxy. You may also be asked if you would like to vote over the telephone and to have your vote transmitted to the proxy tabulation firm.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right="40"/>
        <w:spacing w:after="0" w:line="279" w:lineRule="auto"/>
        <w:rPr>
          <w:sz w:val="20"/>
          <w:szCs w:val="20"/>
          <w:color w:val="auto"/>
        </w:rPr>
      </w:pPr>
      <w:r>
        <w:rPr>
          <w:rFonts w:ascii="Arial" w:cs="Arial" w:eastAsia="Arial" w:hAnsi="Arial"/>
          <w:sz w:val="17"/>
          <w:szCs w:val="17"/>
          <w:color w:val="auto"/>
        </w:rPr>
        <w:t>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2016 to any stockholder upon request. Requests should be directed to Newtek Business Services Corp., 1981 Marcus Avenue, Suite 130, Lake Success, New York 11042, Attention: Chief Legal Officer or call (212) 356-9500 , or by emailing mschwartz@newtekone.com.</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be eligible for inclusion in the Proxy Statement and proxy relating to the 2018 Annual Meeting of Shareholders of the Company, which will be held on or about June 15, 2018, any shareholder proposal to take action at such meeting must be received by the Secretary of the Company at 1981 Marcus Avenue, Suite 130, Lake Success, New York 11042, no later than January 12, 2018. Nothing in this paragraph shall be deemed to require the Company to include in its Proxy Statement and proxy relating to the 2017 Special Meeting of Shareholders, or to consider and vote upon at any such meeting, any shareholder proposal which does not meet all of the requirements established by the SEC or the Company’s Restated Certificate of Incorporation or Bylaws in effect at the time such proposal is received.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left="280" w:right="140"/>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A. Schwartz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73666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7366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24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24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6560185" cy="8489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560185" cy="84899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x"/>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x"/>
      <w:numFmt w:val="bullet"/>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2"/>
    </w:lvl>
    <w:lvl w:ilvl="1">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2019-12-07T20:57:35Z</dcterms:created>
  <dcterms:modified xsi:type="dcterms:W3CDTF">2019-12-07T20:57:35Z</dcterms:modified>
</cp:coreProperties>
</file>