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August 14,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NEWTEKONE,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Company as Specified in its Charter)</w:t>
      </w:r>
    </w:p>
    <w:tbl>
      <w:tblPr>
        <w:tblW w:w="8925" w:type="dxa"/>
        <w:jc w:val="center"/>
        <w:tblInd w:w="0" w:type="dxa"/>
        <w:tblLayout w:type="fixed"/>
        <w:tblCellMar>
          <w:top w:w="28" w:type="dxa"/>
          <w:left w:w="28" w:type="dxa"/>
          <w:bottom w:w="28" w:type="dxa"/>
          <w:right w:w="28" w:type="dxa"/>
        </w:tblCellMar>
      </w:tblPr>
      <w:tblGrid>
        <w:gridCol w:w="1607"/>
        <w:gridCol w:w="1418"/>
        <w:gridCol w:w="1430"/>
        <w:gridCol w:w="583"/>
        <w:gridCol w:w="583"/>
        <w:gridCol w:w="589"/>
        <w:gridCol w:w="793"/>
        <w:gridCol w:w="793"/>
        <w:gridCol w:w="1129"/>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75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814-01035</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46-3755188</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No.)</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4800 T Rex Avenue, Suite 120, Boca Raton, Florida 33431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before="0" w:after="0"/>
        <w:jc w:val="center"/>
        <w:rPr/>
      </w:pPr>
      <w:r>
        <w:rPr/>
      </w:r>
    </w:p>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(212) 356-9500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(Company’s telephone number, including area code)</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from last report)</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41"/>
        <w:gridCol w:w="1763"/>
        <w:gridCol w:w="1783"/>
        <w:gridCol w:w="109"/>
        <w:gridCol w:w="109"/>
        <w:gridCol w:w="109"/>
        <w:gridCol w:w="400"/>
        <w:gridCol w:w="400"/>
        <w:gridCol w:w="402"/>
        <w:gridCol w:w="109"/>
        <w:gridCol w:w="109"/>
        <w:gridCol w:w="109"/>
        <w:gridCol w:w="660"/>
        <w:gridCol w:w="660"/>
        <w:gridCol w:w="942"/>
      </w:tblGrid>
      <w:tr>
        <w:trPr/>
        <w:tc>
          <w:tcPr>
            <w:tcW w:w="254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8.625%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8.500% Fixed-Rate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Written communications pursuant to Rule 425 under the Securities Act (17 CFR 230.425)</w:t>
      </w:r>
      <w:r>
        <w:rPr>
          <w:color w:val="000000"/>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Soliciting material pursuant to Rule 14a-12 under the Exchange Act (17 CFR 240.14a-12)</w:t>
      </w:r>
      <w:r>
        <w:rPr>
          <w:color w:val="000000"/>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Item 5.02.</w:t>
      </w:r>
      <w:r>
        <w:rPr>
          <w:color w:val="000000"/>
        </w:rPr>
        <w:t xml:space="preserve">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NewtekOne, Inc. ( the “Company”) and Frank DeMaria, the Company’s Chief Financial Officer, entered into an amendment (the “Amendment”), effective as of August 16, 2026, to Mr. DeMaria’s Employment Agreement dated as of April 1, 2026 (the “Employment Agreement” ). The Amendment provides for Mr. DeMaria to be entitled to a total severance payment equal to one (1) times the Mr. DeMaria's Annual Base Compensation in the event Mr. DeMaria is terminated without Just Cause (as defined in the Employment Agreement). The other terms and conditions of the Employment Agreement remain unchanged.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terms of the Employment Agreement (which was filed as Exhibit 10.4 to the Company’s Quarterly Report on Form 10-Q for the period ended June 30, 2026) and the Amendment (which will be filed as an exhibit to the Company’s Quarterly Report on Form 10-Q for the period ending September 30, 2026) does not purport to be complete and is qualified in its entirety by the terms of the Employment Agreement and the Amendment.</w:t>
      </w:r>
    </w:p>
    <w:p>
      <w:pPr>
        <w:pStyle w:val="TextBody"/>
        <w:bidi w:val="0"/>
        <w:spacing w:before="0" w:after="1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Securities Exchange Act of 1934, the registrant has caused this report to be signed on its behalf by the undersigned, thereunto duly authorized.</w:t>
      </w:r>
    </w:p>
    <w:p>
      <w:pPr>
        <w:pStyle w:val="TextBody"/>
        <w:bidi w:val="0"/>
        <w:spacing w:before="0" w:after="0"/>
        <w:jc w:val="left"/>
        <w:rPr/>
      </w:pPr>
      <w:r>
        <w:rPr/>
      </w:r>
    </w:p>
    <w:tbl>
      <w:tblPr>
        <w:tblW w:w="7532" w:type="dxa"/>
        <w:jc w:val="center"/>
        <w:tblInd w:w="0" w:type="dxa"/>
        <w:tblLayout w:type="fixed"/>
        <w:tblCellMar>
          <w:top w:w="28" w:type="dxa"/>
          <w:left w:w="28" w:type="dxa"/>
          <w:bottom w:w="28" w:type="dxa"/>
          <w:right w:w="28" w:type="dxa"/>
        </w:tblCellMar>
      </w:tblPr>
      <w:tblGrid>
        <w:gridCol w:w="705"/>
        <w:gridCol w:w="621"/>
        <w:gridCol w:w="624"/>
        <w:gridCol w:w="301"/>
        <w:gridCol w:w="301"/>
        <w:gridCol w:w="301"/>
        <w:gridCol w:w="1367"/>
        <w:gridCol w:w="1367"/>
        <w:gridCol w:w="194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NEWTEKONE,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8"/>
              </w:rPr>
              <w:t>ARRY</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8"/>
              </w:rPr>
              <w:t>LOANE  </w:t>
            </w:r>
            <w:r>
              <w:rPr>
                <w:color w:val="000000"/>
              </w:rPr>
              <w:t>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Barry Sloane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 President and Chairman of the Board</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3313</Characters>
  <CharactersWithSpaces>3901</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