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the Party other than the Registrant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257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jc w:val="center"/>
        <w:ind w:left="60" w:right="2579"/>
        <w:spacing w:after="0" w:line="259" w:lineRule="auto"/>
        <w:rPr>
          <w:sz w:val="20"/>
          <w:szCs w:val="20"/>
          <w:color w:val="auto"/>
        </w:rPr>
      </w:pPr>
      <w:r>
        <w:rPr>
          <w:rFonts w:ascii="Times New Roman" w:cs="Times New Roman" w:eastAsia="Times New Roman" w:hAnsi="Times New Roman"/>
          <w:sz w:val="18"/>
          <w:szCs w:val="18"/>
          <w:b w:val="1"/>
          <w:bCs w:val="1"/>
          <w:color w:val="auto"/>
        </w:rPr>
        <w:t>SCHEDULE 14A INFORMATION Proxy Statement Pursuant to Section 14(a) of the Securities Exchange Act of 1934</w:t>
      </w:r>
    </w:p>
    <w:p>
      <w:pPr>
        <w:ind w:left="78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6"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S</w:t>
      </w:r>
    </w:p>
    <w:p>
      <w:pPr>
        <w:spacing w:after="0" w:line="121"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w:t>
      </w:r>
    </w:p>
    <w:p>
      <w:pPr>
        <w:spacing w:after="0" w:line="857" w:lineRule="exact"/>
        <w:rPr>
          <w:sz w:val="24"/>
          <w:szCs w:val="24"/>
          <w:color w:val="auto"/>
        </w:rPr>
      </w:pPr>
    </w:p>
    <w:p>
      <w:pPr>
        <w:sectPr>
          <w:pgSz w:w="11900" w:h="16838" w:orient="portrait"/>
          <w:cols w:equalWidth="0" w:num="2">
            <w:col w:w="3120" w:space="560"/>
            <w:col w:w="6459"/>
          </w:cols>
          <w:pgMar w:left="320" w:top="1440" w:right="1440" w:bottom="1440" w:gutter="0" w:footer="0" w:header="0"/>
        </w:sect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1" w:lineRule="exact"/>
        <w:rPr>
          <w:rFonts w:ascii="Arial" w:cs="Arial" w:eastAsia="Arial" w:hAnsi="Arial"/>
          <w:sz w:val="13"/>
          <w:szCs w:val="13"/>
          <w:b w:val="1"/>
          <w:bCs w:val="1"/>
          <w:color w:val="auto"/>
        </w:rPr>
      </w:pPr>
    </w:p>
    <w:p>
      <w:pPr>
        <w:ind w:left="2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   </w:t>
      </w:r>
      <w:r>
        <w:rPr>
          <w:rFonts w:ascii="Times New Roman" w:cs="Times New Roman" w:eastAsia="Times New Roman" w:hAnsi="Times New Roman"/>
          <w:sz w:val="17"/>
          <w:szCs w:val="17"/>
          <w:color w:val="auto"/>
        </w:rPr>
        <w:t>Definitive Proxy Statement</w:t>
      </w:r>
    </w:p>
    <w:p>
      <w:pPr>
        <w:spacing w:after="0" w:line="99" w:lineRule="exact"/>
        <w:rPr>
          <w:rFonts w:ascii="Arial" w:cs="Arial" w:eastAsia="Arial" w:hAnsi="Arial"/>
          <w:sz w:val="13"/>
          <w:szCs w:val="13"/>
          <w:b w:val="1"/>
          <w:bCs w:val="1"/>
          <w:color w:val="auto"/>
        </w:r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Arial" w:cs="Arial" w:eastAsia="Arial" w:hAnsi="Arial"/>
          <w:sz w:val="13"/>
          <w:szCs w:val="13"/>
          <w:b w:val="1"/>
          <w:bCs w:val="1"/>
          <w:color w:val="auto"/>
        </w:rPr>
      </w:pPr>
    </w:p>
    <w:p>
      <w:pPr>
        <w:ind w:left="520" w:hanging="494"/>
        <w:spacing w:after="0"/>
        <w:tabs>
          <w:tab w:leader="none" w:pos="520" w:val="left"/>
        </w:tabs>
        <w:numPr>
          <w:ilvl w:val="0"/>
          <w:numId w:val="2"/>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Soliciting Material Pursuant to Rule 14a-11(c) or Rule 14a-12</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NEWTEKONE, INC.</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520" w:hanging="494"/>
        <w:spacing w:after="0"/>
        <w:tabs>
          <w:tab w:leader="none" w:pos="52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7" w:lineRule="exact"/>
        <w:rPr>
          <w:rFonts w:ascii="Arial" w:cs="Arial" w:eastAsia="Arial" w:hAnsi="Arial"/>
          <w:sz w:val="13"/>
          <w:szCs w:val="13"/>
          <w:b w:val="1"/>
          <w:bCs w:val="1"/>
          <w:color w:val="auto"/>
        </w:rPr>
      </w:pPr>
    </w:p>
    <w:p>
      <w:pPr>
        <w:ind w:left="520" w:hanging="494"/>
        <w:spacing w:after="0"/>
        <w:tabs>
          <w:tab w:leader="none" w:pos="52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computed on table in exhibit required by Item 25(b) per Exchange Act Rules 14a-6 (i)(1)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NEWTEKONE, INC.</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4800 T-Rex Avenue, Suite 120</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Boca Raton, FL 33431</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(212) 356-9500</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May 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w:t>
      </w:r>
    </w:p>
    <w:p>
      <w:pPr>
        <w:spacing w:after="0" w:line="243"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20"/>
          <w:szCs w:val="20"/>
          <w:color w:val="auto"/>
        </w:rPr>
        <w:t>We invite you to attend the Annual Meeting of Shareholders (the “Annual Meeting”) of NewtekOne, Inc. (the “Company”) to be held at 4800 T-Rex Avenue, Suite 120, Boca Raton, Florida, 33431, on June 12, 2026 at 9:00 a.m., local time.</w:t>
      </w:r>
    </w:p>
    <w:p>
      <w:pPr>
        <w:spacing w:after="0" w:line="146"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20"/>
          <w:szCs w:val="20"/>
          <w:color w:val="auto"/>
        </w:rPr>
        <w:t>The attached Notice of Annual Meeting and Proxy Statement describe the formal business to be transacted at the Annual Meeting. Also enclosed is a Proxy Card and the Company’s Annual Report on Form 10-K for the year ended December 31, 2025.</w:t>
      </w:r>
    </w:p>
    <w:p>
      <w:pPr>
        <w:spacing w:after="0" w:line="146"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20"/>
          <w:szCs w:val="20"/>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 xml:space="preserve">YOUR VOTE IS IMPORTANT, REGARDLESS OF THE NUMBER OF SHARES YOU OWN. </w:t>
      </w:r>
      <w:r>
        <w:rPr>
          <w:rFonts w:ascii="Times New Roman" w:cs="Times New Roman" w:eastAsia="Times New Roman" w:hAnsi="Times New Roman"/>
          <w:sz w:val="20"/>
          <w:szCs w:val="20"/>
          <w:color w:val="auto"/>
        </w:rPr>
        <w:t>On behalf of the Company’s</w:t>
      </w:r>
    </w:p>
    <w:p>
      <w:pPr>
        <w:spacing w:after="0" w:line="2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Board of Directors, we urge you to please sign, date and return the enclosed Proxy Card in the enclosed postage-prepaid envelope or vote by telephone or internet as soon as possible even if you currently plan to attend the Annual Meeting in person. This will not prevent you from voting during the meeting, but will assure that your vote is counted if you are unable to attend the Annual Meeting. Your vote and participation in the governance of the Company is very important to us.</w:t>
      </w:r>
    </w:p>
    <w:p>
      <w:pPr>
        <w:spacing w:after="0" w:line="2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Sincerely yours,</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22860</wp:posOffset>
            </wp:positionV>
            <wp:extent cx="3617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Barry Sloane</w:t>
      </w:r>
    </w:p>
    <w:p>
      <w:pPr>
        <w:spacing w:after="0" w:line="4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Chairman,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12, 2026.</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Our Proxy Statement and Annual Report on Form 10-K for the year ended December 31, 2025 are available on the internet at </w:t>
      </w:r>
      <w:r>
        <w:rPr>
          <w:rFonts w:ascii="Times New Roman" w:cs="Times New Roman" w:eastAsia="Times New Roman" w:hAnsi="Times New Roman"/>
          <w:sz w:val="17"/>
          <w:szCs w:val="17"/>
          <w:i w:val="1"/>
          <w:iCs w:val="1"/>
          <w:u w:val="single" w:color="auto"/>
          <w:color w:val="auto"/>
        </w:rPr>
        <w:t>http://proxyvote.com</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 accompanying Proxy Card:</w:t>
      </w:r>
    </w:p>
    <w:p>
      <w:pPr>
        <w:spacing w:after="0" w:line="158" w:lineRule="exact"/>
        <w:rPr>
          <w:sz w:val="20"/>
          <w:szCs w:val="20"/>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Annual Meeting;</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44"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Annual Meeting; and</w:t>
      </w:r>
    </w:p>
    <w:p>
      <w:pPr>
        <w:spacing w:after="0" w:line="157" w:lineRule="exact"/>
        <w:rPr>
          <w:rFonts w:ascii="Times New Roman" w:cs="Times New Roman" w:eastAsia="Times New Roman" w:hAnsi="Times New Roman"/>
          <w:sz w:val="18"/>
          <w:szCs w:val="18"/>
          <w:color w:val="auto"/>
        </w:rPr>
      </w:pPr>
    </w:p>
    <w:p>
      <w:pPr>
        <w:ind w:left="860" w:hanging="420"/>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to vote using any of the following methods: by mail, by telephone, by internet and in-person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3" w:name="page4"/>
    <w:bookmarkEnd w:id="3"/>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12,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of NewtekOne, Inc.:</w:t>
      </w:r>
    </w:p>
    <w:p>
      <w:pPr>
        <w:spacing w:after="0" w:line="11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Shareholders (the “Annual Meeting”) of NewtekOne, Inc. (the “Company”)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4800 T-Rex Avenue, Suite 120, Boca Raton, Florida, 33431, on June 12, 2026 at 9:00 a.m., local time.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is for the following purposes, which are more completely described in the accompanying Proxy Statement:</w:t>
      </w:r>
    </w:p>
    <w:p>
      <w:pPr>
        <w:spacing w:after="0" w:line="117" w:lineRule="exact"/>
        <w:rPr>
          <w:sz w:val="20"/>
          <w:szCs w:val="20"/>
          <w:color w:val="auto"/>
        </w:rPr>
      </w:pPr>
    </w:p>
    <w:p>
      <w:pPr>
        <w:ind w:left="1300" w:right="140" w:hanging="482"/>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of the Company to serve on the Board of Directors until the Company’s Annual Meeting of Shareholders in 2029 and until their successors are duly elected and qualified;</w:t>
      </w:r>
    </w:p>
    <w:p>
      <w:pPr>
        <w:spacing w:after="0" w:line="107" w:lineRule="exact"/>
        <w:rPr>
          <w:rFonts w:ascii="Times New Roman" w:cs="Times New Roman" w:eastAsia="Times New Roman" w:hAnsi="Times New Roman"/>
          <w:sz w:val="18"/>
          <w:szCs w:val="18"/>
          <w:color w:val="auto"/>
        </w:rPr>
      </w:pPr>
    </w:p>
    <w:p>
      <w:pPr>
        <w:ind w:left="1300" w:right="240" w:hanging="482"/>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Company’s independent registered accounting firm (independent auditors) for the fiscal year ending December 31, 2026;</w:t>
      </w:r>
    </w:p>
    <w:p>
      <w:pPr>
        <w:spacing w:after="0" w:line="10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compensation of our named executive officers; and</w:t>
      </w:r>
    </w:p>
    <w:p>
      <w:pPr>
        <w:spacing w:after="0" w:line="17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is not aware of any other business to come before the Annual Meeting.</w:t>
      </w:r>
    </w:p>
    <w:p>
      <w:pPr>
        <w:spacing w:after="0" w:line="117"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Any action may be taken on any one of the foregoing proposals at the Annual Meeting or any adjournments thereof. Shareholders of record at the close of business on April 24, 2026 (the “Record Date”) are entitled to vote at the Annual Meeting and any adjournment thereof.</w:t>
      </w:r>
    </w:p>
    <w:p>
      <w:pPr>
        <w:spacing w:after="0" w:line="54" w:lineRule="exact"/>
        <w:rPr>
          <w:sz w:val="20"/>
          <w:szCs w:val="20"/>
          <w:color w:val="auto"/>
        </w:rPr>
      </w:pPr>
    </w:p>
    <w:p>
      <w:pPr>
        <w:jc w:val="both"/>
        <w:ind w:right="440" w:firstLine="432"/>
        <w:spacing w:after="0" w:line="266" w:lineRule="auto"/>
        <w:rPr>
          <w:sz w:val="20"/>
          <w:szCs w:val="20"/>
          <w:color w:val="auto"/>
        </w:rPr>
      </w:pPr>
      <w:r>
        <w:rPr>
          <w:rFonts w:ascii="Times New Roman" w:cs="Times New Roman" w:eastAsia="Times New Roman" w:hAnsi="Times New Roman"/>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4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BARRY SLOANE</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ANNUAL MEETING, YOU STILL MAY ATTEND THE ANNUAL MEETING AND VOTE YOUR SHARES IN PERSON DURING THE ANNUAL MEETING IF YOU WISH TO CHANGE YOUR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12, 2026</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NewtekOne, Inc. (the “Company”) for the Annual Meeting of Shareholders (the “Annual Meeting”) to be held at 4800 T-Rex Avenue, Suite 120, Boca Raton, Florida, 33431, on June 12, 2026 at 9:00 a.m., local time.</w:t>
      </w:r>
    </w:p>
    <w:p>
      <w:pPr>
        <w:spacing w:after="0" w:line="9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accompanying Notice of Annual Meeting and this Proxy Statement, together with the enclosed Proxy Card, and the Company’s Annual Report on Form 10-K for the year ended December 31, 2025, are first being mailed to shareholders on or about May 1, 2026.</w:t>
      </w:r>
    </w:p>
    <w:p>
      <w:pPr>
        <w:spacing w:after="0" w:line="17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We encourage you to vote your shares</w:t>
      </w:r>
      <w:r>
        <w:rPr>
          <w:rFonts w:ascii="Times New Roman" w:cs="Times New Roman" w:eastAsia="Times New Roman" w:hAnsi="Times New Roman"/>
          <w:sz w:val="18"/>
          <w:szCs w:val="18"/>
          <w:color w:val="auto"/>
        </w:rPr>
        <w:t>, either by voting by mail, telephone, the internet, in person at the Annual Meeting or by granting a proxy (i.e.,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authorizing someone to vote your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Shareholders of record may submit proxies by completing, signing and dating each Proxy Card received and returning it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instructions by mail by completing, signing and dating the voting instruction forms provided by their brokers, banks or other nominees.</w:t>
      </w:r>
    </w:p>
    <w:p>
      <w:pPr>
        <w:spacing w:after="0" w:line="188"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 Shareholders of record may submit proxies by following the telephone voting instructions on each Proxy Card. Most shareholders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shares beneficially in street name may provide voting instructions by telephone by calling the number specified on the voting instruction form</w:t>
      </w:r>
    </w:p>
    <w:p>
      <w:pPr>
        <w:ind w:right="40"/>
        <w:spacing w:after="0" w:line="218" w:lineRule="auto"/>
        <w:rPr>
          <w:sz w:val="20"/>
          <w:szCs w:val="20"/>
          <w:color w:val="auto"/>
        </w:rPr>
      </w:pPr>
      <w:r>
        <w:rPr>
          <w:rFonts w:ascii="Times New Roman" w:cs="Times New Roman" w:eastAsia="Times New Roman" w:hAnsi="Times New Roman"/>
          <w:sz w:val="18"/>
          <w:szCs w:val="18"/>
          <w:color w:val="auto"/>
        </w:rPr>
        <w:t>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9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Shareholders of record with internet access may submit proxies by following the internet voting instructions on their Proxy Cards.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200"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 Shares held in your name as the shareholder of record may be voted at the Annual Meeting. Shares held beneficially in street</w:t>
      </w:r>
    </w:p>
    <w:p>
      <w:pPr>
        <w:spacing w:after="0" w:line="6"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 xml:space="preserve">name may be voted in person only if you obtain a legal proxy from the broker, bank or other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Meeting, we recommend that you also submit your proxy or voting instructions or vote by telephone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internet so that your vote will be counted if you later decide not to attend the Annual Meeting</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5" w:name="page6"/>
    <w:bookmarkEnd w:id="5"/>
    <w:p>
      <w:pPr>
        <w:spacing w:after="0" w:line="250" w:lineRule="auto"/>
        <w:rPr>
          <w:sz w:val="20"/>
          <w:szCs w:val="20"/>
          <w:color w:val="auto"/>
        </w:rPr>
      </w:pPr>
      <w:r>
        <w:rPr>
          <w:rFonts w:ascii="Times New Roman" w:cs="Times New Roman" w:eastAsia="Times New Roman" w:hAnsi="Times New Roman"/>
          <w:sz w:val="18"/>
          <w:szCs w:val="18"/>
          <w:color w:val="auto"/>
        </w:rPr>
        <w:t>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Discretionary</w:t>
            </w:r>
          </w:p>
        </w:tc>
        <w:tc>
          <w:tcPr>
            <w:tcW w:w="374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Effect of Abstentions and</w:t>
            </w:r>
          </w:p>
        </w:tc>
        <w:tc>
          <w:tcPr>
            <w:tcW w:w="0" w:type="dxa"/>
            <w:vAlign w:val="bottom"/>
          </w:tcPr>
          <w:p>
            <w:pPr>
              <w:spacing w:after="0"/>
              <w:rPr>
                <w:sz w:val="1"/>
                <w:szCs w:val="1"/>
                <w:color w:val="auto"/>
              </w:rPr>
            </w:pPr>
          </w:p>
        </w:tc>
      </w:tr>
      <w:tr>
        <w:trPr>
          <w:trHeight w:val="162"/>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15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Voting</w:t>
            </w: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2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Allowed?</w:t>
            </w:r>
          </w:p>
        </w:tc>
        <w:tc>
          <w:tcPr>
            <w:tcW w:w="374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r>
        <w:trPr>
          <w:trHeight w:val="171"/>
        </w:trPr>
        <w:tc>
          <w:tcPr>
            <w:tcW w:w="32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Proposal I — Election of Directors</w:t>
            </w:r>
          </w:p>
        </w:tc>
        <w:tc>
          <w:tcPr>
            <w:tcW w:w="180" w:type="dxa"/>
            <w:vAlign w:val="bottom"/>
          </w:tcPr>
          <w:p>
            <w:pPr>
              <w:spacing w:after="0"/>
              <w:rPr>
                <w:sz w:val="14"/>
                <w:szCs w:val="14"/>
                <w:color w:val="auto"/>
              </w:rPr>
            </w:pPr>
          </w:p>
        </w:tc>
        <w:tc>
          <w:tcPr>
            <w:tcW w:w="23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Affirmative vote of a plurality</w:t>
            </w:r>
          </w:p>
        </w:tc>
        <w:tc>
          <w:tcPr>
            <w:tcW w:w="180" w:type="dxa"/>
            <w:vAlign w:val="bottom"/>
          </w:tcPr>
          <w:p>
            <w:pPr>
              <w:spacing w:after="0"/>
              <w:rPr>
                <w:sz w:val="14"/>
                <w:szCs w:val="14"/>
                <w:color w:val="auto"/>
              </w:rPr>
            </w:pPr>
          </w:p>
        </w:tc>
        <w:tc>
          <w:tcPr>
            <w:tcW w:w="138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No</w:t>
            </w:r>
          </w:p>
        </w:tc>
        <w:tc>
          <w:tcPr>
            <w:tcW w:w="180" w:type="dxa"/>
            <w:vAlign w:val="bottom"/>
          </w:tcPr>
          <w:p>
            <w:pPr>
              <w:spacing w:after="0"/>
              <w:rPr>
                <w:sz w:val="14"/>
                <w:szCs w:val="14"/>
                <w:color w:val="auto"/>
              </w:rPr>
            </w:pPr>
          </w:p>
        </w:tc>
        <w:tc>
          <w:tcPr>
            <w:tcW w:w="37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Broker non-votes and a proxy marked “withhold</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 all the votes cast at the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authority” with respect to the director nominee are</w:t>
            </w:r>
          </w:p>
        </w:tc>
        <w:tc>
          <w:tcPr>
            <w:tcW w:w="0" w:type="dxa"/>
            <w:vAlign w:val="bottom"/>
          </w:tcPr>
          <w:p>
            <w:pPr>
              <w:spacing w:after="0"/>
              <w:rPr>
                <w:sz w:val="1"/>
                <w:szCs w:val="1"/>
                <w:color w:val="auto"/>
              </w:rPr>
            </w:pPr>
          </w:p>
        </w:tc>
      </w:tr>
      <w:tr>
        <w:trPr>
          <w:trHeight w:val="180"/>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Annual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 counted as votes cast for purposes of the</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election of a director nominee and, therefore, will</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have no effect on the outcome of such election.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Proposal II — Ratification of Appointment of Independent Auditors</w:t>
      </w:r>
    </w:p>
    <w:p>
      <w:pPr>
        <w:spacing w:after="0" w:line="195" w:lineRule="exact"/>
        <w:rPr>
          <w:sz w:val="20"/>
          <w:szCs w:val="20"/>
          <w:color w:val="auto"/>
        </w:rPr>
      </w:pPr>
    </w:p>
    <w:p>
      <w:pPr>
        <w:ind w:left="20" w:right="260"/>
        <w:spacing w:after="0" w:line="268" w:lineRule="auto"/>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080" w:type="dxa"/>
            <w:vAlign w:val="bottom"/>
          </w:tcPr>
          <w:p>
            <w:pPr>
              <w:ind w:left="440"/>
              <w:spacing w:after="0" w:line="184" w:lineRule="exact"/>
              <w:rPr>
                <w:sz w:val="20"/>
                <w:szCs w:val="20"/>
                <w:color w:val="auto"/>
              </w:rPr>
            </w:pPr>
            <w:r>
              <w:rPr>
                <w:rFonts w:ascii="Times New Roman" w:cs="Times New Roman" w:eastAsia="Times New Roman" w:hAnsi="Times New Roman"/>
                <w:sz w:val="18"/>
                <w:szCs w:val="18"/>
                <w:color w:val="auto"/>
              </w:rPr>
              <w:t>Yes</w:t>
            </w: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Abstentions are not counted as votes cast and will</w:t>
            </w:r>
          </w:p>
        </w:tc>
      </w:t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080" w:type="dxa"/>
            <w:vAlign w:val="bottom"/>
          </w:tcPr>
          <w:p>
            <w:pPr>
              <w:spacing w:after="0"/>
              <w:rPr>
                <w:sz w:val="16"/>
                <w:szCs w:val="16"/>
                <w:color w:val="auto"/>
              </w:rPr>
            </w:pP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have no effect on the outcome of the vote.</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1080" w:type="dxa"/>
            <w:vAlign w:val="bottom"/>
          </w:tcPr>
          <w:p>
            <w:pPr>
              <w:spacing w:after="0"/>
              <w:rPr>
                <w:sz w:val="19"/>
                <w:szCs w:val="19"/>
                <w:color w:val="auto"/>
              </w:rPr>
            </w:pPr>
          </w:p>
        </w:tc>
        <w:tc>
          <w:tcPr>
            <w:tcW w:w="4080" w:type="dxa"/>
            <w:vAlign w:val="bottom"/>
          </w:tcPr>
          <w:p>
            <w:pPr>
              <w:spacing w:after="0"/>
              <w:rPr>
                <w:sz w:val="19"/>
                <w:szCs w:val="19"/>
                <w:color w:val="auto"/>
              </w:rPr>
            </w:pPr>
          </w:p>
        </w:tc>
      </w:tr>
      <w:tr>
        <w:trPr>
          <w:trHeight w:val="180"/>
        </w:trPr>
        <w:tc>
          <w:tcPr>
            <w:tcW w:w="2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Affirmative vote of a majority</w:t>
            </w:r>
          </w:p>
        </w:tc>
        <w:tc>
          <w:tcPr>
            <w:tcW w:w="108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No</w:t>
            </w:r>
          </w:p>
        </w:tc>
        <w:tc>
          <w:tcPr>
            <w:tcW w:w="408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Abstentions and broker non-votes will not be</w:t>
            </w:r>
          </w:p>
        </w:tc>
      </w:tr>
      <w:tr>
        <w:trPr>
          <w:trHeight w:val="184"/>
        </w:trPr>
        <w:tc>
          <w:tcPr>
            <w:tcW w:w="2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of the votes cast at the Annual</w:t>
            </w:r>
          </w:p>
        </w:tc>
        <w:tc>
          <w:tcPr>
            <w:tcW w:w="1080" w:type="dxa"/>
            <w:vAlign w:val="bottom"/>
          </w:tcPr>
          <w:p>
            <w:pPr>
              <w:spacing w:after="0"/>
              <w:rPr>
                <w:sz w:val="16"/>
                <w:szCs w:val="16"/>
                <w:color w:val="auto"/>
              </w:rPr>
            </w:pPr>
          </w:p>
        </w:tc>
        <w:tc>
          <w:tcPr>
            <w:tcW w:w="408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w w:val="99"/>
              </w:rPr>
              <w:t>counted as votes cast and will have no effect on the</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1080" w:type="dxa"/>
            <w:vAlign w:val="bottom"/>
          </w:tcPr>
          <w:p>
            <w:pPr>
              <w:spacing w:after="0"/>
              <w:rPr>
                <w:sz w:val="20"/>
                <w:szCs w:val="20"/>
                <w:color w:val="auto"/>
              </w:rPr>
            </w:pPr>
          </w:p>
        </w:tc>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result of the vote.</w:t>
            </w:r>
          </w:p>
        </w:tc>
      </w:tr>
    </w:tbl>
    <w:p>
      <w:pPr>
        <w:spacing w:after="0" w:line="304" w:lineRule="exact"/>
        <w:rPr>
          <w:sz w:val="20"/>
          <w:szCs w:val="20"/>
          <w:color w:val="auto"/>
        </w:rPr>
      </w:pPr>
    </w:p>
    <w:p>
      <w:pPr>
        <w:sectPr>
          <w:pgSz w:w="11900" w:h="16838" w:orient="portrait"/>
          <w:cols w:equalWidth="0" w:num="2">
            <w:col w:w="2980" w:space="460"/>
            <w:col w:w="7800"/>
          </w:cols>
          <w:pgMar w:left="320" w:top="1440" w:right="339" w:bottom="1440"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4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62" w:lineRule="exact"/>
        <w:rPr>
          <w:sz w:val="20"/>
          <w:szCs w:val="20"/>
          <w:color w:val="auto"/>
        </w:rPr>
      </w:pPr>
    </w:p>
    <w:p>
      <w:pPr>
        <w:jc w:val="both"/>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securities which can be voted at the Annual Meeting consist of the Company’s common shares, $0.02 par value per share (“Common Shares” or “Common Stock”). Shareholders of record as of the close of business on the Record Date are entitled to one vote for each Common Share then held on all matters. As of the Record Date, approximately 28,831,491 Common Shares were issued and outstanding. The presence, in person or by proxy, of at least a majority of the total number of Common Shares outstanding and entitled to vote will be necessary to constitute a quorum at the Annual Meeting.</w:t>
      </w:r>
    </w:p>
    <w:p>
      <w:pPr>
        <w:spacing w:after="0" w:line="11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7"/>
          <w:szCs w:val="17"/>
          <w:color w:val="auto"/>
        </w:rPr>
        <w:t>The following tables set forth, as of April 15, 2026, the beneficial ownership of each current director, the nominees for director, the Company’s executive officers, the executive officers and directors as a group and each person known to us to beneficially own 5% or more of the outstanding Common Shares.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w:t>
      </w:r>
    </w:p>
    <w:p>
      <w:pPr>
        <w:spacing w:after="0" w:line="235" w:lineRule="auto"/>
        <w:rPr>
          <w:sz w:val="20"/>
          <w:szCs w:val="20"/>
          <w:color w:val="auto"/>
        </w:rPr>
      </w:pPr>
      <w:r>
        <w:rPr>
          <w:rFonts w:ascii="Times New Roman" w:cs="Times New Roman" w:eastAsia="Times New Roman" w:hAnsi="Times New Roman"/>
          <w:sz w:val="18"/>
          <w:szCs w:val="18"/>
          <w:color w:val="auto"/>
        </w:rPr>
        <w:t xml:space="preserve">powers within 60 days. Percentage of beneficial ownership is based on 28,831,491 </w:t>
      </w:r>
      <w:r>
        <w:rPr>
          <w:rFonts w:ascii="Times New Roman" w:cs="Times New Roman" w:eastAsia="Times New Roman" w:hAnsi="Times New Roman"/>
          <w:sz w:val="19"/>
          <w:szCs w:val="19"/>
          <w:color w:val="auto"/>
        </w:rPr>
        <w:t>Co</w:t>
      </w:r>
      <w:r>
        <w:rPr>
          <w:rFonts w:ascii="Times New Roman" w:cs="Times New Roman" w:eastAsia="Times New Roman" w:hAnsi="Times New Roman"/>
          <w:sz w:val="18"/>
          <w:szCs w:val="18"/>
          <w:color w:val="auto"/>
        </w:rPr>
        <w:t>mmon Shares outstanding as of the Record Date.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tables below has sole voting and investment power.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Shares by Holders of More Than 5% of Outstanding Stock</w:t>
      </w:r>
    </w:p>
    <w:p>
      <w:pPr>
        <w:spacing w:after="0" w:line="256"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Based on filings made under Section 13(d) and 13(g) of the Exchange Act reporting ownership of shares and percent of class as of December 31, 2025 the only persons known by us to be beneficial owners of more than 5% of our common stock as of April 15, 2026 were as follows:</w:t>
      </w: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Beneficially</w:t>
            </w:r>
          </w:p>
        </w:tc>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Patriot Financial Group</w:t>
            </w:r>
          </w:p>
        </w:tc>
        <w:tc>
          <w:tcPr>
            <w:tcW w:w="5780" w:type="dxa"/>
            <w:vAlign w:val="bottom"/>
            <w:gridSpan w:val="2"/>
            <w:shd w:val="clear" w:color="auto" w:fill="CCEEFF"/>
          </w:tcPr>
          <w:p>
            <w:pPr>
              <w:jc w:val="right"/>
              <w:ind w:right="5660"/>
              <w:spacing w:after="0"/>
              <w:rPr>
                <w:sz w:val="20"/>
                <w:szCs w:val="20"/>
                <w:color w:val="auto"/>
              </w:rPr>
            </w:pPr>
            <w:r>
              <w:rPr>
                <w:rFonts w:ascii="Times New Roman" w:cs="Times New Roman" w:eastAsia="Times New Roman" w:hAnsi="Times New Roman"/>
                <w:sz w:val="9"/>
                <w:szCs w:val="9"/>
                <w:color w:val="auto"/>
                <w:w w:val="94"/>
                <w:shd w:val="clear" w:color="auto" w:fill="CCEEFF"/>
              </w:rPr>
              <w:t>(1)</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720" w:type="dxa"/>
            <w:vAlign w:val="bottom"/>
            <w:vMerge w:val="continue"/>
            <w:shd w:val="clear" w:color="auto" w:fill="CCEEFF"/>
          </w:tcPr>
          <w:p>
            <w:pPr>
              <w:spacing w:after="0"/>
              <w:rPr>
                <w:sz w:val="4"/>
                <w:szCs w:val="4"/>
                <w:color w:val="auto"/>
              </w:rPr>
            </w:pPr>
          </w:p>
        </w:tc>
        <w:tc>
          <w:tcPr>
            <w:tcW w:w="5780" w:type="dxa"/>
            <w:vAlign w:val="bottom"/>
            <w:gridSpan w:val="2"/>
            <w:shd w:val="clear" w:color="auto" w:fill="CCEEFF"/>
          </w:tcPr>
          <w:p>
            <w:pPr>
              <w:spacing w:after="0"/>
              <w:rPr>
                <w:sz w:val="4"/>
                <w:szCs w:val="4"/>
                <w:color w:val="auto"/>
              </w:rPr>
            </w:pPr>
          </w:p>
        </w:tc>
        <w:tc>
          <w:tcPr>
            <w:tcW w:w="2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Four Radnor Corporate Center, 100 Matsonford Road Suite 210</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Radnor, PA, 19087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2,307,692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5"/>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9"/>
                <w:szCs w:val="9"/>
                <w:color w:val="auto"/>
              </w:rPr>
              <w:t>(2)</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New York, NY 10001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1,793,129</w:t>
            </w:r>
          </w:p>
        </w:tc>
        <w:tc>
          <w:tcPr>
            <w:tcW w:w="1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hanging="412"/>
        <w:spacing w:after="0" w:line="225" w:lineRule="auto"/>
        <w:tabs>
          <w:tab w:leader="none" w:pos="26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Based solely on a review of the Schedule 13D filed on September 22, 2025 by Patriot Financial Group, which includes </w:t>
      </w:r>
      <w:r>
        <w:rPr>
          <w:rFonts w:ascii="Arial" w:cs="Arial" w:eastAsia="Arial" w:hAnsi="Arial"/>
          <w:sz w:val="16"/>
          <w:szCs w:val="16"/>
          <w:color w:val="auto"/>
        </w:rPr>
        <w:t>P</w:t>
      </w:r>
      <w:r>
        <w:rPr>
          <w:rFonts w:ascii="Times New Roman" w:cs="Times New Roman" w:eastAsia="Times New Roman" w:hAnsi="Times New Roman"/>
          <w:sz w:val="16"/>
          <w:szCs w:val="16"/>
          <w:color w:val="auto"/>
        </w:rPr>
        <w:t>atriot Financial Partners IV, L.P; Patriot Financial Partners Parallel IV, L.P.; Patriot Financial Partners IV GP, L.P.; Patriot Financial Partners IV GP, LLC; W. Kirk Wycoff; and James F. Deutsch, the members of the Patriot Financial Group have shared voting and dispositive power as to 2,307,692 Common Shares.</w:t>
      </w:r>
    </w:p>
    <w:p>
      <w:pPr>
        <w:ind w:left="420" w:right="160" w:hanging="412"/>
        <w:spacing w:after="0" w:line="222" w:lineRule="auto"/>
        <w:tabs>
          <w:tab w:leader="none" w:pos="243"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solely on a review of the Schedule 13G filed on January 26, 2024 by BlackRock, Inc. The Schedule 13G discloses that BlackRock, Inc. has sole voting power as to 1,760,280 Common Shares and sole dispositive power as to 1,793,129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each current director, the nominees for director and the Company’s executive officers</w:t>
      </w:r>
    </w:p>
    <w:p>
      <w:pPr>
        <w:spacing w:after="0" w:line="256" w:lineRule="exact"/>
        <w:rPr>
          <w:sz w:val="20"/>
          <w:szCs w:val="20"/>
          <w:color w:val="auto"/>
        </w:rPr>
      </w:pPr>
    </w:p>
    <w:p>
      <w:pPr>
        <w:ind w:right="700" w:firstLine="405"/>
        <w:spacing w:after="0" w:line="266" w:lineRule="auto"/>
        <w:rPr>
          <w:sz w:val="20"/>
          <w:szCs w:val="20"/>
          <w:color w:val="auto"/>
        </w:rPr>
      </w:pPr>
      <w:r>
        <w:rPr>
          <w:rFonts w:ascii="Times New Roman" w:cs="Times New Roman" w:eastAsia="Times New Roman" w:hAnsi="Times New Roman"/>
          <w:sz w:val="18"/>
          <w:szCs w:val="18"/>
          <w:color w:val="auto"/>
        </w:rPr>
        <w:t>The Company’s directors are divided into two groups — non-independent directors and independent directors. Independent directors are “Independent Directors” as defined by Nasdaq Stock Market corporate governance listing standards (the “Nasdaq listing rules”). Unless otherwise indicated, the addresses of all executive officers and directors are c/o NewtekOne, Inc., 4800 T-Rex Avenue, Suite 120, Boca Raton, FL 33431.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Beneficial Ownership of Shares by Directors and Executive Officers: 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0891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Non-Independent Directors: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Barry Sloane, CEO and President</w:t>
      </w:r>
      <w:r>
        <w:rPr>
          <w:rFonts w:ascii="Times New Roman" w:cs="Times New Roman" w:eastAsia="Times New Roman" w:hAnsi="Times New Roman"/>
          <w:sz w:val="9"/>
          <w:szCs w:val="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Downs, President, Newtek Bank, N.A.</w:t>
      </w:r>
      <w:r>
        <w:rPr>
          <w:rFonts w:ascii="Times New Roman" w:cs="Times New Roman" w:eastAsia="Times New Roman" w:hAnsi="Times New Roman"/>
          <w:sz w:val="9"/>
          <w:szCs w:val="9"/>
          <w:color w:val="auto"/>
        </w:rPr>
        <w:t>(2)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Halli Razon-Feingold, Chief Administrative Officer</w:t>
      </w:r>
      <w:r>
        <w:rPr>
          <w:rFonts w:ascii="Times New Roman" w:cs="Times New Roman" w:eastAsia="Times New Roman" w:hAnsi="Times New Roman"/>
          <w:sz w:val="9"/>
          <w:szCs w:val="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Salute</w:t>
      </w:r>
      <w:r>
        <w:rPr>
          <w:rFonts w:ascii="Times New Roman" w:cs="Times New Roman" w:eastAsia="Times New Roman" w:hAnsi="Times New Roman"/>
          <w:sz w:val="9"/>
          <w:szCs w:val="9"/>
          <w:color w:val="auto"/>
        </w:rPr>
        <w:t>(4)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Fernando Perez-Hickman</w:t>
      </w:r>
      <w:r>
        <w:rPr>
          <w:rFonts w:ascii="Times New Roman" w:cs="Times New Roman" w:eastAsia="Times New Roman" w:hAnsi="Times New Roman"/>
          <w:sz w:val="9"/>
          <w:szCs w:val="9"/>
          <w:color w:val="auto"/>
        </w:rPr>
        <w:t>(4)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Craig Brunet</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891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Cestare</w:t>
      </w:r>
      <w:r>
        <w:rPr>
          <w:rFonts w:ascii="Times New Roman" w:cs="Times New Roman" w:eastAsia="Times New Roman" w:hAnsi="Times New Roman"/>
          <w:sz w:val="9"/>
          <w:szCs w:val="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Schwartz, Chief Legal Officer</w:t>
      </w:r>
      <w:r>
        <w:rPr>
          <w:rFonts w:ascii="Times New Roman" w:cs="Times New Roman" w:eastAsia="Times New Roman" w:hAnsi="Times New Roman"/>
          <w:sz w:val="9"/>
          <w:szCs w:val="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Frank M. DeMaria, EVP, Chief Financial Officer</w:t>
      </w:r>
      <w:r>
        <w:rPr>
          <w:rFonts w:ascii="Times New Roman" w:cs="Times New Roman" w:eastAsia="Times New Roman" w:hAnsi="Times New Roman"/>
          <w:sz w:val="9"/>
          <w:szCs w:val="9"/>
          <w:color w:val="auto"/>
        </w:rPr>
        <w:t>(7)</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____________</w:t>
      </w:r>
    </w:p>
    <w:p>
      <w:pPr>
        <w:spacing w:after="0" w:line="19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Less than 1% of total Common Shares outstanding as of the Record 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Beneficially</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0" w:type="dxa"/>
            <w:vAlign w:val="bottom"/>
          </w:tcPr>
          <w:p>
            <w:pPr>
              <w:spacing w:after="0"/>
              <w:rPr>
                <w:sz w:val="1"/>
                <w:szCs w:val="1"/>
                <w:color w:val="auto"/>
              </w:rPr>
            </w:pPr>
          </w:p>
        </w:tc>
      </w:tr>
      <w:tr>
        <w:trPr>
          <w:trHeight w:val="495"/>
        </w:trPr>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1,359,585</w:t>
            </w:r>
          </w:p>
        </w:tc>
        <w:tc>
          <w:tcPr>
            <w:tcW w:w="120" w:type="dxa"/>
            <w:vAlign w:val="bottom"/>
          </w:tcPr>
          <w:p>
            <w:pPr>
              <w:spacing w:after="0"/>
              <w:rPr>
                <w:sz w:val="24"/>
                <w:szCs w:val="24"/>
                <w:color w:val="auto"/>
              </w:rPr>
            </w:pPr>
          </w:p>
        </w:tc>
        <w:tc>
          <w:tcPr>
            <w:tcW w:w="1360" w:type="dxa"/>
            <w:vAlign w:val="bottom"/>
            <w:tcBorders>
              <w:top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65"/>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86,802</w:t>
            </w:r>
          </w:p>
        </w:tc>
        <w:tc>
          <w:tcPr>
            <w:tcW w:w="120" w:type="dxa"/>
            <w:vAlign w:val="bottom"/>
          </w:tcPr>
          <w:p>
            <w:pPr>
              <w:spacing w:after="0"/>
              <w:rPr>
                <w:sz w:val="23"/>
                <w:szCs w:val="23"/>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120" w:type="dxa"/>
            <w:vAlign w:val="bottom"/>
          </w:tcPr>
          <w:p>
            <w:pPr>
              <w:spacing w:after="0"/>
              <w:rPr>
                <w:sz w:val="20"/>
                <w:szCs w:val="20"/>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0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45,140</w:t>
            </w:r>
          </w:p>
        </w:tc>
        <w:tc>
          <w:tcPr>
            <w:tcW w:w="120" w:type="dxa"/>
            <w:vAlign w:val="bottom"/>
          </w:tcPr>
          <w:p>
            <w:pPr>
              <w:spacing w:after="0"/>
              <w:rPr>
                <w:sz w:val="24"/>
                <w:szCs w:val="24"/>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20" w:type="dxa"/>
            <w:vAlign w:val="bottom"/>
          </w:tcPr>
          <w:p>
            <w:pPr>
              <w:spacing w:after="0"/>
              <w:rPr>
                <w:sz w:val="23"/>
                <w:szCs w:val="23"/>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5"/>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20" w:type="dxa"/>
            <w:vAlign w:val="bottom"/>
          </w:tcPr>
          <w:p>
            <w:pPr>
              <w:spacing w:after="0"/>
              <w:rPr>
                <w:sz w:val="23"/>
                <w:szCs w:val="23"/>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20" w:type="dxa"/>
            <w:vAlign w:val="bottom"/>
          </w:tcPr>
          <w:p>
            <w:pPr>
              <w:spacing w:after="0"/>
              <w:rPr>
                <w:sz w:val="19"/>
                <w:szCs w:val="19"/>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49,751</w:t>
            </w:r>
          </w:p>
        </w:tc>
        <w:tc>
          <w:tcPr>
            <w:tcW w:w="120" w:type="dxa"/>
            <w:vAlign w:val="bottom"/>
          </w:tcPr>
          <w:p>
            <w:pPr>
              <w:spacing w:after="0"/>
              <w:rPr>
                <w:sz w:val="24"/>
                <w:szCs w:val="24"/>
                <w:color w:val="auto"/>
              </w:rPr>
            </w:pPr>
          </w:p>
        </w:tc>
        <w:tc>
          <w:tcPr>
            <w:tcW w:w="13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1,701,179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937" w:lineRule="exact"/>
        <w:rPr>
          <w:sz w:val="20"/>
          <w:szCs w:val="20"/>
          <w:color w:val="auto"/>
        </w:rPr>
      </w:pPr>
    </w:p>
    <w:p>
      <w:pPr>
        <w:sectPr>
          <w:pgSz w:w="11900" w:h="16838" w:orient="portrait"/>
          <w:cols w:equalWidth="0" w:num="2">
            <w:col w:w="6780" w:space="720"/>
            <w:col w:w="3740"/>
          </w:cols>
          <w:pgMar w:left="320" w:top="1440" w:right="339" w:bottom="1440" w:gutter="0" w:footer="0" w:header="0"/>
          <w:type w:val="continuous"/>
        </w:sectPr>
      </w:pPr>
    </w:p>
    <w:p>
      <w:pPr>
        <w:spacing w:after="0" w:line="48" w:lineRule="exact"/>
        <w:rPr>
          <w:sz w:val="20"/>
          <w:szCs w:val="20"/>
          <w:color w:val="auto"/>
        </w:rPr>
      </w:pPr>
    </w:p>
    <w:p>
      <w:pPr>
        <w:ind w:left="340" w:hanging="332"/>
        <w:spacing w:after="0" w:line="261"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Sloane holds and has sole voting power as to 1,165,914 Common Shares, and shared voting power as to 193,671 Common Shares owned by The B Sloane Family Foundation, a 501(c)(3) private foundation; and sole dispositive power over 1,165,914 Common Shares, and has shared dispositive power as to 193,671 Common Shares owned by The B Sloane Family Foundation; includes 3,595 shares of Restricted Stock granted to Mr. Sloane in January 2026, plus accrued dividends, vesting on January 15, 2028.</w:t>
      </w:r>
    </w:p>
    <w:p>
      <w:pPr>
        <w:ind w:left="320" w:hanging="312"/>
        <w:spacing w:after="0" w:line="187"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2,696 shares of Restricted Stock granted in January 2026, plus accrued dividends, vesting on January 15, 2028.</w:t>
      </w:r>
    </w:p>
    <w:p>
      <w:pPr>
        <w:ind w:left="320" w:hanging="312"/>
        <w:spacing w:after="0" w:line="191"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1,258 shares of Restricted Stock granted in January 2026, plus accrued dividends, vesting on January 15, 2028.</w:t>
      </w:r>
    </w:p>
    <w:p>
      <w:pPr>
        <w:spacing w:after="0" w:line="10" w:lineRule="exact"/>
        <w:rPr>
          <w:rFonts w:ascii="Times New Roman" w:cs="Times New Roman" w:eastAsia="Times New Roman" w:hAnsi="Times New Roman"/>
          <w:sz w:val="21"/>
          <w:szCs w:val="21"/>
          <w:color w:val="auto"/>
          <w:vertAlign w:val="superscript"/>
        </w:rPr>
      </w:pPr>
    </w:p>
    <w:p>
      <w:pPr>
        <w:ind w:left="340" w:right="40" w:hanging="332"/>
        <w:spacing w:after="0" w:line="21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2,283 shares of Restricted Stock granted in June 2025, plus accrued dividends, as equity-based compensation to non-employee directors Messrs. Salute, Perez-Hickman, Brunet and Zink, at the beginning of their 2025 terms of service, which forfeiture restrictions lapse on June 15, 2026.</w:t>
      </w:r>
    </w:p>
    <w:p>
      <w:pPr>
        <w:ind w:left="340" w:right="60" w:hanging="332"/>
        <w:spacing w:after="0" w:line="238"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January 27, 2026, the Board of Directors increased the number of directors constituting the entire Board from seven to eight, and elected Mr. Cestare to serve as a Class I director. Mr. Cestare is a partner and chief operating officer of Patriot Financial Partners, LP, the financial manager for the investment entities that comprise the Patriot Financial Group. As disclosed above, and based solely on a review of the Schedule 13D filed on September 22, 2025, by Patriot Financial Group, which includes Patriot Financial Partners IV, L.P; Patriot Financial Partners Parallel IV, L.P.; Patriot Financial Partners IV GP, L.P.; Patriot Financial Partners IV GP, LLC; W. Kirk Wycoff; and James F. Deutsch, the members of the Patriot Financial Group have shared voting and dispositive power as to 2,307,692 Common Shares.</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line="197" w:lineRule="auto"/>
        <w:tabs>
          <w:tab w:leader="none" w:pos="32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2,247 shares of Restricted Stock granted in January 2026, plus accrued dividends, vesting on January 15, 2028.</w:t>
      </w:r>
    </w:p>
    <w:p>
      <w:pPr>
        <w:ind w:left="340" w:right="200" w:hanging="332"/>
        <w:spacing w:after="0" w:line="229"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6,215 shares of Restricted Stock granted in July 2023, plus accrued dividends, vesting on July 15, 2026; 19,889 shares of Restricted Stock granted in July 2024, plus accrued dividends, vesting on July 15, 2027; and 1,556 shares of Restricted Stock granted in January 2026, plus accrued dividends, vesting on January 15,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Range of Equity Securities in</w:t>
            </w:r>
          </w:p>
        </w:tc>
      </w:tr>
      <w:tr>
        <w:trPr>
          <w:trHeight w:val="25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3600" w:type="dxa"/>
            <w:vAlign w:val="bottom"/>
          </w:tcPr>
          <w:p>
            <w:pPr>
              <w:jc w:val="center"/>
              <w:spacing w:after="0" w:line="253" w:lineRule="exact"/>
              <w:rPr>
                <w:sz w:val="20"/>
                <w:szCs w:val="20"/>
                <w:color w:val="auto"/>
              </w:rPr>
            </w:pPr>
            <w:r>
              <w:rPr>
                <w:rFonts w:ascii="Times New Roman" w:cs="Times New Roman" w:eastAsia="Times New Roman" w:hAnsi="Times New Roman"/>
                <w:sz w:val="16"/>
                <w:szCs w:val="16"/>
                <w:b w:val="1"/>
                <w:bCs w:val="1"/>
                <w:color w:val="auto"/>
                <w:w w:val="94"/>
              </w:rPr>
              <w:t>NewtekOne, Inc.</w:t>
            </w:r>
            <w:r>
              <w:rPr>
                <w:rFonts w:ascii="Times New Roman" w:cs="Times New Roman" w:eastAsia="Times New Roman" w:hAnsi="Times New Roman"/>
                <w:sz w:val="23"/>
                <w:szCs w:val="23"/>
                <w:b w:val="1"/>
                <w:bCs w:val="1"/>
                <w:color w:val="auto"/>
                <w:w w:val="94"/>
                <w:vertAlign w:val="superscript"/>
              </w:rPr>
              <w:t>(1)(2)</w:t>
            </w:r>
          </w:p>
        </w:tc>
      </w:tr>
      <w:tr>
        <w:trPr>
          <w:trHeight w:val="223"/>
        </w:trPr>
        <w:tc>
          <w:tcPr>
            <w:tcW w:w="74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Non-Independent Directors:</w:t>
            </w:r>
          </w:p>
        </w:tc>
        <w:tc>
          <w:tcPr>
            <w:tcW w:w="16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spacing w:after="0"/>
              <w:rPr>
                <w:sz w:val="19"/>
                <w:szCs w:val="19"/>
                <w:color w:val="auto"/>
              </w:rPr>
            </w:pPr>
          </w:p>
        </w:tc>
      </w:tr>
      <w:tr>
        <w:trPr>
          <w:trHeight w:val="229"/>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Barry Sloane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Peter Downs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9"/>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Halli Razon-Feingold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9"/>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3600" w:type="dxa"/>
            <w:vAlign w:val="bottom"/>
            <w:shd w:val="clear" w:color="auto" w:fill="CCEEFF"/>
          </w:tcPr>
          <w:p>
            <w:pPr>
              <w:spacing w:after="0"/>
              <w:rPr>
                <w:sz w:val="19"/>
                <w:szCs w:val="19"/>
                <w:color w:val="auto"/>
              </w:rPr>
            </w:pPr>
          </w:p>
        </w:tc>
      </w:tr>
      <w:tr>
        <w:trPr>
          <w:trHeight w:val="230"/>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Richard Salute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9"/>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Gregory Zink</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29"/>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Fernando Perez-Hickman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419"/>
        </w:trPr>
        <w:tc>
          <w:tcPr>
            <w:tcW w:w="7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Craig Brunet</w:t>
            </w:r>
          </w:p>
        </w:tc>
        <w:tc>
          <w:tcPr>
            <w:tcW w:w="36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$10,001 – $50,000</w:t>
            </w:r>
          </w:p>
        </w:tc>
      </w:tr>
      <w:tr>
        <w:trPr>
          <w:trHeight w:val="445"/>
        </w:trPr>
        <w:tc>
          <w:tcPr>
            <w:tcW w:w="7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Thomas Cestare</w:t>
            </w:r>
          </w:p>
        </w:tc>
        <w:tc>
          <w:tcPr>
            <w:tcW w:w="3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 – $10,000</w:t>
            </w:r>
          </w:p>
        </w:tc>
      </w:tr>
      <w:tr>
        <w:trPr>
          <w:trHeight w:val="399"/>
        </w:trPr>
        <w:tc>
          <w:tcPr>
            <w:tcW w:w="7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____________</w:t>
            </w: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23"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Dollar ranges are as follows: None, $1 – $10,000, $10,001 – $50,000, $50,001 – $100,000, or Over $100,000.</w:t>
      </w:r>
    </w:p>
    <w:p>
      <w:pPr>
        <w:spacing w:after="0" w:line="10" w:lineRule="exact"/>
        <w:rPr>
          <w:rFonts w:ascii="Times New Roman" w:cs="Times New Roman" w:eastAsia="Times New Roman" w:hAnsi="Times New Roman"/>
          <w:sz w:val="21"/>
          <w:szCs w:val="21"/>
          <w:color w:val="auto"/>
          <w:vertAlign w:val="superscript"/>
        </w:rPr>
      </w:pPr>
    </w:p>
    <w:p>
      <w:pPr>
        <w:ind w:left="440" w:right="40" w:hanging="432"/>
        <w:spacing w:after="0" w:line="215" w:lineRule="auto"/>
        <w:tabs>
          <w:tab w:leader="none" w:pos="262"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dollar range of equity securities beneficially owned is based on the closing price for our Common Shares of $12.73 on April 15, 2026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986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Richard Salute and Craig Brunet have been nominated for re-election for terms expiring in 2029. Messrs. Salute and Brunet are not being nominated as directors for election pursuant to any agreements or understandings between the Company and each of Mr. Salute and Mr. Brunet. Messrs. Salute and Brunet have indicated their willingness to continue to serve if elected and have consented to be named as nominees. Messrs. Salute and Brunet are “independent directors” of the Company as defined in the Nasdaq listing rules.</w:t>
      </w:r>
    </w:p>
    <w:p>
      <w:pPr>
        <w:spacing w:after="0" w:line="108" w:lineRule="exact"/>
        <w:rPr>
          <w:sz w:val="20"/>
          <w:szCs w:val="20"/>
          <w:color w:val="auto"/>
        </w:rPr>
      </w:pPr>
    </w:p>
    <w:p>
      <w:pPr>
        <w:ind w:right="200" w:firstLine="432"/>
        <w:spacing w:after="0" w:line="262" w:lineRule="auto"/>
        <w:rPr>
          <w:sz w:val="20"/>
          <w:szCs w:val="20"/>
          <w:color w:val="auto"/>
        </w:rPr>
      </w:pPr>
      <w:r>
        <w:rPr>
          <w:rFonts w:ascii="Times New Roman" w:cs="Times New Roman" w:eastAsia="Times New Roman" w:hAnsi="Times New Roman"/>
          <w:sz w:val="18"/>
          <w:szCs w:val="18"/>
          <w:color w:val="auto"/>
        </w:rPr>
        <w:t xml:space="preserve">A shareholder can vote for or withhold his or her vote for the nominees. </w:t>
      </w:r>
      <w:r>
        <w:rPr>
          <w:rFonts w:ascii="Times New Roman" w:cs="Times New Roman" w:eastAsia="Times New Roman" w:hAnsi="Times New Roman"/>
          <w:sz w:val="18"/>
          <w:szCs w:val="18"/>
          <w:b w:val="1"/>
          <w:bCs w:val="1"/>
          <w:color w:val="auto"/>
        </w:rPr>
        <w:t>In the absence of instructions to the contrary, it is the intention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Times New Roman" w:cs="Times New Roman" w:eastAsia="Times New Roman" w:hAnsi="Times New Roman"/>
          <w:sz w:val="18"/>
          <w:szCs w:val="18"/>
          <w:color w:val="auto"/>
        </w:rPr>
        <w:t>Our Board of Directors has no reason to believe that the nominees will be unable or unwilling to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cast,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Executive Officers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information, as of April 15, 2026, regarding Messrs. Salute and Brunet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of Directors, in light of our business and structure.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126" w:lineRule="exact"/>
        <w:rPr>
          <w:sz w:val="20"/>
          <w:szCs w:val="20"/>
          <w:color w:val="auto"/>
        </w:rPr>
      </w:pPr>
    </w:p>
    <w:p>
      <w:pPr>
        <w:ind w:left="440" w:right="520" w:hanging="432"/>
        <w:spacing w:after="0" w:line="229" w:lineRule="auto"/>
        <w:tabs>
          <w:tab w:leader="none" w:pos="26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business addresses of the director nominees and the other directors are c/o NewtekOne, Inc., 4800 T-Rex Avenue, Suite 120, Boca Raton, FL 33431.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Class III Directors — Terms Expiring 2029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Directorships</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2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Nominee for</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16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24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Past 5 Years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r>
        <w:trPr>
          <w:trHeight w:val="171"/>
        </w:trPr>
        <w:tc>
          <w:tcPr>
            <w:tcW w:w="366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Messrs. Salute and Brunet are Independent</w:t>
            </w: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as defined by the Nasdaq listing rules.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Richard Salute, 80</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III Director</w:t>
            </w:r>
          </w:p>
        </w:tc>
        <w:tc>
          <w:tcPr>
            <w:tcW w:w="24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Retired</w:t>
            </w: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Near</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since 2015; Term</w:t>
            </w: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Intelligence, Inc.,</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expires 2026</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through March 27,</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8"/>
        </w:trPr>
        <w:tc>
          <w:tcPr>
            <w:tcW w:w="37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Craig “CJ” Brunet, 78</w:t>
            </w:r>
          </w:p>
        </w:tc>
        <w:tc>
          <w:tcPr>
            <w:tcW w:w="1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III Director</w:t>
            </w:r>
          </w:p>
        </w:tc>
        <w:tc>
          <w:tcPr>
            <w:tcW w:w="2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President and Chief Operating</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since 2024;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 Advanced Cyber</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expires 2026</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Security Corp</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Salute </w:t>
      </w:r>
      <w:r>
        <w:rPr>
          <w:rFonts w:ascii="Times New Roman" w:cs="Times New Roman" w:eastAsia="Times New Roman" w:hAnsi="Times New Roman"/>
          <w:sz w:val="17"/>
          <w:szCs w:val="17"/>
          <w:color w:val="auto"/>
        </w:rPr>
        <w:t>has served as an independent director of the Company since 2015 and has served on the board of directors of our bank subsidiary, Newtek Bank,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 (“Newtek Bank”) since January 2023. 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served as a director and a member of the audit committee of Near Intelligence, Inc., a global data intelligence platform, from September 2023 through March 27, 2024. Mr. Salute also served as a director of Walker Innovation Inc. from 2015 through 2018. Mr. Salute is a graduate of Adelphi University and a member of the American Institute of Certified Public Accountants and the New York State Society of Certified Public Accountants. Mr. Salute has more than 39 years of audit, accounting, and tax experience. His extensive audit, accounting, and tax experience and relationships with industry players are an asset to our Board of Directors. Mr. Salute’s expertise and experience also qualify him to serve as chairman of our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Brunet </w:t>
      </w:r>
      <w:r>
        <w:rPr>
          <w:rFonts w:ascii="Times New Roman" w:cs="Times New Roman" w:eastAsia="Times New Roman" w:hAnsi="Times New Roman"/>
          <w:sz w:val="18"/>
          <w:szCs w:val="18"/>
          <w:color w:val="auto"/>
        </w:rPr>
        <w:t>has served as an independent director of the Company since 2024 and has served on the board of directors of Newtek Bank since 2024.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Brunet and has over 50 years of experience in the information technology and financial services sectors with specific focus in strategic planning, mergers and acquisitions, Software as a Service (SaaS), patent commercialization, cyber security, compliance, and risk management. Mr. Brunet is currently the President and Chief Operating Officer of Advanced Cyber Security Corp, a strategic cyber security corporation focused on preventative, patented encryption technologies and applications. Mr. Brunet is also the founder and managing partner at Cyber Labs International, a global strategic technology consulting firm with specific expertise in cyber security. From January 2001 through December 2015, Mr. Brunet served as the Company’s Executive Vice President, CIO, CTO and CISO. Mr. Brunet’s executive and board member experience in many sectors, including financial services, Cloud Computing, Managed Services and IT security provides a significant addition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II Directors — Terms Expiring 2028</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2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Directorships</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vMerge w:val="restart"/>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 of Office</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720" w:type="dxa"/>
            <w:vAlign w:val="bottom"/>
          </w:tcPr>
          <w:p>
            <w:pPr>
              <w:jc w:val="center"/>
              <w:ind w:left="279"/>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720" w:type="dxa"/>
            <w:vAlign w:val="bottom"/>
          </w:tcPr>
          <w:p>
            <w:pPr>
              <w:jc w:val="center"/>
              <w:ind w:left="259"/>
              <w:spacing w:after="0" w:line="162" w:lineRule="exact"/>
              <w:rPr>
                <w:sz w:val="20"/>
                <w:szCs w:val="20"/>
                <w:color w:val="auto"/>
              </w:rPr>
            </w:pPr>
            <w:r>
              <w:rPr>
                <w:rFonts w:ascii="Times New Roman" w:cs="Times New Roman" w:eastAsia="Times New Roman" w:hAnsi="Times New Roman"/>
                <w:sz w:val="16"/>
                <w:szCs w:val="16"/>
                <w:b w:val="1"/>
                <w:bCs w:val="1"/>
                <w:color w:val="auto"/>
              </w:rPr>
              <w:t>Nominee for</w:t>
            </w:r>
          </w:p>
        </w:tc>
        <w:tc>
          <w:tcPr>
            <w:tcW w:w="0" w:type="dxa"/>
            <w:vAlign w:val="bottom"/>
          </w:tcPr>
          <w:p>
            <w:pPr>
              <w:spacing w:after="0"/>
              <w:rPr>
                <w:sz w:val="1"/>
                <w:szCs w:val="1"/>
                <w:color w:val="auto"/>
              </w:rPr>
            </w:pPr>
          </w:p>
        </w:tc>
      </w:tr>
      <w:tr>
        <w:trPr>
          <w:trHeight w:val="162"/>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238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Held with the</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Length of</w:t>
            </w: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1720" w:type="dxa"/>
            <w:vAlign w:val="bottom"/>
          </w:tcPr>
          <w:p>
            <w:pPr>
              <w:jc w:val="center"/>
              <w:ind w:left="239"/>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2"/>
        </w:trPr>
        <w:tc>
          <w:tcPr>
            <w:tcW w:w="2920" w:type="dxa"/>
            <w:vAlign w:val="bottom"/>
            <w:vMerge w:val="continue"/>
          </w:tcPr>
          <w:p>
            <w:pPr>
              <w:spacing w:after="0"/>
              <w:rPr>
                <w:sz w:val="18"/>
                <w:szCs w:val="18"/>
                <w:color w:val="auto"/>
              </w:rPr>
            </w:pPr>
          </w:p>
        </w:tc>
        <w:tc>
          <w:tcPr>
            <w:tcW w:w="238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172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8" w:lineRule="exact"/>
        <w:rPr>
          <w:sz w:val="20"/>
          <w:szCs w:val="20"/>
          <w:color w:val="auto"/>
        </w:rPr>
      </w:pPr>
    </w:p>
    <w:p>
      <w:pPr>
        <w:ind w:left="20" w:right="304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Messrs. Zink and Perez-Hickman are Independent Directors as defined by the Nasdaq</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listing rules.</w:t>
      </w:r>
    </w:p>
    <w:p>
      <w:pPr>
        <w:ind w:left="20"/>
        <w:spacing w:after="0"/>
        <w:tabs>
          <w:tab w:leader="none" w:pos="3740" w:val="left"/>
          <w:tab w:leader="none" w:pos="5400" w:val="left"/>
        </w:tabs>
        <w:rPr>
          <w:sz w:val="20"/>
          <w:szCs w:val="20"/>
          <w:color w:val="auto"/>
        </w:rPr>
      </w:pPr>
      <w:r>
        <w:rPr>
          <w:rFonts w:ascii="Times New Roman" w:cs="Times New Roman" w:eastAsia="Times New Roman" w:hAnsi="Times New Roman"/>
          <w:sz w:val="18"/>
          <w:szCs w:val="18"/>
          <w:color w:val="auto"/>
        </w:rPr>
        <w:t>Gregory Zink, 69</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Class II Director</w:t>
      </w:r>
    </w:p>
    <w:p>
      <w:pPr>
        <w:ind w:left="5420"/>
        <w:spacing w:after="0" w:line="232" w:lineRule="auto"/>
        <w:rPr>
          <w:sz w:val="20"/>
          <w:szCs w:val="20"/>
          <w:color w:val="auto"/>
        </w:rPr>
      </w:pPr>
      <w:r>
        <w:rPr>
          <w:rFonts w:ascii="Times New Roman" w:cs="Times New Roman" w:eastAsia="Times New Roman" w:hAnsi="Times New Roman"/>
          <w:sz w:val="17"/>
          <w:szCs w:val="17"/>
          <w:color w:val="auto"/>
        </w:rPr>
        <w:t>since 2017; term</w:t>
      </w:r>
    </w:p>
    <w:p>
      <w:pPr>
        <w:ind w:left="5420"/>
        <w:spacing w:after="0"/>
        <w:rPr>
          <w:sz w:val="20"/>
          <w:szCs w:val="20"/>
          <w:color w:val="auto"/>
        </w:rPr>
      </w:pPr>
      <w:r>
        <w:rPr>
          <w:rFonts w:ascii="Times New Roman" w:cs="Times New Roman" w:eastAsia="Times New Roman" w:hAnsi="Times New Roman"/>
          <w:sz w:val="18"/>
          <w:szCs w:val="18"/>
          <w:color w:val="auto"/>
        </w:rPr>
        <w:t>expires in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8"/>
          <w:szCs w:val="18"/>
          <w:color w:val="auto"/>
        </w:rPr>
        <w:t>Partner at Newport LLC</w:t>
      </w:r>
      <w:r>
        <w:rPr>
          <w:sz w:val="20"/>
          <w:szCs w:val="20"/>
          <w:color w:val="auto"/>
        </w:rPr>
        <w:tab/>
      </w:r>
      <w:r>
        <w:rPr>
          <w:rFonts w:ascii="Times New Roman" w:cs="Times New Roman" w:eastAsia="Times New Roman" w:hAnsi="Times New Roman"/>
          <w:sz w:val="17"/>
          <w:szCs w:val="17"/>
          <w:color w:val="auto"/>
        </w:rPr>
        <w:t>Director, Katapult</w:t>
      </w:r>
    </w:p>
    <w:p>
      <w:pPr>
        <w:spacing w:after="0" w:line="232" w:lineRule="auto"/>
        <w:tabs>
          <w:tab w:leader="none" w:pos="2280" w:val="left"/>
        </w:tabs>
        <w:rPr>
          <w:sz w:val="20"/>
          <w:szCs w:val="20"/>
          <w:color w:val="auto"/>
        </w:rPr>
      </w:pPr>
      <w:r>
        <w:rPr>
          <w:rFonts w:ascii="Times New Roman" w:cs="Times New Roman" w:eastAsia="Times New Roman" w:hAnsi="Times New Roman"/>
          <w:sz w:val="18"/>
          <w:szCs w:val="18"/>
          <w:color w:val="auto"/>
        </w:rPr>
        <w:t>since 2021; Managing</w:t>
      </w:r>
      <w:r>
        <w:rPr>
          <w:sz w:val="20"/>
          <w:szCs w:val="20"/>
          <w:color w:val="auto"/>
        </w:rPr>
        <w:tab/>
      </w:r>
      <w:r>
        <w:rPr>
          <w:rFonts w:ascii="Times New Roman" w:cs="Times New Roman" w:eastAsia="Times New Roman" w:hAnsi="Times New Roman"/>
          <w:sz w:val="17"/>
          <w:szCs w:val="17"/>
          <w:color w:val="auto"/>
        </w:rPr>
        <w:t>Holdings, Inc., since</w:t>
      </w:r>
    </w:p>
    <w:p>
      <w:pPr>
        <w:ind w:right="680"/>
        <w:spacing w:after="0" w:line="226" w:lineRule="auto"/>
        <w:rPr>
          <w:sz w:val="20"/>
          <w:szCs w:val="20"/>
          <w:color w:val="auto"/>
        </w:rPr>
      </w:pPr>
      <w:r>
        <w:rPr>
          <w:rFonts w:ascii="Times New Roman" w:cs="Times New Roman" w:eastAsia="Times New Roman" w:hAnsi="Times New Roman"/>
          <w:sz w:val="18"/>
          <w:szCs w:val="18"/>
          <w:color w:val="auto"/>
        </w:rPr>
        <w:t>partner, Lowell Group, LLC, November 2025 1988-2021.</w:t>
      </w:r>
    </w:p>
    <w:p>
      <w:pPr>
        <w:spacing w:after="0" w:line="1" w:lineRule="exact"/>
        <w:rPr>
          <w:sz w:val="20"/>
          <w:szCs w:val="20"/>
          <w:color w:val="auto"/>
        </w:rPr>
      </w:pPr>
    </w:p>
    <w:p>
      <w:pPr>
        <w:sectPr>
          <w:pgSz w:w="11900" w:h="16838" w:orient="portrait"/>
          <w:cols w:equalWidth="0" w:num="2">
            <w:col w:w="6620" w:space="460"/>
            <w:col w:w="4140"/>
          </w:cols>
          <w:pgMar w:left="320" w:top="1440" w:right="359" w:bottom="1440" w:gutter="0" w:footer="0" w:header="0"/>
          <w:type w:val="continuous"/>
        </w:sectPr>
      </w:pPr>
    </w:p>
    <w:tbl>
      <w:tblPr>
        <w:tblLayout w:type="fixed"/>
        <w:tblInd w:w="20" w:type="dxa"/>
        <w:tblCellMar>
          <w:top w:w="0" w:type="dxa"/>
          <w:left w:w="0" w:type="dxa"/>
          <w:bottom w:w="0" w:type="dxa"/>
          <w:right w:w="0" w:type="dxa"/>
        </w:tblCellMar>
      </w:tblPr>
      <w:tr>
        <w:trPr>
          <w:trHeight w:val="176"/>
        </w:trPr>
        <w:tc>
          <w:tcPr>
            <w:tcW w:w="3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Fernando Perez-Hickman, 58</w:t>
            </w:r>
          </w:p>
        </w:tc>
        <w:tc>
          <w:tcPr>
            <w:tcW w:w="16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Class II Director</w:t>
            </w:r>
          </w:p>
        </w:tc>
        <w:tc>
          <w:tcPr>
            <w:tcW w:w="2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Managing Partner, Azora</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since 2021; term</w:t>
            </w:r>
          </w:p>
        </w:tc>
        <w:tc>
          <w:tcPr>
            <w:tcW w:w="23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Exan.</w:t>
            </w:r>
          </w:p>
        </w:tc>
        <w:tc>
          <w:tcPr>
            <w:tcW w:w="0" w:type="dxa"/>
            <w:vAlign w:val="bottom"/>
          </w:tcPr>
          <w:p>
            <w:pPr>
              <w:spacing w:after="0"/>
              <w:rPr>
                <w:sz w:val="1"/>
                <w:szCs w:val="1"/>
                <w:color w:val="auto"/>
              </w:rPr>
            </w:pPr>
          </w:p>
        </w:tc>
      </w:tr>
      <w:tr>
        <w:trPr>
          <w:trHeight w:val="234"/>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Mrs. Razon-Feingold is not an Independent</w:t>
            </w:r>
          </w:p>
        </w:tc>
        <w:tc>
          <w:tcPr>
            <w:tcW w:w="162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expires in 2028</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62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as defined by the Nasdaq listing rules.</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Halli Razon-Feingold, 37</w:t>
            </w:r>
          </w:p>
        </w:tc>
        <w:tc>
          <w:tcPr>
            <w:tcW w:w="16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Director; Chief</w:t>
            </w:r>
          </w:p>
        </w:tc>
        <w:tc>
          <w:tcPr>
            <w:tcW w:w="15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Class II Director</w:t>
            </w:r>
          </w:p>
        </w:tc>
        <w:tc>
          <w:tcPr>
            <w:tcW w:w="23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w w:val="98"/>
              </w:rPr>
              <w:t>Chief Administrative Officer</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62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Administrative</w:t>
            </w:r>
          </w:p>
        </w:tc>
        <w:tc>
          <w:tcPr>
            <w:tcW w:w="15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since 2021; term</w:t>
            </w:r>
          </w:p>
        </w:tc>
        <w:tc>
          <w:tcPr>
            <w:tcW w:w="23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w w:val="99"/>
              </w:rPr>
              <w:t>and Chief Human Resources</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16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Officer and Chief</w:t>
            </w:r>
          </w:p>
        </w:tc>
        <w:tc>
          <w:tcPr>
            <w:tcW w:w="15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expires in 2028</w:t>
            </w:r>
          </w:p>
        </w:tc>
        <w:tc>
          <w:tcPr>
            <w:tcW w:w="23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Officer of the Company</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6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Human Resources</w:t>
            </w:r>
          </w:p>
        </w:tc>
        <w:tc>
          <w:tcPr>
            <w:tcW w:w="1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Zink </w:t>
      </w:r>
      <w:r>
        <w:rPr>
          <w:rFonts w:ascii="Times New Roman" w:cs="Times New Roman" w:eastAsia="Times New Roman" w:hAnsi="Times New Roman"/>
          <w:sz w:val="17"/>
          <w:szCs w:val="17"/>
          <w:color w:val="auto"/>
        </w:rPr>
        <w:t>has served as an independent director of the Company since 2017 and has served on the board of directors of Newtek Bank since January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Zink is a Partner at Newport LLC, a national strategic advisory firm that specializes in helping owners and CEOs of privately held, growth stage companies accelerate growth and significantly improve the value of their businesses. Mr. Zink joined the board of directors of Katapult Holdings, Inc., a publicly listed company, in November 2025. From 1998 to 2021, Mr. Zink was the principal of the Lowell Group, LLC, a management consulting firm which provided strategic, operational, marketing and financial consulting assistance to start-up, small and medium size businesses. From 1988 through 2019, Mr. Zink served as the Chief Executive Officer, Chief Financial Officer and Director of NGJ Brand Solutions, a distributor of commercial fitness equipment and health and wellness solutions provider in Japan. Mr. Zink was also previously employed by the Company as an Executive Vice President from 2000-2005; and by Touche Ross/Deloitte Consulting; and is a graduate of the General Electric Financial Management Program. Mr. Zink has an MBA from the Wharton School of the University of Pennsylvania. Mr. Zink’s professional experience provides a significant addition to the Board of Directors, as a result of, among other things, Mr. Zink’s many years of experience providing consulting and financial advice to small and medium sized businesses.</w:t>
      </w:r>
    </w:p>
    <w:p>
      <w:pPr>
        <w:spacing w:after="0" w:line="18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Mr. Perez-Hickman </w:t>
      </w:r>
      <w:r>
        <w:rPr>
          <w:rFonts w:ascii="Times New Roman" w:cs="Times New Roman" w:eastAsia="Times New Roman" w:hAnsi="Times New Roman"/>
          <w:sz w:val="18"/>
          <w:szCs w:val="18"/>
          <w:color w:val="auto"/>
        </w:rPr>
        <w:t>has served as an independent director of the Company since 2021 and has served on the board of directors of Newtek Bank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2023. Mr. Perez-Hickman is a Managing Partner at Azora Capital, a Madrid-based European private equity firm, and its U.S. affiliate Azora Exan, based in Miami, Florida. Mr. Perez-Hickman served as Vice Chairman, Director of Corporate Strategy and member of IBERIABANK’s Planning Group Committee from 2007 until its merger with First Horizon Bank in July 2020. At IBERIABANK, he was responsible for corporate strategy and mergers and acquisitions, supervising the Consumer and Retail Banking Division, reporting to the CEO. From 1999 to 2017, Mr. Perez-Hickman served as Executive Chairman of the Board of Sabadell United Bank and Managing Director of Santander Private Banking International. Mr. Perez-Hickman’s broad experience as a highly successful and experienced executive with a proven track record in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2" w:name="page13"/>
    <w:bookmarkEnd w:id="12"/>
    <w:p>
      <w:pPr>
        <w:ind w:right="340"/>
        <w:spacing w:after="0" w:line="266" w:lineRule="auto"/>
        <w:rPr>
          <w:sz w:val="20"/>
          <w:szCs w:val="20"/>
          <w:color w:val="auto"/>
        </w:rPr>
      </w:pPr>
      <w:r>
        <w:rPr>
          <w:rFonts w:ascii="Times New Roman" w:cs="Times New Roman" w:eastAsia="Times New Roman" w:hAnsi="Times New Roman"/>
          <w:sz w:val="18"/>
          <w:szCs w:val="18"/>
          <w:color w:val="auto"/>
        </w:rPr>
        <w:t>mergers and acquisitions and value creation at financial services businesses in the United States, Spain and international markets, provides a significant addition to the Board of Directors.</w:t>
      </w:r>
    </w:p>
    <w:p>
      <w:pPr>
        <w:spacing w:after="0" w:line="19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Mrs. Razon-Feingold </w:t>
      </w:r>
      <w:r>
        <w:rPr>
          <w:rFonts w:ascii="Times New Roman" w:cs="Times New Roman" w:eastAsia="Times New Roman" w:hAnsi="Times New Roman"/>
          <w:sz w:val="18"/>
          <w:szCs w:val="18"/>
          <w:color w:val="auto"/>
        </w:rPr>
        <w:t>has served as a non-independent director of the Company since 2021. Mrs. Razon-Feingold was named Chief Human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in 2025, has served as the Company’s Chief Administrative Officer since July 2016 and was Senior Vice President of Human Resources for the Company from 2019 to 2025. Mrs. Razon-Feingold’s tenure at the Company spans over fourteen years, with her current principal responsibilities centered on managing the Executive department and all areas of Human Resources for the Company and all of its subsidiaries. Mrs. Razon-Feingold holds a master’s degree in Industrial/Organizational Psychology from CUNY Baruch College and a bachelor’s degree in Psychology from Hofstra University. Mrs. Razon-Feingold’s long experience with the Company and expertise in human resources provides a significant addition to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Incumbent Class I Directors — Terms Expiring 2027</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Directorships</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Position(s)</w:t>
            </w: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Term of Office</w:t>
            </w:r>
          </w:p>
        </w:tc>
        <w:tc>
          <w:tcPr>
            <w:tcW w:w="2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Held by Director or Nominee</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for</w:t>
            </w: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Address, and Age</w:t>
            </w:r>
            <w:r>
              <w:rPr>
                <w:rFonts w:ascii="Times New Roman" w:cs="Times New Roman" w:eastAsia="Times New Roman" w:hAnsi="Times New Roman"/>
                <w:sz w:val="9"/>
                <w:szCs w:val="9"/>
                <w:b w:val="1"/>
                <w:bCs w:val="1"/>
                <w:color w:val="auto"/>
              </w:rPr>
              <w:t>(1)</w:t>
            </w:r>
          </w:p>
        </w:tc>
        <w:tc>
          <w:tcPr>
            <w:tcW w:w="16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Held with the</w:t>
            </w:r>
          </w:p>
        </w:tc>
        <w:tc>
          <w:tcPr>
            <w:tcW w:w="16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and Length of</w:t>
            </w:r>
          </w:p>
        </w:tc>
        <w:tc>
          <w:tcPr>
            <w:tcW w:w="22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Occupation(s) During</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Director During</w:t>
            </w:r>
          </w:p>
        </w:tc>
        <w:tc>
          <w:tcPr>
            <w:tcW w:w="0" w:type="dxa"/>
            <w:vAlign w:val="bottom"/>
          </w:tcPr>
          <w:p>
            <w:pPr>
              <w:spacing w:after="0"/>
              <w:rPr>
                <w:sz w:val="1"/>
                <w:szCs w:val="1"/>
                <w:color w:val="auto"/>
              </w:rPr>
            </w:pPr>
          </w:p>
        </w:tc>
      </w:tr>
      <w:tr>
        <w:trPr>
          <w:trHeight w:val="214"/>
        </w:trPr>
        <w:tc>
          <w:tcPr>
            <w:tcW w:w="3540" w:type="dxa"/>
            <w:vAlign w:val="bottom"/>
            <w:gridSpan w:val="2"/>
            <w:vMerge w:val="continue"/>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Time Served</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Past 5 Years</w:t>
            </w:r>
          </w:p>
        </w:tc>
        <w:tc>
          <w:tcPr>
            <w:tcW w:w="0" w:type="dxa"/>
            <w:vAlign w:val="bottom"/>
          </w:tcPr>
          <w:p>
            <w:pPr>
              <w:spacing w:after="0"/>
              <w:rPr>
                <w:sz w:val="1"/>
                <w:szCs w:val="1"/>
                <w:color w:val="auto"/>
              </w:rPr>
            </w:pPr>
          </w:p>
        </w:tc>
      </w:tr>
      <w:tr>
        <w:trPr>
          <w:trHeight w:val="171"/>
        </w:trPr>
        <w:tc>
          <w:tcPr>
            <w:tcW w:w="344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Messrs. Sloane and Downs are not</w:t>
            </w: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i w:val="1"/>
                <w:iCs w:val="1"/>
                <w:color w:val="auto"/>
              </w:rPr>
              <w:t>Independent Directors as defined by the</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rules.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Barry Sloane, 66</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Chief</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since 1999</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w:t>
            </w:r>
          </w:p>
        </w:tc>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 Intelligent</w:t>
            </w: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Officer</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Class I Director</w:t>
            </w:r>
          </w:p>
        </w:tc>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of the Company;</w:t>
            </w: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Protection Management</w:t>
            </w: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President</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since 2014; Term</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of</w:t>
            </w:r>
          </w:p>
        </w:tc>
        <w:tc>
          <w:tcPr>
            <w:tcW w:w="2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Corp. since January 2025</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expires 2027</w:t>
            </w:r>
          </w:p>
        </w:tc>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Newtek Bank, N.A. and the</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Company’s non-bank</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Peter Downs, 61</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Director; President,</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I Director</w:t>
            </w:r>
          </w:p>
        </w:tc>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Newtek Bank;</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Newtek Bank,</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2014; Term</w:t>
            </w:r>
          </w:p>
        </w:tc>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Lending Officer of the</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Newtek</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expires 2027</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and Newtek Bank,</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Small Business</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N.A.; President, Newtek</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LLC</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Business Finance, LLC</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Mr. Cestare is an Independent Director as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by the Nasdaq listing rules.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Thomas Cestare, 57</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I Director</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Partner and Chief Operating</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since January 2026;</w:t>
            </w:r>
          </w:p>
        </w:tc>
        <w:tc>
          <w:tcPr>
            <w:tcW w:w="2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Officer of Patriot Financial</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expires in</w:t>
            </w:r>
          </w:p>
        </w:tc>
        <w:tc>
          <w:tcPr>
            <w:tcW w:w="2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Partners, LP</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Sloane </w:t>
      </w:r>
      <w:r>
        <w:rPr>
          <w:rFonts w:ascii="Times New Roman" w:cs="Times New Roman" w:eastAsia="Times New Roman" w:hAnsi="Times New Roman"/>
          <w:sz w:val="18"/>
          <w:szCs w:val="18"/>
          <w:color w:val="auto"/>
        </w:rPr>
        <w:t>has served as our Chairman and Chief Executive Officer since 1999, as our President since 2008 and Chairman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Newtek Bank since January 2023. Mr. Sloane founded the Company in 1998 and is an executive officer of each of the Company’s subsidiaries. From September 1993 through July 1995, Mr. Sloane was a Managing Director of Smith Barney, Inc., where he directed the Commercial and Residential Real Estate Securitization Unit, and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September 1988, Mr. Sloane was a senior mortgage security salesman and trader for Bear Stearns, L.F. Rothschild, E.F. Hutton and Paine Webber. Mr. Sloane’s broad business and financial experience and his knowledge of the Company’s businesses have been of great value to the other members of the Board and qualify him to serve on our Board of Directors and as the Chairman of our Board of Directors. In January 2025, Mr. Sloane was appointed to the Intelligent Protection Management Corp. (“IPM”) board of directors as the Company’s board representative in connection with the Company’s sale of its former subsidiary Newtek Technology Solutions, Inc. to IPM.</w:t>
      </w: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Downs </w:t>
      </w:r>
      <w:r>
        <w:rPr>
          <w:rFonts w:ascii="Times New Roman" w:cs="Times New Roman" w:eastAsia="Times New Roman" w:hAnsi="Times New Roman"/>
          <w:sz w:val="18"/>
          <w:szCs w:val="18"/>
          <w:color w:val="auto"/>
        </w:rPr>
        <w:t>was appointed President of Newtek Bank effective April 22, 2025. Mr. Downs was the Company’s and Newtek Bank’s Chief Lending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January 2023 through April 21, 2025. Mr. Downs has been a member of the board of directors of Newtek Bank since January 2023. Mr. Downs has been the President of Newtek Small Business Finance, LLC (“NSBF”) since 2003, the Company’s wholly owned subsidiary, and a member of the NSBF board of directors. Mr. Downs has had primary responsibility for the development of the Company’s lending policies and procedures, loan originations and loan portfolio. Prior to joining the Company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 Mr. Down’s history with the Company and extensive experience in the small business lending space, including SBA 7(a) and 504 lending, provides our Board of Directors with the valuable insight of an experienced lender.</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Cestare. </w:t>
      </w:r>
      <w:r>
        <w:rPr>
          <w:rFonts w:ascii="Times New Roman" w:cs="Times New Roman" w:eastAsia="Times New Roman" w:hAnsi="Times New Roman"/>
          <w:sz w:val="18"/>
          <w:szCs w:val="18"/>
          <w:color w:val="auto"/>
        </w:rPr>
        <w:t>On January 27, 2026, the Board of Directors increased the number of directors constituting the entire Board of Directors from seven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eight, and elected Mr. Cestare to serve as a Class I director. Mr. Cestare has served on the board of directors of Newtek Bank since January 2023. In addition, Mr. Cestare is a partner and chief operating officer of Patriot Financial Partners, LP, a private equity firm focused on investing in community banks, thrifts and financial services related companies throughout the United States. Patriot Financial Partners, LP is the financial manager for the investment entities that comprise the Patriot Financial Group, which holds shared voting and dispositive power as to 2,307,692 Common Shares. Mr. Cestare has over 35 years of experience in banking. Previously, Mr. Cestare served as the executive vice president and chief financial officer at Beneficial Bancorp from 2010-2020, and was responsible for, among other things, corporate finance and accounting, risk management, investor relations and corporate planning, budgeting and forecasting. Prior to joining Beneficial, Mr. Cestare was the executive vice president and chief accounting officer of Sovereign Bancorp, Inc. Prior to joining Sovereign in 2005, Mr. Cestare was a Partner with the public accounting firm of KPMG LLP focusing on banks and other financial service companies. Mr. Cestare has served on the boards of many civic and professional organizations during his career including the Police Athletic League and the Preservation Alliance of Philadelphia. Mr. Cestare received his B.S. degree in Accounting from the University of Delaware. Mr. Cestare’s experience in banking, financial services, finance and accounting provides a significant addition to the Board of Directors. On September 16, 2025, the Company entered into a Securities Purchase and Exchange Agreement (the “Purchase and Exchange Agreement”) with members of the Patriot Financial Group. Pursuant to the Purchase and Exchange Agreement, members of the Patriot Financial Group and the Company agreed to exchange all of the 20,000 outstanding shares of the Company’s Series A Convertible Preferred Stock originally issued to Patriot and $10 million in cash for 2,307,692 shares of the Company’s common stock (the “Patriot Exchange Transaction”). Given Mr. Cestare’s affiliation with Patriot, the Patriot Exchange Transaction may be considered a related party transaction under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more information on the Patriot Exchange Transaction, please refer to the Company’s Current Report on Form 8-K filed with the Securities and Exchange Commission (the “SEC”) on September 17,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that the nominees and incumbent directors collectively exhibit the diversity and depth and breadth of experience necessary to contribute to an engaged board that is capable of effectively and thoughtfully overseeing the Company’s management. The two nominees are incumbent directors. Mr. Salute was elected as a director at our 2023 Annual Meeting of Shareholders and Mr. Brunet was appointed to the Board of Directors to fill a newly created vacancy in 2024. No nominee has a family relationship to any other director or executive officer. The skills and experience categories highlighted in the table below have been identified by our Board as relevant to advancing the Board’s role and responsibilities, and are generally considered in the Board of Director Compensation, Corporate Governance and Nominating Committee’s (the “Nominating Committee”) process of identifying and reviewing director candidates.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Sloane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Downs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Salute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Brunet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Perez-</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Zink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Razon-</w:t>
            </w:r>
          </w:p>
        </w:tc>
        <w:tc>
          <w:tcPr>
            <w:tcW w:w="720" w:type="dxa"/>
            <w:vAlign w:val="bottom"/>
          </w:tcPr>
          <w:p>
            <w:pPr>
              <w:jc w:val="center"/>
              <w:ind w:left="82"/>
              <w:spacing w:after="0"/>
              <w:rPr>
                <w:sz w:val="20"/>
                <w:szCs w:val="20"/>
                <w:color w:val="auto"/>
              </w:rPr>
            </w:pPr>
            <w:r>
              <w:rPr>
                <w:rFonts w:ascii="Times New Roman" w:cs="Times New Roman" w:eastAsia="Times New Roman" w:hAnsi="Times New Roman"/>
                <w:sz w:val="18"/>
                <w:szCs w:val="18"/>
                <w:color w:val="auto"/>
                <w:w w:val="99"/>
              </w:rPr>
              <w:t>Cestare</w:t>
            </w:r>
          </w:p>
        </w:tc>
      </w:tr>
      <w:tr>
        <w:trPr>
          <w:trHeight w:val="234"/>
        </w:trPr>
        <w:tc>
          <w:tcPr>
            <w:tcW w:w="3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Hickman</w:t>
            </w:r>
          </w:p>
        </w:tc>
        <w:tc>
          <w:tcPr>
            <w:tcW w:w="8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Feingold</w:t>
            </w:r>
          </w:p>
        </w:tc>
        <w:tc>
          <w:tcPr>
            <w:tcW w:w="720" w:type="dxa"/>
            <w:vAlign w:val="bottom"/>
          </w:tcPr>
          <w:p>
            <w:pPr>
              <w:spacing w:after="0"/>
              <w:rPr>
                <w:sz w:val="20"/>
                <w:szCs w:val="20"/>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Finance </w:t>
            </w:r>
            <w:r>
              <w:rPr>
                <w:rFonts w:ascii="Times New Roman" w:cs="Times New Roman" w:eastAsia="Times New Roman" w:hAnsi="Times New Roman"/>
                <w:sz w:val="18"/>
                <w:szCs w:val="18"/>
                <w:color w:val="auto"/>
              </w:rPr>
              <w:t>- experience in understanding and</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spacing w:after="0"/>
              <w:rPr>
                <w:sz w:val="17"/>
                <w:szCs w:val="17"/>
                <w:color w:val="auto"/>
              </w:rPr>
            </w:pP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171"/>
        </w:trPr>
        <w:tc>
          <w:tcPr>
            <w:tcW w:w="3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overseeing financial reporting and internal</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controls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Leadership </w:t>
            </w:r>
            <w:r>
              <w:rPr>
                <w:rFonts w:ascii="Times New Roman" w:cs="Times New Roman" w:eastAsia="Times New Roman" w:hAnsi="Times New Roman"/>
                <w:sz w:val="18"/>
                <w:szCs w:val="18"/>
                <w:color w:val="auto"/>
              </w:rPr>
              <w:t>- overseeing a company or a</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171"/>
        </w:trPr>
        <w:tc>
          <w:tcPr>
            <w:tcW w:w="3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significant business unit giving him/her</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leadership qualities and the ability to identify</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and develop those qualities in others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Technology </w:t>
            </w:r>
            <w:r>
              <w:rPr>
                <w:rFonts w:ascii="Times New Roman" w:cs="Times New Roman" w:eastAsia="Times New Roman" w:hAnsi="Times New Roman"/>
                <w:sz w:val="18"/>
                <w:szCs w:val="18"/>
                <w:color w:val="auto"/>
              </w:rPr>
              <w:t>- experience with companies that</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171"/>
        </w:trPr>
        <w:tc>
          <w:tcPr>
            <w:tcW w:w="3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used or developed technology to improve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3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quality and innovate products and services to</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increase client satisfaction; experience in</w:t>
            </w: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mitigating and managing cybersecurity risks</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 knowledge or expertise in</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171"/>
        </w:trPr>
        <w:tc>
          <w:tcPr>
            <w:tcW w:w="3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current corporate governance trends and</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practices</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Risk </w:t>
            </w:r>
            <w:r>
              <w:rPr>
                <w:rFonts w:ascii="Times New Roman" w:cs="Times New Roman" w:eastAsia="Times New Roman" w:hAnsi="Times New Roman"/>
                <w:sz w:val="18"/>
                <w:szCs w:val="18"/>
                <w:color w:val="auto"/>
              </w:rPr>
              <w:t>- knowledge or expertise with respect to</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spacing w:after="0"/>
              <w:rPr>
                <w:sz w:val="17"/>
                <w:szCs w:val="17"/>
                <w:color w:val="auto"/>
              </w:rPr>
            </w:pP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171"/>
        </w:trPr>
        <w:tc>
          <w:tcPr>
            <w:tcW w:w="3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risk management processes across a large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in a regulated industry</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Financial Services Experience </w:t>
            </w:r>
            <w:r>
              <w:rPr>
                <w:rFonts w:ascii="Times New Roman" w:cs="Times New Roman" w:eastAsia="Times New Roman" w:hAnsi="Times New Roman"/>
                <w:sz w:val="18"/>
                <w:szCs w:val="18"/>
                <w:color w:val="auto"/>
              </w:rPr>
              <w:t>- experience</w:t>
            </w:r>
          </w:p>
        </w:tc>
        <w:tc>
          <w:tcPr>
            <w:tcW w:w="90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9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6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92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110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820" w:type="dxa"/>
            <w:vAlign w:val="bottom"/>
          </w:tcPr>
          <w:p>
            <w:pPr>
              <w:jc w:val="center"/>
              <w:spacing w:after="0" w:line="198" w:lineRule="exact"/>
              <w:rPr>
                <w:sz w:val="20"/>
                <w:szCs w:val="20"/>
                <w:color w:val="auto"/>
              </w:rPr>
            </w:pPr>
            <w:r>
              <w:rPr>
                <w:rFonts w:ascii="Arial" w:cs="Arial" w:eastAsia="Arial" w:hAnsi="Arial"/>
                <w:sz w:val="20"/>
                <w:szCs w:val="20"/>
                <w:color w:val="auto"/>
                <w:w w:val="82"/>
              </w:rPr>
              <w:t>●</w:t>
            </w:r>
          </w:p>
        </w:tc>
        <w:tc>
          <w:tcPr>
            <w:tcW w:w="1080" w:type="dxa"/>
            <w:vAlign w:val="bottom"/>
          </w:tcPr>
          <w:p>
            <w:pPr>
              <w:jc w:val="center"/>
              <w:spacing w:after="0" w:line="198" w:lineRule="exact"/>
              <w:rPr>
                <w:sz w:val="20"/>
                <w:szCs w:val="20"/>
                <w:color w:val="auto"/>
              </w:rPr>
            </w:pPr>
            <w:r>
              <w:rPr>
                <w:rFonts w:ascii="Arial" w:cs="Arial" w:eastAsia="Arial" w:hAnsi="Arial"/>
                <w:sz w:val="20"/>
                <w:szCs w:val="20"/>
                <w:color w:val="auto"/>
                <w:w w:val="98"/>
              </w:rPr>
              <w:t>●</w:t>
            </w:r>
          </w:p>
        </w:tc>
        <w:tc>
          <w:tcPr>
            <w:tcW w:w="720" w:type="dxa"/>
            <w:vAlign w:val="bottom"/>
          </w:tcPr>
          <w:p>
            <w:pPr>
              <w:jc w:val="center"/>
              <w:ind w:left="102"/>
              <w:spacing w:after="0" w:line="198" w:lineRule="exact"/>
              <w:rPr>
                <w:sz w:val="20"/>
                <w:szCs w:val="20"/>
                <w:color w:val="auto"/>
              </w:rPr>
            </w:pPr>
            <w:r>
              <w:rPr>
                <w:rFonts w:ascii="Arial" w:cs="Arial" w:eastAsia="Arial" w:hAnsi="Arial"/>
                <w:sz w:val="20"/>
                <w:szCs w:val="20"/>
                <w:color w:val="auto"/>
                <w:w w:val="98"/>
              </w:rPr>
              <w:t>●</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within or leading a financial services company</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and Board of Directors Meetings</w:t>
      </w:r>
    </w:p>
    <w:p>
      <w:pPr>
        <w:spacing w:after="0" w:line="148"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Company’s Board of Directors and management are committed to responsible corporate governance to ensure that the Company is managed for the long-term benefit of its shareholders. To that end, the Board of Directors and executive committee, comprised of the Company’s named executive officers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Oxley Act of 2002 and the rules issued by the SEC and rules and listing standards issued by The Nasdaq</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Stock Market, Inc. (“Nasdaq”) where the Company’s Common Shares are listed and traded.</w:t>
      </w:r>
    </w:p>
    <w:p>
      <w:pPr>
        <w:spacing w:after="0" w:line="81"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2025, the Board of Directors held a total of 14 meetings, the Audit Committee held 11 meetings, the Nominating Committee held 4 meetings, the Risk Committee held 4 meetings and the Technology Steering Committee held 5 meetings. Each of the incumbent directors attended at least 75% of the aggregate of the Board of Directors meetings and meetings of the committee(s) held and on which he or she served during the last fiscal year. All members of the Board of Directors make a diligent effort to attend all Board and committee meetings, as well as the Annual Meeting of Shareholders. In 2025, all members of the Board of Directors attended the Annual Meeting of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162"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Company has adopted corporate governance policies which are available at the Company’s Investor Relations page at www.newtekone.com (http://investor.newtekbusinessservices.com/corporate-governance.cfm). The corporate governance policies are also available in print to any shareholder who requests them. These policies were adopted by the Board of Directors to, among other things,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11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currently has four standing committees: the Audit Committee, the Nominating Committee, the Risk Committee and Technology Steering Committee. Each member of the Audit Committee, the Nominating Committee and Technology Steering Committee is independent as defined by applicable Nasdaq and SEC rules. The Risk Committee is comprised of both independent directors and directors who are members of Company management. A brief description of each committee is included in this Proxy Statement and each of the committees has a written charter approved by the Board of Directors, which is available on the Investor Relations page of our website at </w:t>
      </w:r>
      <w:r>
        <w:rPr>
          <w:rFonts w:ascii="Times New Roman" w:cs="Times New Roman" w:eastAsia="Times New Roman" w:hAnsi="Times New Roman"/>
          <w:sz w:val="18"/>
          <w:szCs w:val="18"/>
          <w:i w:val="1"/>
          <w:iCs w:val="1"/>
          <w:color w:val="auto"/>
        </w:rPr>
        <w:t>www.newtekone.com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http://investor.newtekbusinessservices.com/corporate-governance.cfm</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Audit Committee. </w:t>
      </w:r>
      <w:r>
        <w:rPr>
          <w:rFonts w:ascii="Times New Roman" w:cs="Times New Roman" w:eastAsia="Times New Roman" w:hAnsi="Times New Roman"/>
          <w:sz w:val="17"/>
          <w:szCs w:val="17"/>
          <w:color w:val="auto"/>
        </w:rPr>
        <w:t>The Board of Directors has established an Audit Committee in accordance with the Securities Exchange Act of 1934,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amended (the “Exchange Act”). The Audit Committee currently consists of Messrs. Salute, Perez-Hickman, Cestare and Zink, each of whom is an “independent director” as defined in the Nasdaq listing standards, and operates pursuant to its written charter. Mr. Salute serves as Chair of the Audit Committee and currently serves as the “audit committee financial expert,” as defined under applicable SEC rules. Mr. Mulia served on the Audit Committee during 2025 until his retirement in April 2025, whereupon Mr. Perez-Hickman was appointed to the Audit Committee; Mr. Cestare was appointed to the Audit Committee in January 2026. The Audit Committee is authorized to examine and approve the audit report prepared by the independent auditors of the Company, to review and select the independent auditors to be engaged by the Company, and to review the internal accounting controls and audit policies. In addition, the Audit Committee has oversight of the Company’s and Newtek Bank’s internal audit function. The Board of Directors has determined that all members of the Audit Committee are “financially literate” as that term is defined by applicable Nasdaq and SEC rules.</w:t>
      </w:r>
    </w:p>
    <w:p>
      <w:pPr>
        <w:spacing w:after="0" w:line="102" w:lineRule="exact"/>
        <w:rPr>
          <w:sz w:val="20"/>
          <w:szCs w:val="20"/>
          <w:color w:val="auto"/>
        </w:rPr>
      </w:pPr>
    </w:p>
    <w:p>
      <w:pPr>
        <w:ind w:right="14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Corporate Governance and Nominating Committee (the “Nominating Committee”). </w:t>
      </w:r>
      <w:r>
        <w:rPr>
          <w:rFonts w:ascii="Times New Roman" w:cs="Times New Roman" w:eastAsia="Times New Roman" w:hAnsi="Times New Roman"/>
          <w:sz w:val="18"/>
          <w:szCs w:val="18"/>
          <w:color w:val="auto"/>
        </w:rPr>
        <w:t>The Board of Directors has established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Committee. The Nominating Committee currently consists of Messrs. Salute, Brunet, Perez-Hickman and Zink, each of whom is an “independent director” as defined in the Nasdaq listing standards, and operates pursuant to its written charter. Mr. Zink currently serves as Chair of the Nominating Committee. Mr. Mulia served as Co-chair of the Nominating Committee during 2025 until his retirement in April 2025.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policies, identifying and recommending potential candidates for election to the Board of Directors, reviewing and approving conflicts of interest or related party transactions and reviewing executive and director compensation and performance.</w:t>
      </w:r>
    </w:p>
    <w:p>
      <w:pPr>
        <w:spacing w:after="0" w:line="81"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spacing w:after="0" w:line="108" w:lineRule="exact"/>
        <w:rPr>
          <w:sz w:val="20"/>
          <w:szCs w:val="20"/>
          <w:color w:val="auto"/>
        </w:rPr>
      </w:pPr>
    </w:p>
    <w:p>
      <w:pPr>
        <w:ind w:left="680" w:hanging="24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best interests of the Company’s shareholders.</w:t>
      </w:r>
    </w:p>
    <w:p>
      <w:pPr>
        <w:spacing w:after="0" w:line="15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differences of viewpoint, professional experience, education, skill, race, gender, national origin and other qualities that can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these factors and goals in mind, in September 2021, adopting the nominations by the Nominating Committee, the Board of Directors</w:t>
      </w:r>
    </w:p>
    <w:p>
      <w:pPr>
        <w:spacing w:after="0" w:line="16"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increased the number of directors constituting the entire Board of Directors from five to seven, and elected Mr. Perez-Hickman and Mrs. Razon-Feingold to the Board of Directors, further diversifying the Company’s Board of Directors and serving the needs of the Company and the interest of its shareholders, by adding one female and one Hispanic individual to our Board of Directors.</w:t>
      </w:r>
    </w:p>
    <w:p>
      <w:pPr>
        <w:spacing w:after="0" w:line="208" w:lineRule="exact"/>
        <w:rPr>
          <w:sz w:val="20"/>
          <w:szCs w:val="20"/>
          <w:color w:val="auto"/>
        </w:rPr>
      </w:pPr>
    </w:p>
    <w:p>
      <w:pPr>
        <w:ind w:right="320"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Committee. </w:t>
      </w:r>
      <w:r>
        <w:rPr>
          <w:rFonts w:ascii="Times New Roman" w:cs="Times New Roman" w:eastAsia="Times New Roman" w:hAnsi="Times New Roman"/>
          <w:sz w:val="18"/>
          <w:szCs w:val="18"/>
          <w:color w:val="auto"/>
        </w:rPr>
        <w:t>The Company’s Risk Committee consists of Messrs. Salute, Zink and Perez-Hickman, each of whom is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as defined in the Nasdaq listing standards, and Messrs. Sloane and Downs, who are employee directors. The Risk Committee, with Mr. Perez-Hickman as its chair, operates pursuant to its written charter and assists the Board of Directors in its oversight of the Company’s long-term strategy development and implementation, exercise of fiduciary duties, and enterprise-wide risk-management framework, including the policies, procedures, strategies, and systems established to measure, mitigate, monitor and report major risks to the Company.</w:t>
      </w:r>
    </w:p>
    <w:p>
      <w:pPr>
        <w:spacing w:after="0" w:line="2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Steering Committee. </w:t>
      </w:r>
      <w:r>
        <w:rPr>
          <w:rFonts w:ascii="Times New Roman" w:cs="Times New Roman" w:eastAsia="Times New Roman" w:hAnsi="Times New Roman"/>
          <w:sz w:val="18"/>
          <w:szCs w:val="18"/>
          <w:color w:val="auto"/>
        </w:rPr>
        <w:t>The Board of Directors established a Technology Steering Committee in January 2025. The Technology Steering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is a joint committee of the Company’s Board of Directors and the board of directors of the Company’s subsidiary Newtek Bank, and consists of Messrs. Salute, Zink and Brunet, each of whom is an “independent director” as defined in the Nasdaq listing standards, and a member of the Newtek Bank board of directors. Mr. Brunet, who has experience and expertise in information technology and cybersecurity, is the chair of the Technology Steering Committee, which operates pursuant to its written charter and assists the Board of Directors in its oversight of the Company’s and Newtek Bank’s operations and technology, including operational risk, information security and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Executive Sessions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Nasdaq listing standards and the Exchange Act require that a majority of the Board of Directors and every member of our Audit Committee and Nominating Committee are “independent.” Our Board of Directors reviews the independence of its members annually.</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Messrs. Brunet, Zink, Salute, Cestare and Perez-Hickman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9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6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The Board of Directors continues to believe that our leadership structure is appropriate since Mr. Sloane has over 30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124"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81" w:lineRule="exact"/>
        <w:rPr>
          <w:sz w:val="20"/>
          <w:szCs w:val="20"/>
          <w:color w:val="auto"/>
        </w:rPr>
      </w:pPr>
    </w:p>
    <w:p>
      <w:pPr>
        <w:ind w:left="680" w:hanging="240"/>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of our eight current directors are independent directors;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our Audit Committee, Nominating Committee and Technology Steering Committee are independent directors;</w:t>
      </w:r>
    </w:p>
    <w:p>
      <w:pPr>
        <w:spacing w:after="0" w:line="157" w:lineRule="exact"/>
        <w:rPr>
          <w:rFonts w:ascii="Times New Roman" w:cs="Times New Roman" w:eastAsia="Times New Roman" w:hAnsi="Times New Roman"/>
          <w:sz w:val="18"/>
          <w:szCs w:val="18"/>
          <w:color w:val="auto"/>
        </w:rPr>
      </w:pPr>
    </w:p>
    <w:p>
      <w:pPr>
        <w:ind w:left="880" w:right="460" w:hanging="440"/>
        <w:spacing w:after="0" w:line="282" w:lineRule="auto"/>
        <w:tabs>
          <w:tab w:leader="none" w:pos="6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scheduled, and as needed, meetings in executive session, out of the presence of Messrs. Sloane and Downs and Mrs. Razon-Feingold and other members of management;</w:t>
      </w:r>
    </w:p>
    <w:p>
      <w:pPr>
        <w:spacing w:after="0" w:line="80" w:lineRule="exact"/>
        <w:rPr>
          <w:rFonts w:ascii="Times New Roman" w:cs="Times New Roman" w:eastAsia="Times New Roman" w:hAnsi="Times New Roman"/>
          <w:sz w:val="18"/>
          <w:szCs w:val="18"/>
          <w:color w:val="auto"/>
        </w:rPr>
      </w:pPr>
    </w:p>
    <w:p>
      <w:pPr>
        <w:ind w:left="880" w:right="320" w:hanging="440"/>
        <w:spacing w:after="0" w:line="282" w:lineRule="auto"/>
        <w:tabs>
          <w:tab w:leader="none" w:pos="6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meetings which specifically include Messrs. Sloane and Downs and Mrs. Razon-Feingold;</w:t>
      </w:r>
    </w:p>
    <w:p>
      <w:pPr>
        <w:spacing w:after="0" w:line="94"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6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80" w:lineRule="exact"/>
        <w:rPr>
          <w:rFonts w:ascii="Times New Roman" w:cs="Times New Roman" w:eastAsia="Times New Roman" w:hAnsi="Times New Roman"/>
          <w:sz w:val="18"/>
          <w:szCs w:val="18"/>
          <w:color w:val="auto"/>
        </w:rPr>
      </w:pPr>
    </w:p>
    <w:p>
      <w:pPr>
        <w:ind w:left="880" w:right="360" w:hanging="440"/>
        <w:spacing w:after="0" w:line="282" w:lineRule="auto"/>
        <w:tabs>
          <w:tab w:leader="none" w:pos="6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including the independent directors, and its committees, interact with employees of the Company outside the ranks of senior management.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not appointed a lead independent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Risk Oversight</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While management is responsible for identifying, assessing and managing risk, our Board of Directors, at both the full board and committee levels, is responsible for risk oversight with a focus on the most significant risks facing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The Board of Directors’ risk oversight includes all enterprise-wide risk categories relevant to the Company, including credit risk, market risk, liquidity risk, operational risk, information security and cybersecurity risks, compliance/regulatory risk, legal risk, strategic/reputational risk and any other material risk faced by the Company.</w:t>
      </w:r>
    </w:p>
    <w:p>
      <w:pPr>
        <w:spacing w:after="0" w:line="54" w:lineRule="exact"/>
        <w:rPr>
          <w:sz w:val="20"/>
          <w:szCs w:val="20"/>
          <w:color w:val="auto"/>
        </w:rPr>
      </w:pPr>
    </w:p>
    <w:p>
      <w:pPr>
        <w:ind w:right="100" w:firstLine="648"/>
        <w:spacing w:after="0" w:line="231" w:lineRule="exact"/>
        <w:rPr>
          <w:sz w:val="20"/>
          <w:szCs w:val="20"/>
          <w:color w:val="auto"/>
        </w:rPr>
      </w:pPr>
      <w:r>
        <w:rPr>
          <w:rFonts w:ascii="Times New Roman" w:cs="Times New Roman" w:eastAsia="Times New Roman" w:hAnsi="Times New Roman"/>
          <w:sz w:val="18"/>
          <w:szCs w:val="18"/>
          <w:color w:val="auto"/>
        </w:rPr>
        <w:t>During each year, management and the Board of Directors jointly review the Company’s enterprise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risk management framework, which includes the establishment of the Company's risk culture and risk appetite, and the identification, measurement, monitoring, and control of material risks, such as credit, liquidity, operational, compliance, and strategic risks, and prioritize the major risks that the Company will focus on in the following year. In 2025, the Board of Directors focused on the following areas of risk:</w:t>
      </w:r>
    </w:p>
    <w:p>
      <w:pPr>
        <w:spacing w:after="0" w:line="213" w:lineRule="exact"/>
        <w:rPr>
          <w:sz w:val="20"/>
          <w:szCs w:val="20"/>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Company’s long-term growth and strategic alternatives;</w:t>
      </w:r>
    </w:p>
    <w:p>
      <w:pPr>
        <w:spacing w:after="0" w:line="238"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the evaluation of the Company’s capital structure and long-term debt financing;</w:t>
      </w:r>
    </w:p>
    <w:p>
      <w:pPr>
        <w:spacing w:after="0" w:line="252" w:lineRule="exact"/>
        <w:rPr>
          <w:rFonts w:ascii="Times New Roman" w:cs="Times New Roman" w:eastAsia="Times New Roman" w:hAnsi="Times New Roman"/>
          <w:sz w:val="18"/>
          <w:szCs w:val="18"/>
          <w:color w:val="auto"/>
        </w:rPr>
      </w:pPr>
    </w:p>
    <w:p>
      <w:pPr>
        <w:ind w:left="880" w:right="40" w:hanging="440"/>
        <w:spacing w:after="0" w:line="258" w:lineRule="auto"/>
        <w:tabs>
          <w:tab w:leader="none" w:pos="6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Executive Committee’s navigation of the Company through the volatility, uncertainty and unpredictability caused by the macroeconomic and other challenges and uncertainties related to the U.S. and global economies, including the impacts to financial markets and macroeconomic environments by inflation and interest rate changes;</w:t>
      </w:r>
    </w:p>
    <w:p>
      <w:pPr>
        <w:spacing w:after="0" w:line="196" w:lineRule="exact"/>
        <w:rPr>
          <w:rFonts w:ascii="Times New Roman" w:cs="Times New Roman" w:eastAsia="Times New Roman" w:hAnsi="Times New Roman"/>
          <w:sz w:val="18"/>
          <w:szCs w:val="18"/>
          <w:color w:val="auto"/>
        </w:rPr>
      </w:pPr>
    </w:p>
    <w:p>
      <w:pPr>
        <w:ind w:left="880" w:right="720" w:hanging="440"/>
        <w:spacing w:after="0" w:line="266" w:lineRule="auto"/>
        <w:tabs>
          <w:tab w:leader="none" w:pos="6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as a financial holding company and oversight of the Company’s bank subsidiary, Newtek Bank, and the Company’s non-bank subsidiaries; and</w:t>
      </w:r>
    </w:p>
    <w:p>
      <w:pPr>
        <w:spacing w:after="0" w:line="202"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compliance and information security and cybersecurity.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has delegated responsibility for the oversight of specific risks to committees of the Board of Directors:</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 oversees risks associated with:</w:t>
      </w:r>
    </w:p>
    <w:p>
      <w:pPr>
        <w:spacing w:after="0" w:line="144" w:lineRule="exact"/>
        <w:rPr>
          <w:sz w:val="20"/>
          <w:szCs w:val="20"/>
          <w:color w:val="auto"/>
        </w:rPr>
      </w:pPr>
    </w:p>
    <w:p>
      <w:pPr>
        <w:ind w:left="1340" w:hanging="252"/>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statements and financial reporting; and</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Nominating Committee considers the risks associated with:</w:t>
      </w:r>
    </w:p>
    <w:p>
      <w:pPr>
        <w:spacing w:after="0" w:line="144" w:lineRule="exact"/>
        <w:rPr>
          <w:sz w:val="20"/>
          <w:szCs w:val="20"/>
          <w:color w:val="auto"/>
        </w:rPr>
      </w:pPr>
    </w:p>
    <w:p>
      <w:pPr>
        <w:ind w:left="1340" w:hanging="252"/>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policies and practices;</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resources, structure, succession planning and management development;</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governance practices and the structure and leadership of the Board of Directors; and</w:t>
      </w:r>
    </w:p>
    <w:p>
      <w:pPr>
        <w:spacing w:after="0" w:line="144"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and the code of conduct for all employees, officers and directors.</w:t>
      </w:r>
    </w:p>
    <w:p>
      <w:pPr>
        <w:spacing w:after="0" w:line="252" w:lineRule="exact"/>
        <w:rPr>
          <w:sz w:val="20"/>
          <w:szCs w:val="20"/>
          <w:color w:val="auto"/>
        </w:rPr>
      </w:pPr>
    </w:p>
    <w:p>
      <w:pPr>
        <w:ind w:left="660" w:right="200" w:firstLine="648"/>
        <w:spacing w:after="0" w:line="312" w:lineRule="auto"/>
        <w:rPr>
          <w:sz w:val="20"/>
          <w:szCs w:val="20"/>
          <w:color w:val="auto"/>
        </w:rPr>
      </w:pPr>
      <w:r>
        <w:rPr>
          <w:rFonts w:ascii="Times New Roman" w:cs="Times New Roman" w:eastAsia="Times New Roman" w:hAnsi="Times New Roman"/>
          <w:sz w:val="17"/>
          <w:szCs w:val="17"/>
          <w:color w:val="auto"/>
        </w:rPr>
        <w:t>The Risk Committee, which considers the risks associated with the Company’s enterprise-wide risk-management framework, including the policies, procedures, strategies, and systems established to measure, mitigate, monitor and report major risks to the Company, including:</w:t>
      </w:r>
    </w:p>
    <w:p>
      <w:pPr>
        <w:spacing w:after="0" w:line="72" w:lineRule="exact"/>
        <w:rPr>
          <w:sz w:val="20"/>
          <w:szCs w:val="20"/>
          <w:color w:val="auto"/>
        </w:rPr>
      </w:pPr>
    </w:p>
    <w:p>
      <w:pPr>
        <w:ind w:left="1340" w:hanging="252"/>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w:t>
      </w:r>
    </w:p>
    <w:p>
      <w:pPr>
        <w:spacing w:after="0" w:line="144"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w:t>
      </w:r>
    </w:p>
    <w:p>
      <w:pPr>
        <w:spacing w:after="0" w:line="157" w:lineRule="exact"/>
        <w:rPr>
          <w:rFonts w:ascii="Times New Roman" w:cs="Times New Roman" w:eastAsia="Times New Roman" w:hAnsi="Times New Roman"/>
          <w:sz w:val="18"/>
          <w:szCs w:val="18"/>
          <w:color w:val="auto"/>
        </w:rPr>
      </w:pPr>
    </w:p>
    <w:p>
      <w:pPr>
        <w:ind w:left="1340" w:hanging="252"/>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compliance/regulatory/legal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26" w:lineRule="exact"/>
        <w:rPr>
          <w:sz w:val="20"/>
          <w:szCs w:val="20"/>
          <w:color w:val="auto"/>
        </w:rPr>
      </w:pPr>
    </w:p>
    <w:p>
      <w:pPr>
        <w:ind w:left="1340" w:hanging="252"/>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strategic/reputational risk and any other material risk faced by the Company.</w:t>
      </w:r>
    </w:p>
    <w:p>
      <w:pPr>
        <w:spacing w:after="0" w:line="144" w:lineRule="exact"/>
        <w:rPr>
          <w:sz w:val="20"/>
          <w:szCs w:val="20"/>
          <w:color w:val="auto"/>
        </w:rPr>
      </w:pPr>
    </w:p>
    <w:p>
      <w:pPr>
        <w:jc w:val="both"/>
        <w:ind w:left="660" w:right="180" w:firstLine="648"/>
        <w:spacing w:after="0" w:line="266" w:lineRule="auto"/>
        <w:rPr>
          <w:sz w:val="20"/>
          <w:szCs w:val="20"/>
          <w:color w:val="auto"/>
        </w:rPr>
      </w:pPr>
      <w:r>
        <w:rPr>
          <w:rFonts w:ascii="Times New Roman" w:cs="Times New Roman" w:eastAsia="Times New Roman" w:hAnsi="Times New Roman"/>
          <w:sz w:val="18"/>
          <w:szCs w:val="18"/>
          <w:color w:val="auto"/>
        </w:rPr>
        <w:t>The Technology Steering Committee considers the risks associated with the Company’s and Newtek Bank’s operations and technology, including operations and technology strategy and significant investments in support of such strategy and operational risk, including information technology, information security, fraud, third-party oversight, business disruption and resilience and cybersecurity risk.</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provides a composite mix of experience, knowledge and abilities that will best allow the Board of Directors to fulfill its responsibilities.</w:t>
      </w:r>
    </w:p>
    <w:p>
      <w:pPr>
        <w:spacing w:after="0" w:line="1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does not have a specific diversity policy, but considers professional experience, education, skill, diversity of race, gender, national origin, differences of viewpoint and other qualities in evaluating candidates for board membership. We believe diversity is important because a variety of viewpoints can help to contribute to an effective decision-making process.</w:t>
      </w:r>
    </w:p>
    <w:p>
      <w:pPr>
        <w:spacing w:after="0" w:line="20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NewtekOne, Inc., 4800 T Rex Avenue, Suite 120, Boca Raton, Florida 33431. Assuming that appropriate biographical and background material has been provided on a timely basis, the Nominating Committee will evaluate shareholder-recommended candidates by following substantially the same process, and applying substantially the same criteria, as it follows for candidates recommended by our Board of Directors. If the Board of Directors determines to nominate a shareholder-recommended candidate and recommends his or her election, then his or her name will be included in the proposal for election for the next annual meeting.</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Insider Trading Policy</w:t>
      </w:r>
    </w:p>
    <w:p>
      <w:pPr>
        <w:spacing w:after="0" w:line="243"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We are committed to strong corporate governance. Our Board of Directors has adopted a Code of Business Conduct and Ethics (the “Code of Ethics”) and Insider Trading Policy that are applicable to all members of our Board, officers and employees and contractors. The Code of Ethics guides us in how we conduct our business and work with each other, and reflects our values, standards and expectations. Our Insider Trading Policy establishes procedures for personal investments and restricts certain Company and personal securities transactions. We believe that these policies and procedures are reasonably designed to promote compliance with insider trading laws, rules and regulations and applicable listing standards. Our current Code of Ethics and Insider Trading Policy are posted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240"/>
        <w:spacing w:after="0" w:line="233" w:lineRule="exact"/>
        <w:rPr>
          <w:sz w:val="20"/>
          <w:szCs w:val="20"/>
          <w:color w:val="auto"/>
        </w:rPr>
      </w:pPr>
      <w:r>
        <w:rPr>
          <w:rFonts w:ascii="Times New Roman" w:cs="Times New Roman" w:eastAsia="Times New Roman" w:hAnsi="Times New Roman"/>
          <w:sz w:val="18"/>
          <w:szCs w:val="18"/>
          <w:color w:val="auto"/>
        </w:rPr>
        <w:t xml:space="preserve">on the Investor Relations section of our website at </w:t>
      </w:r>
      <w:r>
        <w:rPr>
          <w:rFonts w:ascii="Times New Roman" w:cs="Times New Roman" w:eastAsia="Times New Roman" w:hAnsi="Times New Roman"/>
          <w:sz w:val="18"/>
          <w:szCs w:val="18"/>
          <w:i w:val="1"/>
          <w:iCs w:val="1"/>
          <w:color w:val="auto"/>
        </w:rPr>
        <w:t>http://investor.newtekbusinessservices.com</w:t>
      </w:r>
      <w:r>
        <w:rPr>
          <w:rFonts w:ascii="Times New Roman" w:cs="Times New Roman" w:eastAsia="Times New Roman" w:hAnsi="Times New Roman"/>
          <w:sz w:val="18"/>
          <w:szCs w:val="18"/>
          <w:color w:val="auto"/>
        </w:rPr>
        <w:t xml:space="preserve"> and were filed, respectively, as an Exhibit to our Quarterly Report on Form 10-Q for the period ended March 31, 2026, and Exhibit 19.1 to the Company’s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Speculative Trading</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as part of the Company’s Insider Trading Policy, a policy prohibiting covered persons, including our directors and executive officers, from hedging or pledging our securities, making short sales or trading in derivative securities related to our securities.</w:t>
      </w: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3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written procedures in place for the review, approval and monitoring of transactions involving the Company and certain persons related to the Company. The Board of Directors, in consultation with the Nominating Committee, reviews all potential related party transactions on an ongoing basis, and all such transactions must be approved by the Board of Directors. The Board of Directors reviews such transactions on a case-by-case basis. In 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21"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Mr. Sloane’s nephew, Kyle Sloane, is employed by one of the Company’s subsidiaries, and earned in excess of $125,000 for the year ended December 31, 2025. Mrs. Razon-Feingold’s sister, Samantha Razon, is employed by one of the Company’s subsidiaries, and earned in excess of $125,000 for the year ended December 31, 2025. The foregoing compensation was reviewed by our Nominating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43"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8"/>
          <w:szCs w:val="18"/>
          <w:color w:val="auto"/>
        </w:rPr>
        <w:t>The Board of Directors has adopted a plan for compensation of non-employee directors which gives effect to the time and effort required of each of them in the performance of their duties. The Board of Directors annual cash compensation for their 2025 term was $140,000 for each non-employee director, with no additional fees for committee membership or chairmanship. In addition, pursuant to the terms of the Company’s 2023 Stock Incentive Plan (the “2023 Stock Plan”), which was approved by the Board of Directors in April 2023 and the Company’s shareholders on June 14, 2023, the maximum dollar value of shares of Common Stock for which a non-employee director may be awarded in any calendar year is fifty thousand dollars ($50,000). In June 2025, non-employee directors Messrs. Salute, Brunet, Zink and Perez-Hickman were awarded $25,000 of shares of restricted stock of the Company (“Restricted Stock”) at the beginning of their 2025 terms of service, which forfeiture restrictions will lapse on June 15, 2026.</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Directors do not receive any perquisites or other personal benefits from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Summary Compensation Table</w:t>
      </w:r>
    </w:p>
    <w:p>
      <w:pPr>
        <w:spacing w:after="0" w:line="148"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cash, equity awards and other compensation earned, paid or awarded, as the case may be, to each of our current directors during the fiscal years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1" w:name="page22"/>
    <w:bookmarkEnd w:id="21"/>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00" w:type="dxa"/>
            <w:vAlign w:val="bottom"/>
            <w:gridSpan w:val="2"/>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in Cash</w:t>
            </w:r>
          </w:p>
        </w:tc>
        <w:tc>
          <w:tcPr>
            <w:tcW w:w="1200" w:type="dxa"/>
            <w:vAlign w:val="bottom"/>
            <w:gridSpan w:val="2"/>
            <w:vMerge w:val="continue"/>
          </w:tcPr>
          <w:p>
            <w:pPr>
              <w:spacing w:after="0"/>
              <w:rPr>
                <w:sz w:val="13"/>
                <w:szCs w:val="13"/>
                <w:color w:val="auto"/>
              </w:rPr>
            </w:pPr>
          </w:p>
        </w:tc>
        <w:tc>
          <w:tcPr>
            <w:tcW w:w="12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60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tcPr>
          <w:p>
            <w:pPr>
              <w:jc w:val="right"/>
              <w:ind w:right="293"/>
              <w:spacing w:after="0" w:line="159"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80" w:type="dxa"/>
            <w:vAlign w:val="bottom"/>
          </w:tcPr>
          <w:p>
            <w:pPr>
              <w:jc w:val="center"/>
              <w:spacing w:after="0" w:line="219"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8"/>
                <w:szCs w:val="8"/>
                <w:b w:val="1"/>
                <w:bCs w:val="1"/>
                <w:color w:val="auto"/>
              </w:rPr>
              <w:t>(1)(2)</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Independent Directors:</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Gregory Zink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70"/>
        </w:trPr>
        <w:tc>
          <w:tcPr>
            <w:tcW w:w="4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Richard Salute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70"/>
        </w:trPr>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Fernando Perez-Hickman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Craig Brunet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30"/>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Director: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gridSpan w:val="2"/>
            <w:shd w:val="clear" w:color="auto" w:fill="CCEEFF"/>
          </w:tcPr>
          <w:p>
            <w:pPr>
              <w:ind w:left="380"/>
              <w:spacing w:after="0" w:line="230" w:lineRule="exact"/>
              <w:rPr>
                <w:sz w:val="20"/>
                <w:szCs w:val="20"/>
                <w:color w:val="auto"/>
              </w:rPr>
            </w:pPr>
            <w:r>
              <w:rPr>
                <w:rFonts w:ascii="Times New Roman" w:cs="Times New Roman" w:eastAsia="Times New Roman" w:hAnsi="Times New Roman"/>
                <w:sz w:val="18"/>
                <w:szCs w:val="18"/>
                <w:color w:val="auto"/>
              </w:rPr>
              <w:t>Salvatore F. Mulia</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18" w:lineRule="exact"/>
        <w:rPr>
          <w:sz w:val="20"/>
          <w:szCs w:val="20"/>
          <w:color w:val="auto"/>
        </w:rPr>
      </w:pPr>
    </w:p>
    <w:p>
      <w:pPr>
        <w:ind w:left="440" w:right="160" w:hanging="432"/>
        <w:spacing w:after="0" w:line="232" w:lineRule="auto"/>
        <w:tabs>
          <w:tab w:leader="none" w:pos="236"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values provided in this column represent the grant date fair value of the Restricted Stock made to the non-employee directors as determined in accordance with the requirements of Financial Accounting Standards Board Accounting Standards Codification Topic 718 (“FASB ASC Topic 718”).</w:t>
      </w:r>
    </w:p>
    <w:p>
      <w:pPr>
        <w:spacing w:after="0" w:line="57" w:lineRule="exact"/>
        <w:rPr>
          <w:rFonts w:ascii="Times New Roman" w:cs="Times New Roman" w:eastAsia="Times New Roman" w:hAnsi="Times New Roman"/>
          <w:sz w:val="21"/>
          <w:szCs w:val="21"/>
          <w:color w:val="auto"/>
          <w:vertAlign w:val="superscript"/>
        </w:rPr>
      </w:pPr>
    </w:p>
    <w:p>
      <w:pPr>
        <w:ind w:left="240" w:hanging="232"/>
        <w:spacing w:after="0"/>
        <w:tabs>
          <w:tab w:leader="none" w:pos="2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aggregate number of outstanding shares of Restricted Stock held as of December 31, 2025, by each of the non-employee directors was 2,283.</w:t>
      </w:r>
    </w:p>
    <w:p>
      <w:pPr>
        <w:spacing w:after="0" w:line="70" w:lineRule="exact"/>
        <w:rPr>
          <w:rFonts w:ascii="Times New Roman" w:cs="Times New Roman" w:eastAsia="Times New Roman" w:hAnsi="Times New Roman"/>
          <w:sz w:val="21"/>
          <w:szCs w:val="21"/>
          <w:color w:val="auto"/>
          <w:vertAlign w:val="superscript"/>
        </w:rPr>
      </w:pPr>
    </w:p>
    <w:p>
      <w:pPr>
        <w:ind w:left="240" w:hanging="232"/>
        <w:spacing w:after="0" w:line="238" w:lineRule="auto"/>
        <w:tabs>
          <w:tab w:leader="none" w:pos="2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Director Mulia retired from the Board of Directors effective April 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62"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year 2025, the median of the annual total compensation of all of our employees (other than Mr. Sloane, our Chief Executive Officer)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$95,000 and the annual total compensation of our Chief Executive Officer, as reported in the Summary Compensation Table, was $1,000,000. Based on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our Chief Executive Officer’s 2025 annual total compensation was approximately 10.53 times that of the median of the 2025 annual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of all of our employees.</w:t>
      </w:r>
    </w:p>
    <w:p>
      <w:pPr>
        <w:spacing w:after="0" w:line="13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selected December 31, 2025 as the date used to identify our “median employee” whose annual total compensation was the median of the annual total compensation of all our and our consolidated subsidiaries’ employees (other than our Chief Executive Officer) for 2025. As of December 31, 2025, our employee population consisted of 572 individuals who are located in our Orlando, Florida; Boca Raton, Florida; Miami, Florida; and Wilmington, North Carolina, offices, as well as individuals who work remotely out of their residences in various states. To identify our median employee, we compared the annual total compensation for each of our employees, as determined in accordance with the requirements of Item 402(c)(2)(x) of Regulation S-K, which included salary and cash bonus. In making this determination, we annualized the compensation of 123 employees who were hired in 2025 but did not work for us the entire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Named Executive Officers</w:t>
      </w:r>
    </w:p>
    <w:p>
      <w:pPr>
        <w:spacing w:after="0" w:line="16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provides 2025 compensation information for the following 2025 named executive officers (“NEOs”). References to “2025 NEOs” in this CD&amp;A are references to Messrs. Sloane, Downs, Schwartz, and DeMaria, and former 2025 NEOs Price and Young.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7840" w:type="dxa"/>
            <w:vAlign w:val="bottom"/>
          </w:tcPr>
          <w:p>
            <w:pPr>
              <w:ind w:left="364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6"/>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40" w:type="dxa"/>
            <w:vAlign w:val="bottom"/>
            <w:tcBorders>
              <w:top w:val="single" w:sz="8" w:color="auto"/>
            </w:tcBorders>
          </w:tcPr>
          <w:p>
            <w:pPr>
              <w:spacing w:after="0"/>
              <w:rPr>
                <w:sz w:val="19"/>
                <w:szCs w:val="19"/>
                <w:color w:val="auto"/>
              </w:rPr>
            </w:pPr>
          </w:p>
        </w:tc>
      </w:tr>
      <w:tr>
        <w:trPr>
          <w:trHeight w:val="176"/>
        </w:trPr>
        <w:tc>
          <w:tcPr>
            <w:tcW w:w="282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Barry Sloane</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shd w:val="clear" w:color="auto" w:fill="CCEEFF"/>
          </w:tcPr>
          <w:p>
            <w:pPr>
              <w:spacing w:after="0"/>
              <w:rPr>
                <w:sz w:val="15"/>
                <w:szCs w:val="15"/>
                <w:color w:val="auto"/>
              </w:rPr>
            </w:pPr>
          </w:p>
        </w:tc>
        <w:tc>
          <w:tcPr>
            <w:tcW w:w="7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Chairman, Chief Executive Officer and President, NewtekOne; Chairman and Chief Executive Officer,</w:t>
            </w:r>
          </w:p>
        </w:tc>
      </w:tr>
      <w:tr>
        <w:trPr>
          <w:trHeight w:val="243"/>
        </w:trPr>
        <w:tc>
          <w:tcPr>
            <w:tcW w:w="2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Newtek Bank</w:t>
            </w:r>
          </w:p>
        </w:tc>
      </w:tr>
      <w:tr>
        <w:trPr>
          <w:trHeight w:val="229"/>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Peter Downs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Newtek Bank (formerly Chief Lending Officer, NewtekOne and Newtek Bank)</w:t>
            </w:r>
          </w:p>
        </w:tc>
      </w:tr>
      <w:tr>
        <w:trPr>
          <w:trHeight w:val="229"/>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Michael A. Schwartz</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shd w:val="clear" w:color="auto" w:fill="CCEEFF"/>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 NewtekOne and Newtek Bank</w:t>
            </w:r>
          </w:p>
        </w:tc>
      </w:tr>
      <w:tr>
        <w:trPr>
          <w:trHeight w:val="23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Frank DeMaria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NewtekOne and Newtek Bank</w:t>
            </w: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NEOs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40" w:type="dxa"/>
            <w:vAlign w:val="bottom"/>
            <w:shd w:val="clear" w:color="auto" w:fill="CCEEFF"/>
          </w:tcPr>
          <w:p>
            <w:pPr>
              <w:spacing w:after="0"/>
              <w:rPr>
                <w:sz w:val="19"/>
                <w:szCs w:val="19"/>
                <w:color w:val="auto"/>
              </w:rPr>
            </w:pPr>
          </w:p>
        </w:tc>
      </w:tr>
      <w:tr>
        <w:trPr>
          <w:trHeight w:val="229"/>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 Scott Price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(former)</w:t>
            </w:r>
          </w:p>
        </w:tc>
      </w:tr>
      <w:tr>
        <w:trPr>
          <w:trHeight w:val="230"/>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Nicolas Young</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 Newtek Bank (former)</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2025 NEOs Who Are Not Directors</w:t>
      </w:r>
    </w:p>
    <w:p>
      <w:pPr>
        <w:spacing w:after="0" w:line="25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Michael A. Schwartz, age 65, has served as Chief Legal Officer and Corporate Secretary since January 2015, and has served as Chief Legal Officer and Corporate Secretary of the Company’s bank subsidiary Newtek Bank since January 2023. In addition. Mr. Schwartz serves on the boards of a number of the Company’s non-bank subsidiaries. Beginning in November 2013, Mr. Schwartz was Senior Counsel to the Company. Prior to joining the Company, Mr. Schwartz spent twenty-two years in private legal practice specializing in complex litigation in the fields of securities, mergers and acquisitions, corporate governance, commercial law, unfair employment practices, consumer protection and antitrust. Mr. Schwartz served on the Company’s Board of Directors from 2005 through 2009.</w:t>
      </w:r>
    </w:p>
    <w:p>
      <w:pPr>
        <w:spacing w:after="0" w:line="21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Frank DeMaria, age 37, has served as the Company’s Chief Financial Officer since April 2025 and Newtek Bank’s Chief Financial Officer since December 2025. From March 2024 through April 2025, Mr. DeMaria was the Chief Accounting Officer of the Company and Newtek Bank. Mr. DeMaria joined the Company in May 2023, as the Company’s and Newtek Bank’s Senior Vice President of Finance and Accounting. Prior to joining the Company, Mr. DeMaria served as Senior Vice President and Controller of Flagstar Bank, N.A. In addition, Mr. DeMaria previously served as Senior Vice President, Chief Accounting Officer and Principal Accounting Officer of Amalgamated Financial Corp. from July 2021 to October 2022. Mr. DeMaria began his career with KPMG LLP, Audit Financial Services, in October 2012, holding various roles including Senior Manager from October 2019 to July 2021. Mr. DeMaria holds a Master of Business Administration for Accountants and a Bachelor of Science in Accounting from Marist University. Mr. DeMaria is a Certified Public Accountant in the state of New York.</w:t>
      </w: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M. Scott Price served as Chief Financial Officer of the Company from May 2023 through April 21, 2025 and as the Chief Financial Officer of Newtek Bank from May 2023 through December 4,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Nicolas Young served as President and Chief Operating Officer of Newtek Bank from January 6, 2023 through April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1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believe that the compensation of our executives should reflect their success as a management team, rather than just as individuals, in attaining key operating objectives, such as growth of our after tax net income, credit quality of our loan portfolios, growth of revenues in our non-bank subsidiaries, return on average assets (“ROAA”), return on equity (“ROE”), deposit growth at Newtek Bank and long-term competitive advantage, and ultimately, in attaining an increased market price for our Common Shares. We believe that the performance of our executives in managing our Company and our consolidated bank and non-bank subsidiaries,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1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Nominating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Nominating Committee. Decisions regarding the non-equity compensation of NEOs are made by the Chief Executive Officer and the Nominating Committee for consistency with the Company’s compensation policies.</w:t>
      </w:r>
    </w:p>
    <w:p>
      <w:pPr>
        <w:spacing w:after="0" w:line="11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Chief Executive Officer semi-annually reviews the performance of each member of the senior executive team, including NEOs (other than himself whose performance is reviewed by the Nominating Committee). The conclusions reached and recommendations based on these reviews, including with respect to salary adjustments and annual award amounts, are then presented to the Nominating Committee by the Chief Executive Officer. The Nominating Committee will review and approve the recommendations for consistency with the Company’s compensation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6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Nominating Committee for conformity with the Company’s overall compensation policies. The NEOs are not present at the time of these deliberations. The Nominating Committee then performs a similar review of the Chief Executive Officer’s total compensation and makes compensation decisions with respect to such officer, who does not participate in that determination.</w:t>
      </w:r>
    </w:p>
    <w:p>
      <w:pPr>
        <w:spacing w:after="0" w:line="10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Nominating Committee, which may consider the following factors, among others, to determine the amount of salary and other benefits to pay each NEO:</w:t>
      </w:r>
    </w:p>
    <w:p>
      <w:pPr>
        <w:spacing w:after="0" w:line="108" w:lineRule="exact"/>
        <w:rPr>
          <w:sz w:val="20"/>
          <w:szCs w:val="20"/>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Board of Director approved Company budgets and financial metrics;</w:t>
      </w:r>
    </w:p>
    <w:p>
      <w:pPr>
        <w:spacing w:after="0" w:line="157" w:lineRule="exact"/>
        <w:rPr>
          <w:rFonts w:ascii="Times New Roman" w:cs="Times New Roman" w:eastAsia="Times New Roman" w:hAnsi="Times New Roman"/>
          <w:sz w:val="18"/>
          <w:szCs w:val="18"/>
          <w:color w:val="auto"/>
        </w:rPr>
      </w:pPr>
    </w:p>
    <w:p>
      <w:pPr>
        <w:ind w:left="660" w:right="2960" w:hanging="220"/>
        <w:spacing w:after="0" w:line="266" w:lineRule="auto"/>
        <w:tabs>
          <w:tab w:leader="none" w:pos="6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growth of our after tax net income, growth of revenues in our non-bank subsidiaries, return on average assets (ROAA), return on equity (ROE), deposit growth at Newtek Bank and long-term competitive advantage;</w:t>
      </w:r>
    </w:p>
    <w:p>
      <w:pPr>
        <w:spacing w:after="0" w:line="9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competitors for the year;</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desired results in the coming year;</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their unique skills and capabilities to support long-term performance;</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and growth as a member of the executive management team;</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and growth of individual executives, the management team and other employees; and</w:t>
      </w:r>
    </w:p>
    <w:p>
      <w:pPr>
        <w:spacing w:after="0" w:line="157" w:lineRule="exact"/>
        <w:rPr>
          <w:rFonts w:ascii="Times New Roman" w:cs="Times New Roman" w:eastAsia="Times New Roman" w:hAnsi="Times New Roman"/>
          <w:sz w:val="18"/>
          <w:szCs w:val="18"/>
          <w:color w:val="auto"/>
        </w:rPr>
      </w:pPr>
    </w:p>
    <w:p>
      <w:pPr>
        <w:ind w:left="440" w:right="160"/>
        <w:spacing w:after="0" w:line="439" w:lineRule="auto"/>
        <w:tabs>
          <w:tab w:leader="none" w:pos="68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managerial assistance provided to our subsidiaries, including contributions to growth of revenues, operating efficiencies and operating earnings. We do not establish individual goals or set specific financial reporting measures, but focus on the overall profitable growth of our business.</w:t>
      </w:r>
    </w:p>
    <w:p>
      <w:pPr>
        <w:ind w:right="880" w:firstLine="432"/>
        <w:spacing w:after="0" w:line="282" w:lineRule="auto"/>
        <w:rPr>
          <w:sz w:val="20"/>
          <w:szCs w:val="20"/>
          <w:color w:val="auto"/>
        </w:rPr>
      </w:pPr>
      <w:r>
        <w:rPr>
          <w:rFonts w:ascii="Times New Roman" w:cs="Times New Roman" w:eastAsia="Times New Roman" w:hAnsi="Times New Roman"/>
          <w:sz w:val="18"/>
          <w:szCs w:val="18"/>
          <w:color w:val="auto"/>
        </w:rPr>
        <w:t>Based on the foregoing objectives, we have structured the Company’s annual and long-term incentive-based cash and non-cash executive compensation to motivate executives to achieve the business goals set by the Company.</w:t>
      </w:r>
    </w:p>
    <w:p>
      <w:pPr>
        <w:spacing w:after="0" w:line="9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 ended December 31, 2025, the principal components of compensation for NEOs were:</w:t>
      </w:r>
    </w:p>
    <w:p>
      <w:pPr>
        <w:spacing w:after="0" w:line="158" w:lineRule="exact"/>
        <w:rPr>
          <w:sz w:val="20"/>
          <w:szCs w:val="20"/>
          <w:color w:val="auto"/>
        </w:rPr>
      </w:pPr>
    </w:p>
    <w:p>
      <w:pPr>
        <w:ind w:left="680" w:hanging="240"/>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 made available to all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The Company provides its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review of base salaries for senior level executives, including the NEOs, we primarily consider:</w:t>
      </w:r>
    </w:p>
    <w:p>
      <w:pPr>
        <w:spacing w:after="0" w:line="158" w:lineRule="exact"/>
        <w:rPr>
          <w:sz w:val="20"/>
          <w:szCs w:val="20"/>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review of each executive’s compensation both individually and relative to other executive officers;</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and</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Company’s financial and operational performance relative to the Company’s annual plan.</w:t>
      </w:r>
    </w:p>
    <w:p>
      <w:pPr>
        <w:spacing w:after="0" w:line="15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our NEOs other than the Chief Executive Officer are recommended by the Chief Executive Officer and confirmed by the Nominating Committee, and those for the Chief Executive Officer are determined by the Nominating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6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Discretionary annual cash bonuses may be awarded to executive officers along with the Company’s non-executive employees under the Company’s annual cash bonus plan. The Company typically creates a cash bonus pool based on an annually determined percentage of the salaries of all employees, which it accrues as an expense. Payments under the plan are discretionary and are based on the Company’s and the employee’s overall performance as determined by the Chief Executive Officer and the Nominating Committee. The Nominating Committee determines any bonus for the Chief Executive Officer based on, among other things, a review of the Company’s financial performance relative to the Company’s annual plans as established by the Board of Directors. The Chief Executive Officer in consultation with the Nominating Committee with respect to the NEOs, or in consultation with the NEOs and other senior level officers with respect to lower level employees, determines annual bonuses for other employees based on such employee’s and the Company’s performance. Factors considered include the achievement of business plans,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4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Company must compete for leadership with commercial banks, bank holding companies, financial holding companies, investment banks, and other publicly traded companies, which are generally able to award many different types of stock-based compensation to their officers, employees and directors, (including their non-employee directors).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were determined by the Nominating Committee and set forth in an award agreement between the Company and the executive or employee. The Company did not issue any options historically under the 2014 Plan. On April 27, 2015, the Nominating Committee and the Board of Directors approved the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2014 Stock Incentive Plan (the “2015 Stock Plan”) and on July 27, 2016, our shareholders approved the 2015 Stock Plan. The 2015 Stock Plan permitted us to issue awards of stock options and Restricted Stock in an aggregate amount of up to 20% of our issued and outstanding Common Shares as of the effective date of the plan.</w:t>
      </w:r>
    </w:p>
    <w:p>
      <w:pPr>
        <w:spacing w:after="0" w:line="20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our 2023 conversion to a financial holding company, the Board of Directors in April 2023 terminated the 2015 Stock Plan and approved the Company’s 2023 Stock Incentive Plan (the 2023 Stock Plan), which was approved by the Company’s shareholders on June 14, 2023. The 2023 Stock Plan permits us to issue Restricted Stock and stock options up to an aggregate amount of 3,000,000 shares of Common Stock. The number of Restricted Stock issued and outstanding will not at the time of issuance of any Restricted Stock exceed 10% of the outstanding voting securities of the Company, and no more than 500,000 shares of Common Stock may be issued through incentive stock options. The Nominating Committee believes that Restricted Stock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Restricted Stock awards are based on the employee’s and the Company’s performance and the mix and weighting of the factors vary, depending on the business segment and the employee’s responsibilities. The level of achievement and the overall contribution by the employee determines the quantity of the Restricted Stock award.</w:t>
      </w:r>
    </w:p>
    <w:p>
      <w:pPr>
        <w:spacing w:after="0" w:line="1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and its Nominating Committee, which consists entirely of directors who are not employees of the Company, believe that in light of the Company’s plan for growth, stock-based incentive compensation, particularly the award of Restricted Stock, advances the interests of the Company by providing substantial motivation for superior performance and more fully aligning the interests of officers, directors and employees with the interests of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Provisions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2023, the Company adopted a clawback policy that was established in accordance with the listing requirement of the Nasdaq to provide for the recovery or “clawback” of certain erroneously awarded incentive-based compensation in the event that the Company is required to prepare an accounting restatement. The clawback policy has been in effect since December 1, 2023 and applies to incentive-based compensation received by current and former executive officers of the Company during the three fiscal years preceding an accounting restatement and after the effective date of the Nasdaq listing requirement, which was October 2, 2023.</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Our NEOs are generally not entitled to benefits that are not available to all of our employees. We do not provide pension arrangements, post-retirement health coverage or similar benefits for our executives or employees. The Nominating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2025, which consists of a discretionary match of 50% of the first 2% of employee contributions up to a maximum of 1% of the employee’s compensation (subject to the Internal Revenue Code annual limitation). For 2025, a match of approximately $543,492 in cash was approved and is anticipated to be paid in May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4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$1.0 million for 2025 and $700,000 for 2024. Mr. Sloane did not receive a cash bonus in 2025 or 2024. Mr. Sloane did not receive a Restricted Stock award in 2025.</w:t>
      </w:r>
    </w:p>
    <w:p>
      <w:pPr>
        <w:spacing w:after="0" w:line="11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Nominating Committee has determined that this salary package is competitive with the labor market median for someone with Mr. Sloane’s skills and talents and is reflective of the Company’s current cash and financial position and the status of the Company’s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Other 2025 NEOs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Nominating Committee approved the 2025 compensation for our 2025 NEOs Peter Downs, Michael A. Schwartz, M. Scott Price, Frank DeMaria and Nicolas Young, as recommended to it by the Chief Executive Officer.</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Mr. Downs’s annual base salary was $750,000 in 2025 and $700,000 in 2024. Mr. Downs received a $100,000 cash bonus in 2025 and did not receive a cash bonus in 2024. Mr. Downs received an award of 9,944 shares of Restricted Stock in July 2024, which fully vested in July 2025 and an award of 10,297 shares of Restricted Stock in October 2024, which fully vested in October 2025. Mr. Downs did not receive a Restricted Stock award in 2025.</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Mr. Schwartz’s annual base salary was $625,000 in 2025 and $500,000 in 2024. Mr. Schwartz received a $150,000 cash bonus in each of 2025 and 2024. Mr. Schwartz received an award of 9,944 shares of Restricted Stock in July 2024, which fully vested in July 2025, and an award of 11,326 shares of Restricted Stock in October 2024, which fully vested in October 2025. Mr. Schwartz did not receive a Restricted Stock award in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DeMaria’s annual base salary was $433,000 in 2025 and $360,000 in 2024. Mr. DeMaria received a $125,000 cash bonus in 2025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cash bonus in 2024. Mr. DeMaria received an award of 19,889 shares of Restricted Stock in July 2024, which will fully vest in July 2027,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of 4,119 shares of Restricted Stock in October 2024, which fully vested in October 2025. Mr. DeMaria did not receive a Restricted Stock award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0"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Mr. Price’s annual base salary was $433,000 in 2025 and 2024. Mr. Price received a $133,333 cash bonus in 2025, and pursuant to Mr. Price’s 2023 employment agreement, he received a $133,333 cash bonus in 2024. Mr. Price received an award of 1,989 shares of Restricted Stock in July 2024, which fully vested in July 2025, an award of 4,119 shares of Restricted Stock in October 2024, which fully vested in October 2025.</w:t>
      </w:r>
    </w:p>
    <w:p>
      <w:pPr>
        <w:spacing w:after="0" w:line="2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Mr. Young’s annual base salary was $700,000 in 2025 and 2024. Mr. Young received a $257,873 cash bonus in 2025 and a $100,000 cash bonus in 2024. Mr. Young received an award of 7,955 shares of Restricted Stock in July 2024 and 8,237 shares of Restricted Stock in October 2024, each of which were forfeited upon his separation in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 and 2025 Compensation Determinations</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We believe that base salaries are a fundamental element of our compensation program. The Nominating Committee establishes, in the case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Sloane, and approves for our other NEOs, base salaries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1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Nominating Committee considers base salary levels at least annually as part of its review of the performance of NEOs and from time to time upon a promotion or other change in job responsibilities. During its review of base salaries for NEOs, the Nominating Committee primarily considers: individual performance of the NEO,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2025 and 2024 base salaries for our 2025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2025 Base Salary</w:t>
            </w:r>
          </w:p>
        </w:tc>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2024 Base Salary</w:t>
            </w:r>
          </w:p>
        </w:tc>
        <w:tc>
          <w:tcPr>
            <w:tcW w:w="0" w:type="dxa"/>
            <w:vAlign w:val="bottom"/>
          </w:tcPr>
          <w:p>
            <w:pPr>
              <w:spacing w:after="0"/>
              <w:rPr>
                <w:sz w:val="1"/>
                <w:szCs w:val="1"/>
                <w:color w:val="auto"/>
              </w:rPr>
            </w:pPr>
          </w:p>
        </w:tc>
      </w:tr>
      <w:tr>
        <w:trPr>
          <w:trHeight w:val="168"/>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2025 NEOs</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Barry Sloane</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Peter Downs</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Michael Schwartz</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Frank DeMaria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2025 NEOs</w:t>
            </w:r>
          </w:p>
        </w:tc>
        <w:tc>
          <w:tcPr>
            <w:tcW w:w="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 Scott Price</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Nicolas Young</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Annual Bonuses</w:t>
      </w:r>
      <w:r>
        <w:rPr>
          <w:rFonts w:ascii="Times New Roman" w:cs="Times New Roman" w:eastAsia="Times New Roman" w:hAnsi="Times New Roman"/>
          <w:sz w:val="18"/>
          <w:szCs w:val="18"/>
          <w:color w:val="auto"/>
        </w:rPr>
        <w:t>. The Nominating Committee designs our annual cash bonuses to motivate our NEOs to achieve objectives consistent with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The Nominating Committee retains discretion in the sizing and awarding of cash bonuses for each NEO to ensure that individual bonus determinations appropriately balance the interests of the Company’s shareholders, while rewarding each NEO’s contributions to performance. In evaluating the performance of our NEOs to arrive at their 2025 cash bonus awards, the Nominating Committee considered the same factors used to determine NEO’s salaries and other benefits, as set forth above. The Nominating Committee also considered the following factors and aspects of the Company’s 2025 operating performance in the determination of specific NEO bonus awards:</w:t>
      </w:r>
    </w:p>
    <w:p>
      <w:pPr>
        <w:spacing w:after="0" w:line="119" w:lineRule="exact"/>
        <w:rPr>
          <w:sz w:val="20"/>
          <w:szCs w:val="20"/>
          <w:color w:val="auto"/>
        </w:rPr>
      </w:pPr>
    </w:p>
    <w:p>
      <w:pPr>
        <w:ind w:left="880" w:right="460" w:hanging="440"/>
        <w:spacing w:after="0" w:line="282" w:lineRule="auto"/>
        <w:tabs>
          <w:tab w:leader="none" w:pos="6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specific performance achievements and contributions to the Company’s financial performance and execution of the Company’s operating plan;</w:t>
      </w:r>
    </w:p>
    <w:p>
      <w:pPr>
        <w:spacing w:after="0" w:line="9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cash dividends;</w:t>
      </w:r>
    </w:p>
    <w:p>
      <w:pPr>
        <w:spacing w:after="0" w:line="144" w:lineRule="exact"/>
        <w:rPr>
          <w:rFonts w:ascii="Times New Roman" w:cs="Times New Roman" w:eastAsia="Times New Roman" w:hAnsi="Times New Roman"/>
          <w:sz w:val="18"/>
          <w:szCs w:val="18"/>
          <w:color w:val="auto"/>
        </w:rPr>
      </w:pPr>
    </w:p>
    <w:p>
      <w:pPr>
        <w:ind w:left="720" w:hanging="280"/>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Company’s assets and capital; and</w:t>
      </w:r>
    </w:p>
    <w:p>
      <w:pPr>
        <w:spacing w:after="0" w:line="157" w:lineRule="exact"/>
        <w:rPr>
          <w:rFonts w:ascii="Times New Roman" w:cs="Times New Roman" w:eastAsia="Times New Roman" w:hAnsi="Times New Roman"/>
          <w:sz w:val="18"/>
          <w:szCs w:val="18"/>
          <w:color w:val="auto"/>
        </w:rPr>
      </w:pPr>
    </w:p>
    <w:p>
      <w:pPr>
        <w:ind w:left="880" w:right="300" w:hanging="440"/>
        <w:spacing w:after="0" w:line="282" w:lineRule="auto"/>
        <w:tabs>
          <w:tab w:leader="none" w:pos="6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Newtek Bank and our non-bank subsidiaries, including contributions to growth of sales, growth of deposits, regulatory compliance, growth of operating earnings and earnings per share.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When determining annual bonus amounts, the Nominating Committee also evaluated the total compensation paid to the NEOs and other employees. Based on the foregoing considerations and analysis, and after due deliberation, the Nominating Committee approved NEO annual cash bonuses in 2025, as set forth below.</w:t>
      </w:r>
    </w:p>
    <w:tbl>
      <w:tblPr>
        <w:tblLayout w:type="fixed"/>
        <w:tblInd w:w="0" w:type="dxa"/>
        <w:tblCellMar>
          <w:top w:w="0" w:type="dxa"/>
          <w:left w:w="0" w:type="dxa"/>
          <w:bottom w:w="0" w:type="dxa"/>
          <w:right w:w="0" w:type="dxa"/>
        </w:tblCellMar>
      </w:tblPr>
      <w:tr>
        <w:trPr>
          <w:trHeight w:val="167"/>
        </w:trPr>
        <w:tc>
          <w:tcPr>
            <w:tcW w:w="6800" w:type="dxa"/>
            <w:vAlign w:val="bottom"/>
          </w:tcPr>
          <w:p>
            <w:pPr>
              <w:spacing w:after="0"/>
              <w:rPr>
                <w:sz w:val="14"/>
                <w:szCs w:val="14"/>
                <w:color w:val="auto"/>
              </w:rPr>
            </w:pPr>
          </w:p>
        </w:tc>
        <w:tc>
          <w:tcPr>
            <w:tcW w:w="2060" w:type="dxa"/>
            <w:vAlign w:val="bottom"/>
            <w:gridSpan w:val="3"/>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Cash Bonus Award Paid in</w:t>
            </w:r>
          </w:p>
        </w:tc>
        <w:tc>
          <w:tcPr>
            <w:tcW w:w="2380" w:type="dxa"/>
            <w:vAlign w:val="bottom"/>
          </w:tcPr>
          <w:p>
            <w:pPr>
              <w:ind w:left="620"/>
              <w:spacing w:after="0" w:line="167" w:lineRule="exact"/>
              <w:rPr>
                <w:sz w:val="20"/>
                <w:szCs w:val="20"/>
                <w:color w:val="auto"/>
              </w:rPr>
            </w:pPr>
            <w:r>
              <w:rPr>
                <w:rFonts w:ascii="Times New Roman" w:cs="Times New Roman" w:eastAsia="Times New Roman" w:hAnsi="Times New Roman"/>
                <w:sz w:val="16"/>
                <w:szCs w:val="16"/>
                <w:b w:val="1"/>
                <w:bCs w:val="1"/>
                <w:color w:val="auto"/>
              </w:rPr>
              <w:t>As Percentage of</w:t>
            </w:r>
          </w:p>
        </w:tc>
      </w:tr>
      <w:tr>
        <w:trPr>
          <w:trHeight w:val="214"/>
        </w:trPr>
        <w:tc>
          <w:tcPr>
            <w:tcW w:w="68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2025 Base Salary</w:t>
            </w:r>
          </w:p>
        </w:tc>
      </w:tr>
      <w:tr>
        <w:trPr>
          <w:trHeight w:val="4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NEOs</w:t>
            </w:r>
          </w:p>
        </w:tc>
        <w:tc>
          <w:tcPr>
            <w:tcW w:w="4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380" w:type="dxa"/>
            <w:vAlign w:val="bottom"/>
            <w:tcBorders>
              <w:bottom w:val="single" w:sz="8" w:color="CCEEFF"/>
            </w:tcBorders>
            <w:shd w:val="clear" w:color="auto" w:fill="CCEEFF"/>
          </w:tcPr>
          <w:p>
            <w:pPr>
              <w:spacing w:after="0"/>
              <w:rPr>
                <w:sz w:val="24"/>
                <w:szCs w:val="24"/>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Barry Sloane</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Peter Downs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Michael Schwartz</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Frank DeMaria</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Former 2025 NEOs</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 Scott Price</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Nicolas Young</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257,873</w:t>
            </w:r>
          </w:p>
        </w:tc>
        <w:tc>
          <w:tcPr>
            <w:tcW w:w="100" w:type="dxa"/>
            <w:vAlign w:val="bottom"/>
          </w:tcPr>
          <w:p>
            <w:pPr>
              <w:spacing w:after="0"/>
              <w:rPr>
                <w:sz w:val="20"/>
                <w:szCs w:val="20"/>
                <w:color w:val="auto"/>
              </w:rPr>
            </w:pPr>
          </w:p>
        </w:tc>
        <w:tc>
          <w:tcPr>
            <w:tcW w:w="23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Act, we are providing the following disclosure regarding the relationship between executive compensation and certain financial performance measures of the Company. For a complete description regarding the Company’s compensation program, please see “Compensation Discussion and Analysis.”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past five fiscal years’ total compensation for our NEOs as set forth in the Summary Compensation Table, the compensation actually paid to our principal executive officer (the “PEO”) and the other NEOs, our total shareholder return (“TSR”) and our net income.</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SEC rules require certain adjustments be made to the Summary Compensation Table totals to determine the compensation actually paid as reported in the Pay Versus Performance table. Compensation actually paid does not necessarily represent compensation actually earned, realized or received by the applicable NEO, but rather is a valuation calculated under applicable SEC rules by adjusting the Summary Compensation Table totals for the applicable year as described in the footnotes to the Pay Versus Performance Table.</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74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4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8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vMerge w:val="continue"/>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4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2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2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4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6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0" w:type="dxa"/>
            <w:vAlign w:val="bottom"/>
          </w:tcPr>
          <w:p>
            <w:pPr>
              <w:spacing w:after="0"/>
              <w:rPr>
                <w:sz w:val="1"/>
                <w:szCs w:val="1"/>
                <w:color w:val="auto"/>
              </w:rPr>
            </w:pPr>
          </w:p>
        </w:tc>
      </w:tr>
      <w:tr>
        <w:trPr>
          <w:trHeight w:val="191"/>
        </w:trPr>
        <w:tc>
          <w:tcPr>
            <w:tcW w:w="560" w:type="dxa"/>
            <w:vAlign w:val="bottom"/>
            <w:vMerge w:val="continue"/>
          </w:tcPr>
          <w:p>
            <w:pPr>
              <w:spacing w:after="0"/>
              <w:rPr>
                <w:sz w:val="16"/>
                <w:szCs w:val="16"/>
                <w:color w:val="auto"/>
              </w:rPr>
            </w:pPr>
          </w:p>
        </w:tc>
        <w:tc>
          <w:tcPr>
            <w:tcW w:w="1180" w:type="dxa"/>
            <w:vAlign w:val="bottom"/>
          </w:tcPr>
          <w:p>
            <w:pPr>
              <w:jc w:val="center"/>
              <w:ind w:right="31"/>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PEO</w:t>
            </w:r>
            <w:r>
              <w:rPr>
                <w:rFonts w:ascii="Times New Roman" w:cs="Times New Roman" w:eastAsia="Times New Roman" w:hAnsi="Times New Roman"/>
                <w:sz w:val="8"/>
                <w:szCs w:val="8"/>
                <w:b w:val="1"/>
                <w:bCs w:val="1"/>
                <w:color w:val="auto"/>
              </w:rPr>
              <w:t>(1)</w:t>
            </w:r>
          </w:p>
        </w:tc>
        <w:tc>
          <w:tcPr>
            <w:tcW w:w="1320" w:type="dxa"/>
            <w:vAlign w:val="bottom"/>
          </w:tcPr>
          <w:p>
            <w:pPr>
              <w:jc w:val="center"/>
              <w:ind w:right="68"/>
              <w:spacing w:after="0" w:line="191" w:lineRule="exact"/>
              <w:rPr>
                <w:sz w:val="20"/>
                <w:szCs w:val="20"/>
                <w:color w:val="auto"/>
              </w:rPr>
            </w:pPr>
            <w:r>
              <w:rPr>
                <w:rFonts w:ascii="Times New Roman" w:cs="Times New Roman" w:eastAsia="Times New Roman" w:hAnsi="Times New Roman"/>
                <w:sz w:val="14"/>
                <w:szCs w:val="14"/>
                <w:b w:val="1"/>
                <w:bCs w:val="1"/>
                <w:color w:val="auto"/>
                <w:w w:val="98"/>
              </w:rPr>
              <w:t>PEO</w:t>
            </w:r>
            <w:r>
              <w:rPr>
                <w:rFonts w:ascii="Times New Roman" w:cs="Times New Roman" w:eastAsia="Times New Roman" w:hAnsi="Times New Roman"/>
                <w:sz w:val="18"/>
                <w:szCs w:val="18"/>
                <w:b w:val="1"/>
                <w:bCs w:val="1"/>
                <w:color w:val="auto"/>
                <w:w w:val="98"/>
                <w:vertAlign w:val="superscript"/>
              </w:rPr>
              <w:t>(2)</w:t>
            </w:r>
          </w:p>
        </w:tc>
        <w:tc>
          <w:tcPr>
            <w:tcW w:w="1400" w:type="dxa"/>
            <w:vAlign w:val="bottom"/>
          </w:tcPr>
          <w:p>
            <w:pPr>
              <w:jc w:val="center"/>
              <w:ind w:right="88"/>
              <w:spacing w:after="0" w:line="191"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18"/>
                <w:szCs w:val="18"/>
                <w:b w:val="1"/>
                <w:bCs w:val="1"/>
                <w:color w:val="auto"/>
                <w:w w:val="96"/>
                <w:vertAlign w:val="superscript"/>
              </w:rPr>
              <w:t>(1)</w:t>
            </w:r>
          </w:p>
        </w:tc>
        <w:tc>
          <w:tcPr>
            <w:tcW w:w="1360" w:type="dxa"/>
            <w:vAlign w:val="bottom"/>
          </w:tcPr>
          <w:p>
            <w:pPr>
              <w:jc w:val="center"/>
              <w:ind w:right="8"/>
              <w:spacing w:after="0" w:line="191"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18"/>
                <w:szCs w:val="18"/>
                <w:b w:val="1"/>
                <w:bCs w:val="1"/>
                <w:color w:val="auto"/>
                <w:w w:val="96"/>
                <w:vertAlign w:val="superscript"/>
              </w:rPr>
              <w:t>(3)</w:t>
            </w:r>
          </w:p>
        </w:tc>
        <w:tc>
          <w:tcPr>
            <w:tcW w:w="1260" w:type="dxa"/>
            <w:vAlign w:val="bottom"/>
          </w:tcPr>
          <w:p>
            <w:pPr>
              <w:jc w:val="right"/>
              <w:ind w:right="288"/>
              <w:spacing w:after="0" w:line="191"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8"/>
                <w:szCs w:val="18"/>
                <w:b w:val="1"/>
                <w:bCs w:val="1"/>
                <w:color w:val="auto"/>
                <w:vertAlign w:val="superscript"/>
              </w:rPr>
              <w:t>(4)</w:t>
            </w:r>
          </w:p>
        </w:tc>
        <w:tc>
          <w:tcPr>
            <w:tcW w:w="1480" w:type="dxa"/>
            <w:vAlign w:val="bottom"/>
          </w:tcPr>
          <w:p>
            <w:pPr>
              <w:jc w:val="right"/>
              <w:ind w:right="48"/>
              <w:spacing w:after="0" w:line="191" w:lineRule="exact"/>
              <w:rPr>
                <w:sz w:val="20"/>
                <w:szCs w:val="20"/>
                <w:color w:val="auto"/>
              </w:rPr>
            </w:pPr>
            <w:r>
              <w:rPr>
                <w:rFonts w:ascii="Times New Roman" w:cs="Times New Roman" w:eastAsia="Times New Roman" w:hAnsi="Times New Roman"/>
                <w:sz w:val="14"/>
                <w:szCs w:val="14"/>
                <w:b w:val="1"/>
                <w:bCs w:val="1"/>
                <w:color w:val="auto"/>
                <w:w w:val="99"/>
              </w:rPr>
              <w:t>Shareholder Return</w:t>
            </w:r>
            <w:r>
              <w:rPr>
                <w:rFonts w:ascii="Times New Roman" w:cs="Times New Roman" w:eastAsia="Times New Roman" w:hAnsi="Times New Roman"/>
                <w:sz w:val="18"/>
                <w:szCs w:val="18"/>
                <w:b w:val="1"/>
                <w:bCs w:val="1"/>
                <w:color w:val="auto"/>
                <w:w w:val="99"/>
                <w:vertAlign w:val="superscript"/>
              </w:rPr>
              <w:t>(5)</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1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805,482</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741,441</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664,154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60,512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2"/>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846,000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701,284</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856,467</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894,152</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50,853</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599,203</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596,469</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575,468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47,329</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2,700,000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2,096,624</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918,750</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785,908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3,500,000</w:t>
            </w:r>
          </w:p>
        </w:tc>
        <w:tc>
          <w:tcPr>
            <w:tcW w:w="1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4,633,439</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895,000</w:t>
            </w: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960,718</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84,142</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68"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was our PEO for each of the fiscal years presented in the above table. Our non-PEO NEOs were as follows:</w:t>
      </w:r>
    </w:p>
    <w:p>
      <w:pPr>
        <w:spacing w:after="0" w:line="251"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Downs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Schwartz</w:t>
            </w:r>
          </w:p>
        </w:tc>
        <w:tc>
          <w:tcPr>
            <w:tcW w:w="15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DeMaria</w:t>
            </w: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9"/>
                <w:szCs w:val="9"/>
                <w:b w:val="1"/>
                <w:bCs w:val="1"/>
                <w:color w:val="auto"/>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Young</w:t>
            </w:r>
            <w:r>
              <w:rPr>
                <w:rFonts w:ascii="Times New Roman" w:cs="Times New Roman" w:eastAsia="Times New Roman" w:hAnsi="Times New Roman"/>
                <w:sz w:val="9"/>
                <w:szCs w:val="9"/>
                <w:b w:val="1"/>
                <w:bCs w:val="1"/>
                <w:color w:val="auto"/>
                <w:w w:val="99"/>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Leger</w:t>
            </w:r>
            <w:r>
              <w:rPr>
                <w:rFonts w:ascii="Times New Roman" w:cs="Times New Roman" w:eastAsia="Times New Roman" w:hAnsi="Times New Roman"/>
                <w:sz w:val="9"/>
                <w:szCs w:val="9"/>
                <w:b w:val="1"/>
                <w:bCs w:val="1"/>
                <w:color w:val="auto"/>
              </w:rPr>
              <w:t>(1)</w:t>
            </w:r>
          </w:p>
        </w:tc>
      </w:tr>
      <w:tr>
        <w:trPr>
          <w:trHeight w:val="23"/>
        </w:trPr>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2"/>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00" w:type="dxa"/>
            <w:vAlign w:val="bottom"/>
          </w:tcPr>
          <w:p>
            <w:pPr>
              <w:spacing w:after="0"/>
              <w:rPr>
                <w:sz w:val="15"/>
                <w:szCs w:val="15"/>
                <w:color w:val="auto"/>
              </w:rPr>
            </w:pPr>
          </w:p>
        </w:tc>
      </w:tr>
      <w:tr>
        <w:trPr>
          <w:trHeight w:val="19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00" w:type="dxa"/>
            <w:vAlign w:val="bottom"/>
          </w:tcPr>
          <w:p>
            <w:pPr>
              <w:spacing w:after="0"/>
              <w:rPr>
                <w:sz w:val="16"/>
                <w:szCs w:val="16"/>
                <w:color w:val="auto"/>
              </w:rPr>
            </w:pPr>
          </w:p>
        </w:tc>
      </w:tr>
      <w:tr>
        <w:trPr>
          <w:trHeight w:val="24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spacing w:after="0"/>
              <w:rPr>
                <w:sz w:val="21"/>
                <w:szCs w:val="21"/>
                <w:color w:val="auto"/>
              </w:rPr>
            </w:pPr>
          </w:p>
        </w:tc>
        <w:tc>
          <w:tcPr>
            <w:tcW w:w="14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20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203"/>
        </w:trPr>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r>
      <w:tr>
        <w:trPr>
          <w:trHeight w:val="23"/>
        </w:trPr>
        <w:tc>
          <w:tcPr>
            <w:tcW w:w="92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r>
    </w:tbl>
    <w:p>
      <w:pPr>
        <w:spacing w:after="0" w:line="279" w:lineRule="exact"/>
        <w:rPr>
          <w:sz w:val="20"/>
          <w:szCs w:val="20"/>
          <w:color w:val="auto"/>
        </w:rPr>
      </w:pPr>
    </w:p>
    <w:p>
      <w:pPr>
        <w:ind w:left="940" w:hanging="284"/>
        <w:spacing w:after="0"/>
        <w:tabs>
          <w:tab w:leader="none" w:pos="94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Former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432" w:right="260" w:hanging="432"/>
        <w:spacing w:after="0" w:line="217" w:lineRule="auto"/>
        <w:tabs>
          <w:tab w:leader="none" w:pos="193"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Compensation actually paid to our PEO was calculated in accordance with Item 402(v) of Regulation S-K by deducting and adding from the Summary Compensation Table totals as shown below:</w:t>
      </w:r>
    </w:p>
    <w:p>
      <w:pPr>
        <w:spacing w:after="0" w:line="297"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3"/>
          <w:szCs w:val="13"/>
          <w:b w:val="1"/>
          <w:bCs w:val="1"/>
          <w:color w:val="auto"/>
        </w:rPr>
        <w:t>Equity Award Adjustments</w:t>
      </w:r>
    </w:p>
    <w:p>
      <w:pPr>
        <w:sectPr>
          <w:pgSz w:w="11900" w:h="16838" w:orient="portrait"/>
          <w:cols w:equalWidth="0" w:num="1">
            <w:col w:w="11212"/>
          </w:cols>
          <w:pgMar w:left="328" w:top="14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92"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Reported Summary</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Less: Reported</w:t>
            </w:r>
          </w:p>
        </w:tc>
      </w:tr>
      <w:tr>
        <w:trPr>
          <w:trHeight w:val="135"/>
        </w:trPr>
        <w:tc>
          <w:tcPr>
            <w:tcW w:w="38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92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Value of Equity</w:t>
            </w:r>
          </w:p>
        </w:tc>
      </w:tr>
      <w:tr>
        <w:trPr>
          <w:trHeight w:val="223"/>
        </w:trPr>
        <w:tc>
          <w:tcPr>
            <w:tcW w:w="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for PEO($)</w:t>
            </w:r>
          </w:p>
        </w:tc>
        <w:tc>
          <w:tcPr>
            <w:tcW w:w="920" w:type="dxa"/>
            <w:vAlign w:val="bottom"/>
          </w:tcPr>
          <w:p>
            <w:pPr>
              <w:jc w:val="center"/>
              <w:ind w:left="37"/>
              <w:spacing w:after="0" w:line="223" w:lineRule="exact"/>
              <w:rPr>
                <w:sz w:val="20"/>
                <w:szCs w:val="20"/>
                <w:color w:val="auto"/>
              </w:rPr>
            </w:pPr>
            <w:r>
              <w:rPr>
                <w:rFonts w:ascii="Times New Roman" w:cs="Times New Roman" w:eastAsia="Times New Roman" w:hAnsi="Times New Roman"/>
                <w:sz w:val="13"/>
                <w:szCs w:val="13"/>
                <w:b w:val="1"/>
                <w:bCs w:val="1"/>
                <w:color w:val="auto"/>
                <w:w w:val="91"/>
              </w:rPr>
              <w:t>Awards</w:t>
            </w:r>
            <w:r>
              <w:rPr>
                <w:rFonts w:ascii="Times New Roman" w:cs="Times New Roman" w:eastAsia="Times New Roman" w:hAnsi="Times New Roman"/>
                <w:sz w:val="23"/>
                <w:szCs w:val="23"/>
                <w:b w:val="1"/>
                <w:bCs w:val="1"/>
                <w:color w:val="auto"/>
                <w:w w:val="91"/>
                <w:vertAlign w:val="superscript"/>
              </w:rPr>
              <w:t>(a)</w:t>
            </w:r>
            <w:r>
              <w:rPr>
                <w:rFonts w:ascii="Times New Roman" w:cs="Times New Roman" w:eastAsia="Times New Roman" w:hAnsi="Times New Roman"/>
                <w:sz w:val="13"/>
                <w:szCs w:val="13"/>
                <w:b w:val="1"/>
                <w:bCs w:val="1"/>
                <w:color w:val="auto"/>
                <w:w w:val="91"/>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Year over</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Plus: Value of</w:t>
            </w:r>
          </w:p>
        </w:tc>
        <w:tc>
          <w:tcPr>
            <w:tcW w:w="960" w:type="dxa"/>
            <w:vAlign w:val="bottom"/>
          </w:tcPr>
          <w:p>
            <w:pPr>
              <w:spacing w:after="0"/>
              <w:rPr>
                <w:sz w:val="12"/>
                <w:szCs w:val="12"/>
                <w:color w:val="auto"/>
              </w:rPr>
            </w:pPr>
          </w:p>
        </w:tc>
      </w:tr>
      <w:tr>
        <w:trPr>
          <w:trHeight w:val="148"/>
        </w:trPr>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Plus: Year End</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Change in</w:t>
            </w:r>
          </w:p>
        </w:tc>
        <w:tc>
          <w:tcPr>
            <w:tcW w:w="108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Year over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Less: Year End Fair</w:t>
            </w: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Dividends or other</w:t>
            </w:r>
          </w:p>
        </w:tc>
        <w:tc>
          <w:tcPr>
            <w:tcW w:w="960" w:type="dxa"/>
            <w:vAlign w:val="bottom"/>
          </w:tcPr>
          <w:p>
            <w:pPr>
              <w:spacing w:after="0"/>
              <w:rPr>
                <w:sz w:val="12"/>
                <w:szCs w:val="12"/>
                <w:color w:val="auto"/>
              </w:rPr>
            </w:pPr>
          </w:p>
        </w:tc>
      </w:tr>
      <w:tr>
        <w:trPr>
          <w:trHeight w:val="135"/>
        </w:trPr>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Fair Value of</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Year Change in</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3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Earnings Paid on</w:t>
            </w:r>
          </w:p>
        </w:tc>
        <w:tc>
          <w:tcPr>
            <w:tcW w:w="960" w:type="dxa"/>
            <w:vAlign w:val="bottom"/>
          </w:tcPr>
          <w:p>
            <w:pPr>
              <w:spacing w:after="0"/>
              <w:rPr>
                <w:sz w:val="11"/>
                <w:szCs w:val="11"/>
                <w:color w:val="auto"/>
              </w:rPr>
            </w:pPr>
          </w:p>
        </w:tc>
      </w:tr>
      <w:tr>
        <w:trPr>
          <w:trHeight w:val="148"/>
        </w:trPr>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960" w:type="dxa"/>
            <w:vAlign w:val="bottom"/>
          </w:tcPr>
          <w:p>
            <w:pPr>
              <w:spacing w:after="0"/>
              <w:rPr>
                <w:sz w:val="12"/>
                <w:szCs w:val="12"/>
                <w:color w:val="auto"/>
              </w:rPr>
            </w:pPr>
          </w:p>
        </w:tc>
      </w:tr>
      <w:tr>
        <w:trPr>
          <w:trHeight w:val="135"/>
        </w:trPr>
        <w:tc>
          <w:tcPr>
            <w:tcW w:w="10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 in the</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Granted in Prior</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were Granted</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 that</w:t>
            </w:r>
          </w:p>
        </w:tc>
        <w:tc>
          <w:tcPr>
            <w:tcW w:w="13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not</w:t>
            </w:r>
          </w:p>
        </w:tc>
        <w:tc>
          <w:tcPr>
            <w:tcW w:w="960" w:type="dxa"/>
            <w:vAlign w:val="bottom"/>
          </w:tcPr>
          <w:p>
            <w:pPr>
              <w:spacing w:after="0"/>
              <w:rPr>
                <w:sz w:val="11"/>
                <w:szCs w:val="11"/>
                <w:color w:val="auto"/>
              </w:rPr>
            </w:pPr>
          </w:p>
        </w:tc>
      </w:tr>
      <w:tr>
        <w:trPr>
          <w:trHeight w:val="148"/>
        </w:trPr>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Year that 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Years that are</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and Vested in the</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Granted in Prior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Failed to Meet</w:t>
            </w: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Otherwise Reflected</w:t>
            </w:r>
          </w:p>
        </w:tc>
        <w:tc>
          <w:tcPr>
            <w:tcW w:w="96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10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Same Year at</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Years that Vested in</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Fair Value or Total</w:t>
            </w:r>
          </w:p>
        </w:tc>
        <w:tc>
          <w:tcPr>
            <w:tcW w:w="960" w:type="dxa"/>
            <w:vAlign w:val="bottom"/>
          </w:tcPr>
          <w:p>
            <w:pPr>
              <w:jc w:val="center"/>
              <w:ind w:lef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r>
      <w:tr>
        <w:trPr>
          <w:trHeight w:val="180"/>
        </w:trPr>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End($)</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End($)</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the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Conditions($)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96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rPr>
              <w:t>PEO($)</w:t>
            </w:r>
          </w:p>
        </w:tc>
      </w:tr>
    </w:tbl>
    <w:p>
      <w:pPr>
        <w:spacing w:after="0" w:line="37" w:lineRule="exact"/>
        <w:rPr>
          <w:sz w:val="20"/>
          <w:szCs w:val="20"/>
          <w:color w:val="auto"/>
        </w:rPr>
      </w:pPr>
    </w:p>
    <w:p>
      <w:pPr>
        <w:sectPr>
          <w:pgSz w:w="11900" w:h="16838" w:orient="portrait"/>
          <w:cols w:equalWidth="0" w:num="2">
            <w:col w:w="2812" w:space="240"/>
            <w:col w:w="8160"/>
          </w:cols>
          <w:pgMar w:left="328" w:top="1408" w:right="359" w:bottom="1440" w:gutter="0" w:footer="0" w:header="0"/>
          <w:type w:val="continuous"/>
        </w:sectPr>
      </w:pPr>
    </w:p>
    <w:tbl>
      <w:tblPr>
        <w:tblLayout w:type="fixed"/>
        <w:tblInd w:w="172" w:type="dxa"/>
        <w:tblCellMar>
          <w:top w:w="0" w:type="dxa"/>
          <w:left w:w="0" w:type="dxa"/>
          <w:bottom w:w="0" w:type="dxa"/>
          <w:right w:w="0" w:type="dxa"/>
        </w:tblCellMar>
      </w:tblPr>
      <w:tr>
        <w:trPr>
          <w:trHeight w:val="188"/>
        </w:trPr>
        <w:tc>
          <w:tcPr>
            <w:tcW w:w="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2025</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1,000,000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(97,923)</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(101,338)</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4,743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805,482</w:t>
            </w:r>
          </w:p>
        </w:tc>
      </w:tr>
      <w:tr>
        <w:trPr>
          <w:trHeight w:val="200"/>
        </w:trPr>
        <w:tc>
          <w:tcPr>
            <w:tcW w:w="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2024</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846,000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(146,000)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147,264</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(122,203)</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(38,696)</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14,919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701,284</w:t>
            </w:r>
          </w:p>
        </w:tc>
      </w:tr>
      <w:tr>
        <w:trPr>
          <w:trHeight w:val="216"/>
        </w:trPr>
        <w:tc>
          <w:tcPr>
            <w:tcW w:w="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2023</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700,000</w:t>
            </w: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(363,605)</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155,621</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107,187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599,203</w:t>
            </w:r>
          </w:p>
        </w:tc>
      </w:tr>
      <w:tr>
        <w:trPr>
          <w:trHeight w:val="216"/>
        </w:trPr>
        <w:tc>
          <w:tcPr>
            <w:tcW w:w="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2022</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2,700,000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(2,000,000)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1,766,911</w:t>
            </w:r>
          </w:p>
        </w:tc>
        <w:tc>
          <w:tcPr>
            <w:tcW w:w="12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(703,325)</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(29,048)</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362,085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2,096,624</w:t>
            </w:r>
          </w:p>
        </w:tc>
      </w:tr>
      <w:tr>
        <w:trPr>
          <w:trHeight w:val="216"/>
        </w:trPr>
        <w:tc>
          <w:tcPr>
            <w:tcW w:w="6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2021</w:t>
            </w:r>
          </w:p>
        </w:tc>
        <w:tc>
          <w:tcPr>
            <w:tcW w:w="12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3,500,000</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(1,800,000)</w:t>
            </w:r>
          </w:p>
        </w:tc>
        <w:tc>
          <w:tcPr>
            <w:tcW w:w="11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2,299,313</w:t>
            </w: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634,125</w:t>
            </w:r>
          </w:p>
        </w:tc>
        <w:tc>
          <w:tcPr>
            <w:tcW w:w="10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4,633,439</w:t>
            </w:r>
          </w:p>
        </w:tc>
      </w:tr>
    </w:tbl>
    <w:p>
      <w:pPr>
        <w:spacing w:after="0" w:line="334" w:lineRule="exact"/>
        <w:rPr>
          <w:sz w:val="20"/>
          <w:szCs w:val="20"/>
          <w:color w:val="auto"/>
        </w:rPr>
      </w:pPr>
    </w:p>
    <w:p>
      <w:pPr>
        <w:ind w:left="1072" w:right="80" w:hanging="424"/>
        <w:spacing w:after="0" w:line="263" w:lineRule="auto"/>
        <w:tabs>
          <w:tab w:leader="none" w:pos="97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equity awards represents the total of the amounts reported in the “Stock Awards” and “Option Awards” columns in the Summary Compensation Table for the applicable year.</w:t>
      </w:r>
    </w:p>
    <w:p>
      <w:pPr>
        <w:spacing w:after="0" w:line="204" w:lineRule="exact"/>
        <w:rPr>
          <w:rFonts w:ascii="Times New Roman" w:cs="Times New Roman" w:eastAsia="Times New Roman" w:hAnsi="Times New Roman"/>
          <w:sz w:val="16"/>
          <w:szCs w:val="16"/>
          <w:color w:val="auto"/>
        </w:rPr>
      </w:pPr>
    </w:p>
    <w:p>
      <w:pPr>
        <w:ind w:left="432" w:right="480" w:hanging="432"/>
        <w:spacing w:after="0" w:line="232" w:lineRule="auto"/>
        <w:tabs>
          <w:tab w:leader="none" w:pos="22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Compensation actually paid to our non-PEO NEOs was calculated in accordance with Item 402(v) of Regulation S-K by deducting and adding from the Summary Compensation Table totals as shown below:</w:t>
      </w:r>
    </w:p>
    <w:p>
      <w:pPr>
        <w:spacing w:after="0" w:line="338" w:lineRule="exact"/>
        <w:rPr>
          <w:sz w:val="20"/>
          <w:szCs w:val="20"/>
          <w:color w:val="auto"/>
        </w:rPr>
      </w:pPr>
    </w:p>
    <w:tbl>
      <w:tblPr>
        <w:tblLayout w:type="fixed"/>
        <w:tblInd w:w="212" w:type="dxa"/>
        <w:tblCellMar>
          <w:top w:w="0" w:type="dxa"/>
          <w:left w:w="0" w:type="dxa"/>
          <w:bottom w:w="0" w:type="dxa"/>
          <w:right w:w="0" w:type="dxa"/>
        </w:tblCellMar>
      </w:tblPr>
      <w:tr>
        <w:trPr>
          <w:trHeight w:val="166"/>
        </w:trPr>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20" w:type="dxa"/>
            <w:vAlign w:val="bottom"/>
            <w:gridSpan w:val="2"/>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Equity Award Adjustments</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8"/>
        </w:trPr>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Plus: Value of</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 or other</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Plus: Year End 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Plus: Year over Year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Plus: Fair Value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Plus: Year over 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Less: Year End 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Earnings Paid on</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11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 or Option</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36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Average of Reported</w:t>
            </w:r>
          </w:p>
        </w:tc>
        <w:tc>
          <w:tcPr>
            <w:tcW w:w="11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 Awards that</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not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Less: Reported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Awards Granted in</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were Granted and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Prior Years that</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Otherwise Reflected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36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 Table</w:t>
            </w:r>
          </w:p>
        </w:tc>
        <w:tc>
          <w:tcPr>
            <w:tcW w:w="110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the Year that are</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Years that are</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 the Same</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Failed to Meet</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 Fair Value or</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Total for non-PEO</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Unvested at Year</w:t>
            </w: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Year at Vesting</w:t>
            </w: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Prior Years that</w:t>
            </w: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Actually Paid to non-</w:t>
            </w:r>
          </w:p>
        </w:tc>
        <w:tc>
          <w:tcPr>
            <w:tcW w:w="0" w:type="dxa"/>
            <w:vAlign w:val="bottom"/>
          </w:tcPr>
          <w:p>
            <w:pPr>
              <w:spacing w:after="0"/>
              <w:rPr>
                <w:sz w:val="1"/>
                <w:szCs w:val="1"/>
                <w:color w:val="auto"/>
              </w:rPr>
            </w:pPr>
          </w:p>
        </w:tc>
      </w:tr>
      <w:tr>
        <w:trPr>
          <w:trHeight w:val="193"/>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NEOs($)</w:t>
            </w:r>
          </w:p>
        </w:tc>
        <w:tc>
          <w:tcPr>
            <w:tcW w:w="1100" w:type="dxa"/>
            <w:vAlign w:val="bottom"/>
          </w:tcPr>
          <w:p>
            <w:pPr>
              <w:jc w:val="center"/>
              <w:spacing w:after="0" w:line="193" w:lineRule="exact"/>
              <w:rPr>
                <w:sz w:val="20"/>
                <w:szCs w:val="20"/>
                <w:color w:val="auto"/>
              </w:rPr>
            </w:pPr>
            <w:r>
              <w:rPr>
                <w:rFonts w:ascii="Times New Roman" w:cs="Times New Roman" w:eastAsia="Times New Roman" w:hAnsi="Times New Roman"/>
                <w:sz w:val="12"/>
                <w:szCs w:val="12"/>
                <w:b w:val="1"/>
                <w:bCs w:val="1"/>
                <w:color w:val="auto"/>
                <w:w w:val="95"/>
              </w:rPr>
              <w:t>Awards</w:t>
            </w:r>
            <w:r>
              <w:rPr>
                <w:rFonts w:ascii="Times New Roman" w:cs="Times New Roman" w:eastAsia="Times New Roman" w:hAnsi="Times New Roman"/>
                <w:sz w:val="22"/>
                <w:szCs w:val="22"/>
                <w:b w:val="1"/>
                <w:bCs w:val="1"/>
                <w:color w:val="auto"/>
                <w:w w:val="95"/>
                <w:vertAlign w:val="superscript"/>
              </w:rPr>
              <w:t>(a)</w:t>
            </w:r>
            <w:r>
              <w:rPr>
                <w:rFonts w:ascii="Times New Roman" w:cs="Times New Roman" w:eastAsia="Times New Roman" w:hAnsi="Times New Roman"/>
                <w:sz w:val="12"/>
                <w:szCs w:val="12"/>
                <w:b w:val="1"/>
                <w:bCs w:val="1"/>
                <w:color w:val="auto"/>
                <w:w w:val="95"/>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End($)</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 in the Year($)</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Conditions($)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PEO NEOs($)</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741,441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(30,869)</w:t>
            </w:r>
          </w:p>
        </w:tc>
        <w:tc>
          <w:tcPr>
            <w:tcW w:w="11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(36,309)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664,154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856,467</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(221,200)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224,290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894,152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596,469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10,152</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575,468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918,750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210,389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(90,316)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(12,042)</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785,908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895,000</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(318,750)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304,275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11,347</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59,449</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960,718</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1072" w:right="80" w:hanging="424"/>
        <w:spacing w:after="0" w:line="263" w:lineRule="auto"/>
        <w:tabs>
          <w:tab w:leader="none" w:pos="97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of equity awards represents the total of the amounts reported in the “Stock Awards” and “Option Awards” columns in the Summary Compensation Table for the applicable year.</w:t>
      </w:r>
    </w:p>
    <w:p>
      <w:pPr>
        <w:spacing w:after="0" w:line="217" w:lineRule="exact"/>
        <w:rPr>
          <w:rFonts w:ascii="Times New Roman" w:cs="Times New Roman" w:eastAsia="Times New Roman" w:hAnsi="Times New Roman"/>
          <w:sz w:val="16"/>
          <w:szCs w:val="16"/>
          <w:color w:val="auto"/>
        </w:rPr>
      </w:pPr>
    </w:p>
    <w:p>
      <w:pPr>
        <w:ind w:left="432" w:hanging="432"/>
        <w:spacing w:after="0" w:line="230" w:lineRule="auto"/>
        <w:tabs>
          <w:tab w:leader="none" w:pos="254"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Cumulative TSR is calculated by dividing (a) the sum of the cumulative amount of dividends for the measure period, assuming dividend reinvestment, and the difference between the Company’s share price at the end and the beginning of the measurement period by (b) the Company’s share price at the beginning of the measurement period.</w:t>
      </w:r>
    </w:p>
    <w:p>
      <w:pPr>
        <w:ind w:left="432" w:right="100" w:hanging="432"/>
        <w:spacing w:after="0" w:line="226" w:lineRule="auto"/>
        <w:tabs>
          <w:tab w:leader="none" w:pos="2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include a comparison against the Russell 2000 as disclosed in Part II Item 5 of our Annual Report on Form 10-K as of December 31, 2025. We use the Russell 2000 because it represents small cap market capitalization companies similar to us. We do not believe there is a published industry or line-of-business index, or a readily definable peer group of publicly traded companies, that provides a more meaningful comparison of the cumulative return of our common stock or that there is otherwise a reasonably identifiable peer group for purposes of such performance graphs as we ceased to be a business development company subject to the Investment Company Act of 1940 at the beginning of 2023.</w:t>
      </w:r>
    </w:p>
    <w:p>
      <w:pPr>
        <w:sectPr>
          <w:pgSz w:w="11900" w:h="16838" w:orient="portrait"/>
          <w:cols w:equalWidth="0" w:num="1">
            <w:col w:w="11212"/>
          </w:cols>
          <w:pgMar w:left="328" w:top="140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8" w:right="359" w:bottom="1440" w:gutter="0" w:footer="0" w:header="0"/>
          <w:type w:val="continuous"/>
        </w:sectPr>
      </w:pPr>
    </w:p>
    <w:bookmarkStart w:id="31" w:name="page32"/>
    <w:bookmarkEnd w:id="31"/>
    <w:p>
      <w:pPr>
        <w:jc w:val="both"/>
        <w:ind w:right="500"/>
        <w:spacing w:after="0" w:line="245" w:lineRule="auto"/>
        <w:rPr>
          <w:sz w:val="20"/>
          <w:szCs w:val="20"/>
          <w:color w:val="auto"/>
        </w:rPr>
      </w:pPr>
      <w:r>
        <w:rPr>
          <w:rFonts w:ascii="Times New Roman" w:cs="Times New Roman" w:eastAsia="Times New Roman" w:hAnsi="Times New Roman"/>
          <w:sz w:val="18"/>
          <w:szCs w:val="18"/>
          <w:color w:val="auto"/>
        </w:rPr>
        <w:t>Pay versus Performance Tabular List. As described in the Compensation Discussion &amp; Analysis above, our approach to compensation is designed to recognize both Company and the individual performance of our employees, promote long-term stock ownership, attract, retain and motivate talented officers and employees, while balancing risk and reward. The most important financial measures used by us to link compensation actually paid to the Company’s NEOs for the most recently completed fiscal year to the Company’s performance are:</w:t>
      </w:r>
    </w:p>
    <w:p>
      <w:pPr>
        <w:spacing w:after="0" w:line="208" w:lineRule="exact"/>
        <w:rPr>
          <w:sz w:val="20"/>
          <w:szCs w:val="20"/>
          <w:color w:val="auto"/>
        </w:rPr>
      </w:pPr>
    </w:p>
    <w:p>
      <w:pPr>
        <w:ind w:left="760" w:hanging="10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Board of Director approved Company budgets and financial metrics</w:t>
      </w:r>
    </w:p>
    <w:p>
      <w:pPr>
        <w:spacing w:after="0" w:line="15" w:lineRule="exact"/>
        <w:rPr>
          <w:rFonts w:ascii="Times New Roman" w:cs="Times New Roman" w:eastAsia="Times New Roman" w:hAnsi="Times New Roman"/>
          <w:sz w:val="18"/>
          <w:szCs w:val="18"/>
          <w:color w:val="auto"/>
        </w:rPr>
      </w:pPr>
    </w:p>
    <w:p>
      <w:pPr>
        <w:ind w:left="760" w:hanging="104"/>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growth of our after tax net income</w:t>
      </w:r>
    </w:p>
    <w:p>
      <w:pPr>
        <w:ind w:left="760" w:hanging="104"/>
        <w:spacing w:after="0" w:line="219"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revenues in our non-bank subsidiaries</w:t>
      </w:r>
    </w:p>
    <w:p>
      <w:pPr>
        <w:ind w:left="760" w:hanging="104"/>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average assets (ROAA)</w:t>
      </w:r>
    </w:p>
    <w:p>
      <w:pPr>
        <w:ind w:left="760" w:hanging="104"/>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 (ROE)</w:t>
      </w:r>
    </w:p>
    <w:p>
      <w:pPr>
        <w:ind w:left="760" w:hanging="10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growth at Newtek Bank and long-term competitive advantage</w:t>
      </w:r>
    </w:p>
    <w:p>
      <w:pPr>
        <w:spacing w:after="0" w:line="2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Pay versus Performance Comparative Disclosure. While we utilize several performance measures to align our executive compensation with performance, the Pay versus Performance table above does not include each of those measures. We seek to incentivize long-term performance and therefore do not specifically align the Company’s performance measures with compensation that is actually paid for a particular year. The tables depict the relationship between the financial performance measures in the Pay versus Performance table above and the compensation actually paid to our CEO and, on average, to our other NEOs, for each the applicable years.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Performance and Compensation Relationships</w:t>
      </w:r>
    </w:p>
    <w:p>
      <w:pPr>
        <w:spacing w:after="0" w:line="2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following graph compares the return on our Common Stock with the Russell 2000 and the S&amp;P Small Cap 600 for the period from December 31, 2020 through December 31, 2025. On June 26, 2023, following the Company's January 6, 2023 conversion to a financial holding company, the Company joined the broad-market Russell 3000 Index and the small-cap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following the conclusion of the Russell indexes annual reconstitution for 2023. The graph assumes that, on January 1, 2021, a person invested $100 in each of our Common Stock, Russell 2000 and S&amp;P Small Cap 600. The graph measures TSR,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254625" cy="3257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32" w:name="page33"/>
    <w:bookmarkEnd w:id="3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Unranked Tabular List of the Company’s Most Important Financial Performance Measures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unranked list of the most important financial performance measures used by the Company to evaluate compensation actually paid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for the year ended December 31, 2025, to Company performance:</w:t>
      </w:r>
    </w:p>
    <w:p>
      <w:pPr>
        <w:spacing w:after="0" w:line="234" w:lineRule="exact"/>
        <w:rPr>
          <w:sz w:val="20"/>
          <w:szCs w:val="20"/>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profitability and earnings per share;</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net assets;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to our shareholders; and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loans originated and growth in deposits at Newtek Bank.</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48"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Nominating Committee believes that attracting and retaining talented and motivated management and employees is essential to creating long-term shareholder value. The Nominating Committee seeks to attract and retain management and employees by offering a competitive, performance-based compensation program which the Nominating Committee believes aligns the interests of the executive officers and other key employees with those of our Shareholders. We believe that the Company’s 2025 compensation program met those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Risk Assessment</w:t>
      </w:r>
    </w:p>
    <w:p>
      <w:pPr>
        <w:spacing w:after="0" w:line="16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Nominating Committee aims to establish Company-wide compensation policies and practices that reward contributions to long-term shareholder value and do not promote unnecessary or excessive risk-taking. In furtherance of this objective, the Nominating Committee conducted an assessment of our compensation arrangements, including those for our NEOs. The assessment process included, among other things, a review of our (1) compensation philosophy, (2) compensation mix and (3) cash and equity-based incentive plans.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its review, among other factors, the Nominating Committee considered the following:</w:t>
      </w:r>
    </w:p>
    <w:p>
      <w:pPr>
        <w:spacing w:after="0" w:line="144" w:lineRule="exact"/>
        <w:rPr>
          <w:sz w:val="20"/>
          <w:szCs w:val="20"/>
          <w:color w:val="auto"/>
        </w:rPr>
      </w:pPr>
    </w:p>
    <w:p>
      <w:pPr>
        <w:ind w:left="880" w:right="320" w:hanging="440"/>
        <w:spacing w:after="0" w:line="282" w:lineRule="auto"/>
        <w:tabs>
          <w:tab w:leader="none" w:pos="6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and our annual cash bonus plan encourage our employees to focus on creating a stable, predictable stream of income over multiple years, rather than focusing on current year revenue at the expense of succeeding years.</w:t>
      </w:r>
    </w:p>
    <w:p>
      <w:pPr>
        <w:spacing w:after="0" w:line="94" w:lineRule="exact"/>
        <w:rPr>
          <w:rFonts w:ascii="Times New Roman" w:cs="Times New Roman" w:eastAsia="Times New Roman" w:hAnsi="Times New Roman"/>
          <w:sz w:val="18"/>
          <w:szCs w:val="18"/>
          <w:color w:val="auto"/>
        </w:rPr>
      </w:pPr>
    </w:p>
    <w:p>
      <w:pPr>
        <w:ind w:left="880" w:right="680" w:hanging="440"/>
        <w:spacing w:after="0" w:line="282" w:lineRule="auto"/>
        <w:tabs>
          <w:tab w:leader="none" w:pos="6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compensation among our core compensation elements has effectively balanced short-term performance and long-term performance.</w:t>
      </w:r>
    </w:p>
    <w:p>
      <w:pPr>
        <w:spacing w:after="0" w:line="9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in conjunction with management efforts focus on both near-term and long-term goals.</w:t>
      </w:r>
    </w:p>
    <w:p>
      <w:pPr>
        <w:spacing w:after="0" w:line="144" w:lineRule="exact"/>
        <w:rPr>
          <w:rFonts w:ascii="Times New Roman" w:cs="Times New Roman" w:eastAsia="Times New Roman" w:hAnsi="Times New Roman"/>
          <w:sz w:val="18"/>
          <w:szCs w:val="18"/>
          <w:color w:val="auto"/>
        </w:rPr>
      </w:pPr>
    </w:p>
    <w:p>
      <w:pPr>
        <w:ind w:left="880" w:right="40" w:hanging="440"/>
        <w:spacing w:after="0" w:line="282" w:lineRule="auto"/>
        <w:tabs>
          <w:tab w:leader="none" w:pos="6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discourage executives from taking risky actions to meet a single target with an all or nothing result of compensation or no compensation.</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executives are encouraged to hold a meaningful number of Common Shares. Based upon this assessment, our Nominating Committee believes that our Company-wide compensation policies and practices do not create risks that are reasonably likely to have a material adverse effect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Advisory Vote on Executive Compensation; Continuing Shareholder Engagement</w:t>
      </w:r>
    </w:p>
    <w:p>
      <w:pPr>
        <w:spacing w:after="0" w:line="16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At our 2025 annual meeting of shareholders, our advisory vote on say-on-pay received strong support from our shareholders (approximately 87% of votes cast).</w:t>
      </w:r>
    </w:p>
    <w:p>
      <w:pPr>
        <w:spacing w:after="0" w:line="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Nominating Committee views as important the continuing dialogue with our shareholders on compensation and other governance matters. The results of the Company’s 2025 advisory vote on say-on-pay represent positive support for the NEOs’ compensation, but we continue to review our compensation program such that it recognizes the business environment in which the Company operates, control costs, is transparent, and enables employees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informed decisions. We anticipate continuing our shareholder engagement efforts in advance of our future annual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Corporate Governance and Nominating Committee Interlocks and Insider Participation</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members of the Nominating Committee during the fiscal year ended December 31, 2025 were Gregory Zink, Chair, Fernando Perez-Hickman, Craig Brunet, Richard Salute and Salvatore Mulia (who retired from the Board in April 2025). All members of the Nominating Committee are independent directors, and none of them are or at any time have been paid officers of ours or any of our subsidiaries, except for director Zink who was previously employed by us an executive vice president from 2000-2005. No member of the Nominating Committee: (i) has had any relationship with us requiring disclosure under Item 404 of Regulation S-K under the Exchange Act; or (ii) is an executive officer of another entity, at which one of our executive officers serves on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2025 </w:t>
      </w:r>
      <w:r>
        <w:rPr>
          <w:rFonts w:ascii="Times New Roman" w:cs="Times New Roman" w:eastAsia="Times New Roman" w:hAnsi="Times New Roman"/>
          <w:sz w:val="18"/>
          <w:szCs w:val="18"/>
          <w:b w:val="1"/>
          <w:bCs w:val="1"/>
          <w:u w:val="single" w:color="auto"/>
          <w:color w:val="auto"/>
        </w:rPr>
        <w:t>Compensation, Corporation Governance and Nominating Committee Report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Company has reviewed and discussed the foregoing Compensation Discussion and Analysis for fiscal 2025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CORPORATE GOVERNANCE AND NOMINATING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Zink,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Salute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Perez-Hickman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Brunet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Summary Compensation Table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aggregate compensation earned by our NEOs during 2025 and the two previous years.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Pension Value</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3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320" w:type="dxa"/>
            <w:vAlign w:val="bottom"/>
            <w:gridSpan w:val="2"/>
            <w:vMerge w:val="continue"/>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9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left="313"/>
              <w:spacing w:after="0" w:line="135"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5"/>
                <w:szCs w:val="15"/>
                <w:b w:val="1"/>
                <w:bCs w:val="1"/>
                <w:color w:val="auto"/>
                <w:vertAlign w:val="superscript"/>
              </w:rPr>
              <w:t>(1)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3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3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3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Barry Sloane,</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Executive</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146,000</w:t>
            </w: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6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40"/>
              <w:spacing w:after="0" w:line="150"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846,000</w:t>
            </w: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Officer</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169"/>
        </w:trPr>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Peter Downs, </w:t>
            </w:r>
            <w:r>
              <w:rPr>
                <w:rFonts w:ascii="Times New Roman" w:cs="Times New Roman" w:eastAsia="Times New Roman" w:hAnsi="Times New Roman"/>
                <w:sz w:val="17"/>
                <w:szCs w:val="17"/>
                <w:color w:val="auto"/>
                <w:vertAlign w:val="superscript"/>
              </w:rPr>
              <w:t>(3)</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w:t>
            </w: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President, Newtek</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255,000</w:t>
            </w: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6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40"/>
              <w:spacing w:after="0" w:line="150"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955,000</w:t>
            </w: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Bank</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Michael Schwartz,</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775,000</w:t>
            </w: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Legal Officer</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918,000</w:t>
            </w:r>
          </w:p>
        </w:tc>
        <w:tc>
          <w:tcPr>
            <w:tcW w:w="0" w:type="dxa"/>
            <w:vAlign w:val="bottom"/>
          </w:tcPr>
          <w:p>
            <w:pPr>
              <w:spacing w:after="0"/>
              <w:rPr>
                <w:sz w:val="1"/>
                <w:szCs w:val="1"/>
                <w:color w:val="auto"/>
              </w:rPr>
            </w:pPr>
          </w:p>
        </w:tc>
      </w:tr>
      <w:tr>
        <w:trPr>
          <w:trHeight w:val="259"/>
        </w:trPr>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Frank DeMaria, </w:t>
            </w:r>
            <w:r>
              <w:rPr>
                <w:rFonts w:ascii="Times New Roman" w:cs="Times New Roman" w:eastAsia="Times New Roman" w:hAnsi="Times New Roman"/>
                <w:sz w:val="17"/>
                <w:szCs w:val="17"/>
                <w:color w:val="auto"/>
                <w:vertAlign w:val="superscript"/>
              </w:rPr>
              <w:t>(7)</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558,000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Chief Financial Officer</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761,000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399,000</w:t>
            </w:r>
          </w:p>
        </w:tc>
        <w:tc>
          <w:tcPr>
            <w:tcW w:w="0" w:type="dxa"/>
            <w:vAlign w:val="bottom"/>
          </w:tcPr>
          <w:p>
            <w:pPr>
              <w:spacing w:after="0"/>
              <w:rPr>
                <w:sz w:val="1"/>
                <w:szCs w:val="1"/>
                <w:color w:val="auto"/>
              </w:rPr>
            </w:pPr>
          </w:p>
        </w:tc>
      </w:tr>
      <w:tr>
        <w:trPr>
          <w:trHeight w:val="236"/>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Former 2025 NEOs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M. Scott Price, </w:t>
            </w:r>
            <w:r>
              <w:rPr>
                <w:rFonts w:ascii="Times New Roman" w:cs="Times New Roman" w:eastAsia="Times New Roman" w:hAnsi="Times New Roman"/>
                <w:sz w:val="17"/>
                <w:szCs w:val="17"/>
                <w:color w:val="auto"/>
                <w:vertAlign w:val="superscript"/>
              </w:rPr>
              <w:t>(9)</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433,000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566,000</w:t>
            </w: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Former Chief Financial</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433,000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133,333</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6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40"/>
              <w:spacing w:after="0" w:line="150"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643,333</w:t>
            </w: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Officer</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426,400</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726400</w:t>
            </w:r>
          </w:p>
        </w:tc>
        <w:tc>
          <w:tcPr>
            <w:tcW w:w="0" w:type="dxa"/>
            <w:vAlign w:val="bottom"/>
          </w:tcPr>
          <w:p>
            <w:pPr>
              <w:spacing w:after="0"/>
              <w:rPr>
                <w:sz w:val="1"/>
                <w:szCs w:val="1"/>
                <w:color w:val="auto"/>
              </w:rPr>
            </w:pPr>
          </w:p>
        </w:tc>
      </w:tr>
      <w:tr>
        <w:trPr>
          <w:trHeight w:val="169"/>
        </w:trPr>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Nicolas Young, </w:t>
            </w:r>
            <w:r>
              <w:rPr>
                <w:rFonts w:ascii="Times New Roman" w:cs="Times New Roman" w:eastAsia="Times New Roman" w:hAnsi="Times New Roman"/>
                <w:sz w:val="17"/>
                <w:szCs w:val="17"/>
                <w:color w:val="auto"/>
                <w:vertAlign w:val="superscript"/>
              </w:rPr>
              <w:t>(11)</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257,873</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957,873</w:t>
            </w:r>
          </w:p>
        </w:tc>
        <w:tc>
          <w:tcPr>
            <w:tcW w:w="0" w:type="dxa"/>
            <w:vAlign w:val="bottom"/>
          </w:tcPr>
          <w:p>
            <w:pPr>
              <w:spacing w:after="0"/>
              <w:rPr>
                <w:sz w:val="1"/>
                <w:szCs w:val="1"/>
                <w:color w:val="auto"/>
              </w:rPr>
            </w:pPr>
          </w:p>
        </w:tc>
      </w:tr>
      <w:tr>
        <w:trPr>
          <w:trHeight w:val="150"/>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Former President,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(12)</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6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2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40"/>
              <w:spacing w:after="0" w:line="150"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1,005,000</w:t>
            </w:r>
          </w:p>
        </w:tc>
        <w:tc>
          <w:tcPr>
            <w:tcW w:w="0" w:type="dxa"/>
            <w:vAlign w:val="bottom"/>
          </w:tcPr>
          <w:p>
            <w:pPr>
              <w:spacing w:after="0"/>
              <w:rPr>
                <w:sz w:val="1"/>
                <w:szCs w:val="1"/>
                <w:color w:val="auto"/>
              </w:rPr>
            </w:pPr>
          </w:p>
        </w:tc>
      </w:tr>
      <w:tr>
        <w:trPr>
          <w:trHeight w:val="174"/>
        </w:trPr>
        <w:tc>
          <w:tcPr>
            <w:tcW w:w="1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Newtek Bank</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32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9"/>
                <w:szCs w:val="9"/>
                <w:color w:val="auto"/>
              </w:rPr>
              <w:t>(5)</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85" w:lineRule="exact"/>
        <w:rPr>
          <w:sz w:val="20"/>
          <w:szCs w:val="20"/>
          <w:color w:val="auto"/>
        </w:rPr>
      </w:pPr>
    </w:p>
    <w:p>
      <w:pPr>
        <w:ind w:left="420" w:right="140" w:hanging="412"/>
        <w:spacing w:after="0" w:line="226" w:lineRule="auto"/>
        <w:tabs>
          <w:tab w:leader="none" w:pos="243"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 reported for in this column is the aggregate grant date fair value of stock awards granted to the NEOs, determined in accordance with FASB ASC Topic 718, using the valuation methodology for equity awards set forth in Note 20 - Benefit Plans included in the Company’s Annual Report on Form 10-K for the fiscal year ended December 31, 2025.</w:t>
      </w:r>
    </w:p>
    <w:p>
      <w:pPr>
        <w:ind w:left="240" w:hanging="232"/>
        <w:spacing w:after="0" w:line="220" w:lineRule="auto"/>
        <w:tabs>
          <w:tab w:leader="none" w:pos="24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Received a grant of 11,532 shares of Restricted Stock </w:t>
      </w:r>
      <w:r>
        <w:rPr>
          <w:rFonts w:ascii="Times New Roman" w:cs="Times New Roman" w:eastAsia="Times New Roman" w:hAnsi="Times New Roman"/>
          <w:sz w:val="17"/>
          <w:szCs w:val="17"/>
          <w:color w:val="auto"/>
        </w:rPr>
        <w:t>in</w:t>
      </w:r>
      <w:r>
        <w:rPr>
          <w:rFonts w:ascii="Times New Roman" w:cs="Times New Roman" w:eastAsia="Times New Roman" w:hAnsi="Times New Roman"/>
          <w:sz w:val="16"/>
          <w:szCs w:val="16"/>
          <w:color w:val="auto"/>
        </w:rPr>
        <w:t xml:space="preserve"> October 2024</w:t>
      </w:r>
      <w:r>
        <w:rPr>
          <w:rFonts w:ascii="Times New Roman" w:cs="Times New Roman" w:eastAsia="Times New Roman" w:hAnsi="Times New Roman"/>
          <w:sz w:val="17"/>
          <w:szCs w:val="17"/>
          <w:color w:val="auto"/>
        </w:rPr>
        <w:t>, that vested on</w:t>
      </w:r>
      <w:r>
        <w:rPr>
          <w:rFonts w:ascii="Times New Roman" w:cs="Times New Roman" w:eastAsia="Times New Roman" w:hAnsi="Times New Roman"/>
          <w:sz w:val="16"/>
          <w:szCs w:val="16"/>
          <w:color w:val="auto"/>
        </w:rPr>
        <w:t xml:space="preserve"> October 15, 2025.</w:t>
      </w:r>
    </w:p>
    <w:p>
      <w:pPr>
        <w:spacing w:after="0" w:line="4"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Downs was appointed President of Newtek Bank, effective April 22, 2025; was formerly Chief Lending Officer.</w:t>
      </w:r>
    </w:p>
    <w:p>
      <w:pPr>
        <w:ind w:left="420" w:right="240" w:hanging="412"/>
        <w:spacing w:after="0" w:line="220" w:lineRule="auto"/>
        <w:tabs>
          <w:tab w:leader="none" w:pos="243"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shares of Restricted Stock in July 2024, that vested on July 15, 2025; and 10,297 shares of Restricted Stock in October 2024, that vested on October 15, 2025.</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Discretionary cash bonus, paid in the period disclosed.</w:t>
      </w:r>
    </w:p>
    <w:p>
      <w:pPr>
        <w:ind w:left="420" w:right="240" w:hanging="412"/>
        <w:spacing w:after="0" w:line="220" w:lineRule="auto"/>
        <w:tabs>
          <w:tab w:leader="none" w:pos="243"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9,944 shares of Restricted Stock in July 2024, that vested on July 15, 2025; and 11,326 shares of Restricted Stock in October 2024, that vested on October 15, 2025.</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DeMaria was named Chief Financial Officer in April 2025; prior to that was Chief Accounting Officer.</w:t>
      </w:r>
    </w:p>
    <w:p>
      <w:pPr>
        <w:ind w:left="240" w:hanging="232"/>
        <w:spacing w:after="0" w:line="191" w:lineRule="auto"/>
        <w:tabs>
          <w:tab w:leader="none" w:pos="24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19,889 shares of Restricted Stock in July 2024, vesting on July 15, 2027; 4,119 shares of Restricted Stock in October 2024, that vested on</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October 15, 2025; and 6,215 shares of Restricted Stock in July 2023, vesting on July 15, 2026</w:t>
      </w:r>
      <w:r>
        <w:rPr>
          <w:rFonts w:ascii="Times New Roman" w:cs="Times New Roman" w:eastAsia="Times New Roman" w:hAnsi="Times New Roman"/>
          <w:sz w:val="17"/>
          <w:szCs w:val="17"/>
          <w:color w:val="auto"/>
        </w:rPr>
        <w:t>.</w:t>
      </w:r>
    </w:p>
    <w:p>
      <w:pPr>
        <w:ind w:left="240" w:hanging="232"/>
        <w:spacing w:after="0" w:line="214" w:lineRule="auto"/>
        <w:tabs>
          <w:tab w:leader="none" w:pos="24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Price was Chief Financial Officer from May 2023 to April 2025; and from April 22, 2025 to December 2025, was the Chief Financial Officer of Newtek Bank.</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54"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ind w:left="420" w:right="500" w:hanging="412"/>
        <w:spacing w:after="0" w:line="225" w:lineRule="auto"/>
        <w:tabs>
          <w:tab w:leader="none" w:pos="296"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1,989 shares of Restricted Stock in July 2024, that vested on July 15, 2025; 4,119 shares of Restricted Stock in October 2024, that vested on October 15, 2025; and 18,645 shares of Restricted Stock in July 2023, vesting on July 15, 2026.</w:t>
      </w:r>
    </w:p>
    <w:p>
      <w:pPr>
        <w:ind w:left="280" w:hanging="272"/>
        <w:spacing w:after="0" w:line="197" w:lineRule="auto"/>
        <w:tabs>
          <w:tab w:leader="none" w:pos="2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resigned as Newtek Bank’s President effective April 22, 2025.</w:t>
      </w:r>
    </w:p>
    <w:p>
      <w:pPr>
        <w:ind w:left="420" w:right="260" w:hanging="412"/>
        <w:spacing w:after="0" w:line="222" w:lineRule="auto"/>
        <w:tabs>
          <w:tab w:leader="none" w:pos="296"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Received a grant of 7,955 shares of Restricted Stock in July 2024; 8,237 shares of Restricted Stock in October 2024; and 9,416 shares of Restricted Stock in August 2022, each of which was forfeited upon his separation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Grants of Plan-Based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plan-based awards to our NEOs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at 2025 Year End</w:t>
      </w:r>
    </w:p>
    <w:p>
      <w:pPr>
        <w:spacing w:after="0" w:line="14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There were outstanding equity awards representing 298,890 sh</w:t>
      </w:r>
      <w:r>
        <w:rPr>
          <w:rFonts w:ascii="Times New Roman" w:cs="Times New Roman" w:eastAsia="Times New Roman" w:hAnsi="Times New Roman"/>
          <w:sz w:val="16"/>
          <w:szCs w:val="16"/>
          <w:color w:val="auto"/>
        </w:rPr>
        <w:t>ares of R</w:t>
      </w:r>
      <w:r>
        <w:rPr>
          <w:rFonts w:ascii="Times New Roman" w:cs="Times New Roman" w:eastAsia="Times New Roman" w:hAnsi="Times New Roman"/>
          <w:sz w:val="18"/>
          <w:szCs w:val="18"/>
          <w:color w:val="auto"/>
        </w:rPr>
        <w:t>estricted Stock as of December 31, 2025, including dividends paid on the outstanding equity awards in the form of additional shares of Restricted Stock, of which 103,755 were held by our NEOs.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option awards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shares of Restricted Stock held by our 2025 NEOs as of December 31,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Market Value of</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192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of Stock</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vMerge w:val="restart"/>
          </w:tcPr>
          <w:p>
            <w:pPr>
              <w:spacing w:after="0"/>
              <w:rPr>
                <w:sz w:val="14"/>
                <w:szCs w:val="14"/>
                <w:color w:val="auto"/>
              </w:rPr>
            </w:pPr>
          </w:p>
        </w:tc>
        <w:tc>
          <w:tcPr>
            <w:tcW w:w="1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 Vested</w:t>
            </w:r>
          </w:p>
        </w:tc>
        <w:tc>
          <w:tcPr>
            <w:tcW w:w="1920" w:type="dxa"/>
            <w:vAlign w:val="bottom"/>
            <w:gridSpan w:val="3"/>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 Vested</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636"/>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9"/>
                <w:szCs w:val="9"/>
                <w:b w:val="1"/>
                <w:bCs w:val="1"/>
                <w:color w:val="auto"/>
                <w:w w:val="99"/>
              </w:rPr>
              <w:t>(1)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(2)</w:t>
            </w:r>
          </w:p>
        </w:tc>
        <w:tc>
          <w:tcPr>
            <w:tcW w:w="17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73,703</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836,529</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Downs</w:t>
            </w:r>
          </w:p>
        </w:tc>
        <w:tc>
          <w:tcPr>
            <w:tcW w:w="19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A Schwartz</w:t>
            </w:r>
          </w:p>
        </w:tc>
        <w:tc>
          <w:tcPr>
            <w:tcW w:w="19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DeMaria</w:t>
            </w:r>
            <w:r>
              <w:rPr>
                <w:rFonts w:ascii="Times New Roman" w:cs="Times New Roman" w:eastAsia="Times New Roman" w:hAnsi="Times New Roman"/>
                <w:sz w:val="23"/>
                <w:szCs w:val="23"/>
                <w:color w:val="auto"/>
                <w:vertAlign w:val="superscript"/>
              </w:rPr>
              <w:t>(3)</w:t>
            </w:r>
          </w:p>
        </w:tc>
        <w:tc>
          <w:tcPr>
            <w:tcW w:w="17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30,052</w:t>
            </w:r>
          </w:p>
        </w:tc>
        <w:tc>
          <w:tcPr>
            <w:tcW w:w="180" w:type="dxa"/>
            <w:vAlign w:val="bottom"/>
          </w:tcPr>
          <w:p>
            <w:pPr>
              <w:spacing w:after="0"/>
              <w:rPr>
                <w:sz w:val="23"/>
                <w:szCs w:val="23"/>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341,090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2025 NEOs</w:t>
            </w:r>
          </w:p>
        </w:tc>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 Scott Price</w:t>
            </w:r>
            <w:r>
              <w:rPr>
                <w:rFonts w:ascii="Times New Roman" w:cs="Times New Roman" w:eastAsia="Times New Roman" w:hAnsi="Times New Roman"/>
                <w:sz w:val="23"/>
                <w:szCs w:val="23"/>
                <w:color w:val="auto"/>
                <w:vertAlign w:val="superscript"/>
              </w:rPr>
              <w:t>(4)</w:t>
            </w:r>
          </w:p>
        </w:tc>
        <w:tc>
          <w:tcPr>
            <w:tcW w:w="19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(5)</w:t>
            </w:r>
          </w:p>
        </w:tc>
        <w:tc>
          <w:tcPr>
            <w:tcW w:w="19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68" w:lineRule="exact"/>
        <w:rPr>
          <w:sz w:val="20"/>
          <w:szCs w:val="20"/>
          <w:color w:val="auto"/>
        </w:rPr>
      </w:pPr>
    </w:p>
    <w:p>
      <w:pPr>
        <w:ind w:left="240" w:hanging="232"/>
        <w:spacing w:after="0"/>
        <w:tabs>
          <w:tab w:leader="none" w:pos="24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closing price of our Common Shares of $11.35 on December 31, 2025.</w:t>
      </w:r>
    </w:p>
    <w:p>
      <w:pPr>
        <w:spacing w:after="0" w:line="10" w:lineRule="exact"/>
        <w:rPr>
          <w:rFonts w:ascii="Times New Roman" w:cs="Times New Roman" w:eastAsia="Times New Roman" w:hAnsi="Times New Roman"/>
          <w:sz w:val="21"/>
          <w:szCs w:val="21"/>
          <w:color w:val="auto"/>
          <w:vertAlign w:val="superscript"/>
        </w:rPr>
      </w:pPr>
    </w:p>
    <w:p>
      <w:pPr>
        <w:ind w:left="180" w:right="4060" w:hanging="172"/>
        <w:spacing w:after="0" w:line="215" w:lineRule="auto"/>
        <w:tabs>
          <w:tab w:leader="none" w:pos="24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received 61,652 shares of Restricted Stock granted in December 2022, plus accrued dividends, which vested on January 15, 2026.</w:t>
      </w:r>
    </w:p>
    <w:p>
      <w:pPr>
        <w:ind w:left="440" w:right="240" w:hanging="432"/>
        <w:spacing w:after="0" w:line="218" w:lineRule="auto"/>
        <w:tabs>
          <w:tab w:leader="none" w:pos="236"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DeMaria received 6,215 shares of Restricted Stock granted in July 2023, plus accrued dividends, vesting on July 15, 2026; and 19,889 shares of Restricted Stock granted in July 2024, plus accrued dividends, vesting on July 15, 2027.</w:t>
      </w:r>
    </w:p>
    <w:p>
      <w:pPr>
        <w:spacing w:after="0" w:line="1"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Price ceased being an NEO in April 2025.</w:t>
      </w:r>
    </w:p>
    <w:p>
      <w:pPr>
        <w:spacing w:after="0" w:line="10" w:lineRule="exact"/>
        <w:rPr>
          <w:rFonts w:ascii="Times New Roman" w:cs="Times New Roman" w:eastAsia="Times New Roman" w:hAnsi="Times New Roman"/>
          <w:sz w:val="21"/>
          <w:szCs w:val="21"/>
          <w:color w:val="auto"/>
          <w:vertAlign w:val="superscript"/>
        </w:rPr>
      </w:pPr>
    </w:p>
    <w:p>
      <w:pPr>
        <w:ind w:left="240" w:hanging="232"/>
        <w:spacing w:after="0" w:line="191" w:lineRule="auto"/>
        <w:tabs>
          <w:tab w:leader="none" w:pos="24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resigned as Newtek Bank’s President effective April 22, 2025.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Options Exercised and Stock Vested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options were exercised in 2025. The number of shares of Restricted Stock held by the NEOs that vested in the fiscal year ended December 31, 2025 are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2" w:right="399" w:bottom="1440" w:gutter="0" w:footer="0" w:header="0"/>
        </w:sectPr>
      </w:pPr>
    </w:p>
    <w:bookmarkStart w:id="36" w:name="page37"/>
    <w:bookmarkEnd w:id="36"/>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4"/>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Value realized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3"/>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Value realized on vesting</w:t>
            </w:r>
          </w:p>
        </w:tc>
        <w:tc>
          <w:tcPr>
            <w:tcW w:w="0" w:type="dxa"/>
            <w:vAlign w:val="bottom"/>
          </w:tcPr>
          <w:p>
            <w:pPr>
              <w:spacing w:after="0"/>
              <w:rPr>
                <w:sz w:val="1"/>
                <w:szCs w:val="1"/>
                <w:color w:val="auto"/>
              </w:rPr>
            </w:pPr>
          </w:p>
        </w:tc>
      </w:tr>
      <w:tr>
        <w:trPr>
          <w:trHeight w:val="162"/>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0" w:type="dxa"/>
            <w:vAlign w:val="bottom"/>
          </w:tcPr>
          <w:p>
            <w:pPr>
              <w:jc w:val="center"/>
              <w:ind w:left="479"/>
              <w:spacing w:after="0" w:line="162" w:lineRule="exact"/>
              <w:rPr>
                <w:sz w:val="20"/>
                <w:szCs w:val="20"/>
                <w:color w:val="auto"/>
              </w:rPr>
            </w:pPr>
            <w:r>
              <w:rPr>
                <w:rFonts w:ascii="Times New Roman" w:cs="Times New Roman" w:eastAsia="Times New Roman" w:hAnsi="Times New Roman"/>
                <w:sz w:val="16"/>
                <w:szCs w:val="16"/>
                <w:b w:val="1"/>
                <w:bCs w:val="1"/>
                <w:color w:val="auto"/>
              </w:rPr>
              <w:t>on exercise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exercise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left="519"/>
              <w:spacing w:after="0" w:line="162" w:lineRule="exact"/>
              <w:rPr>
                <w:sz w:val="20"/>
                <w:szCs w:val="20"/>
                <w:color w:val="auto"/>
              </w:rPr>
            </w:pPr>
            <w:r>
              <w:rPr>
                <w:rFonts w:ascii="Times New Roman" w:cs="Times New Roman" w:eastAsia="Times New Roman" w:hAnsi="Times New Roman"/>
                <w:sz w:val="16"/>
                <w:szCs w:val="16"/>
                <w:b w:val="1"/>
                <w:bCs w:val="1"/>
                <w:color w:val="auto"/>
              </w:rPr>
              <w:t>on vesting</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continue"/>
          </w:tcPr>
          <w:p>
            <w:pPr>
              <w:spacing w:after="0"/>
              <w:rPr>
                <w:sz w:val="18"/>
                <w:szCs w:val="18"/>
                <w:color w:val="auto"/>
              </w:rPr>
            </w:pPr>
          </w:p>
        </w:tc>
        <w:tc>
          <w:tcPr>
            <w:tcW w:w="140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0" w:type="dxa"/>
            <w:vAlign w:val="bottom"/>
            <w:gridSpan w:val="3"/>
          </w:tcPr>
          <w:p>
            <w:pPr>
              <w:jc w:val="center"/>
              <w:ind w:left="991"/>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900" w:type="dxa"/>
            <w:vAlign w:val="bottom"/>
          </w:tcPr>
          <w:p>
            <w:pPr>
              <w:jc w:val="right"/>
              <w:ind w:right="656"/>
              <w:spacing w:after="0" w:line="216" w:lineRule="exact"/>
              <w:rPr>
                <w:sz w:val="20"/>
                <w:szCs w:val="20"/>
                <w:color w:val="auto"/>
              </w:rPr>
            </w:pPr>
            <w:r>
              <w:rPr>
                <w:rFonts w:ascii="Times New Roman" w:cs="Times New Roman" w:eastAsia="Times New Roman" w:hAnsi="Times New Roman"/>
                <w:sz w:val="25"/>
                <w:szCs w:val="25"/>
                <w:b w:val="1"/>
                <w:bCs w:val="1"/>
                <w:color w:val="auto"/>
                <w:w w:val="86"/>
                <w:vertAlign w:val="subscript"/>
              </w:rPr>
              <w:t>)</w:t>
            </w:r>
            <w:r>
              <w:rPr>
                <w:rFonts w:ascii="Times New Roman" w:cs="Times New Roman" w:eastAsia="Times New Roman" w:hAnsi="Times New Roman"/>
                <w:sz w:val="9"/>
                <w:szCs w:val="9"/>
                <w:b w:val="1"/>
                <w:bCs w:val="1"/>
                <w:color w:val="auto"/>
                <w:w w:val="86"/>
              </w:rPr>
              <w:t>(7)</w:t>
            </w:r>
          </w:p>
        </w:tc>
        <w:tc>
          <w:tcPr>
            <w:tcW w:w="0" w:type="dxa"/>
            <w:vAlign w:val="bottom"/>
          </w:tcPr>
          <w:p>
            <w:pPr>
              <w:spacing w:after="0"/>
              <w:rPr>
                <w:sz w:val="1"/>
                <w:szCs w:val="1"/>
                <w:color w:val="auto"/>
              </w:rPr>
            </w:pPr>
          </w:p>
        </w:tc>
      </w:tr>
      <w:tr>
        <w:trPr>
          <w:trHeight w:val="223"/>
        </w:trPr>
        <w:tc>
          <w:tcPr>
            <w:tcW w:w="28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850,788</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(2)</w:t>
            </w:r>
          </w:p>
        </w:tc>
        <w:tc>
          <w:tcPr>
            <w:tcW w:w="1400" w:type="dxa"/>
            <w:vAlign w:val="bottom"/>
          </w:tcPr>
          <w:p>
            <w:pPr>
              <w:spacing w:after="0"/>
              <w:rPr>
                <w:sz w:val="19"/>
                <w:szCs w:val="19"/>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43,890</w:t>
            </w: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511,664</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A. Schwartz</w:t>
            </w:r>
            <w:r>
              <w:rPr>
                <w:rFonts w:ascii="Times New Roman" w:cs="Times New Roman" w:eastAsia="Times New Roman" w:hAnsi="Times New Roman"/>
                <w:sz w:val="23"/>
                <w:szCs w:val="23"/>
                <w:color w:val="auto"/>
                <w:vertAlign w:val="superscript"/>
              </w:rPr>
              <w:t>(3)</w:t>
            </w:r>
          </w:p>
        </w:tc>
        <w:tc>
          <w:tcPr>
            <w:tcW w:w="1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470,186</w:t>
            </w: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Frank DeMaria</w:t>
            </w:r>
            <w:r>
              <w:rPr>
                <w:rFonts w:ascii="Times New Roman" w:cs="Times New Roman" w:eastAsia="Times New Roman" w:hAnsi="Times New Roman"/>
                <w:sz w:val="23"/>
                <w:szCs w:val="23"/>
                <w:color w:val="auto"/>
                <w:vertAlign w:val="superscript"/>
              </w:rPr>
              <w:t>(4)</w:t>
            </w:r>
          </w:p>
        </w:tc>
        <w:tc>
          <w:tcPr>
            <w:tcW w:w="1400" w:type="dxa"/>
            <w:vAlign w:val="bottom"/>
          </w:tcPr>
          <w:p>
            <w:pPr>
              <w:spacing w:after="0"/>
              <w:rPr>
                <w:sz w:val="19"/>
                <w:szCs w:val="19"/>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Former 2025 NEOs</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M. Scott Price</w:t>
            </w:r>
            <w:r>
              <w:rPr>
                <w:rFonts w:ascii="Times New Roman" w:cs="Times New Roman" w:eastAsia="Times New Roman" w:hAnsi="Times New Roman"/>
                <w:sz w:val="23"/>
                <w:szCs w:val="23"/>
                <w:color w:val="auto"/>
                <w:vertAlign w:val="superscript"/>
              </w:rPr>
              <w:t>(5)</w:t>
            </w:r>
          </w:p>
        </w:tc>
        <w:tc>
          <w:tcPr>
            <w:tcW w:w="1400" w:type="dxa"/>
            <w:vAlign w:val="bottom"/>
          </w:tcPr>
          <w:p>
            <w:pPr>
              <w:spacing w:after="0"/>
              <w:rPr>
                <w:sz w:val="19"/>
                <w:szCs w:val="19"/>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72,988</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23"/>
                <w:szCs w:val="23"/>
                <w:color w:val="auto"/>
                <w:vertAlign w:val="superscript"/>
              </w:rPr>
              <w:t>(6)</w:t>
            </w:r>
          </w:p>
        </w:tc>
        <w:tc>
          <w:tcPr>
            <w:tcW w:w="14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____________</w:t>
      </w:r>
    </w:p>
    <w:p>
      <w:pPr>
        <w:spacing w:after="0" w:line="199" w:lineRule="exact"/>
        <w:rPr>
          <w:sz w:val="20"/>
          <w:szCs w:val="20"/>
          <w:color w:val="auto"/>
        </w:rPr>
      </w:pPr>
    </w:p>
    <w:p>
      <w:pPr>
        <w:ind w:left="440" w:right="60" w:hanging="432"/>
        <w:spacing w:after="0" w:line="225" w:lineRule="auto"/>
        <w:tabs>
          <w:tab w:leader="none" w:pos="319"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Sloane received Restricted Stock awards of 47,081 Common Shares in August 2022, plus accrued dividends, that vested on August 15, 2025; and 11,532 Common Shares in October 2024, plus accrued dividends, that vested on October 15, 2025.</w:t>
      </w:r>
    </w:p>
    <w:p>
      <w:pPr>
        <w:ind w:left="420" w:right="380" w:hanging="412"/>
        <w:spacing w:after="0" w:line="228" w:lineRule="auto"/>
        <w:tabs>
          <w:tab w:leader="none" w:pos="326"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Downs received Restricted Stock awards of 17,655 Common Shares in August 2022, plus accrued dividends, that vested on August 15, 2025; 9,944 Common Shares in July 2024, plus accrued dividends, that vested on July 15, 2025; and 10,297 Common Shares in October 2024, plus accrued dividends, that vested on October 15, 2025.</w:t>
      </w:r>
    </w:p>
    <w:p>
      <w:pPr>
        <w:spacing w:after="0" w:line="1" w:lineRule="exact"/>
        <w:rPr>
          <w:rFonts w:ascii="Times New Roman" w:cs="Times New Roman" w:eastAsia="Times New Roman" w:hAnsi="Times New Roman"/>
          <w:sz w:val="21"/>
          <w:szCs w:val="21"/>
          <w:color w:val="auto"/>
          <w:vertAlign w:val="superscript"/>
        </w:rPr>
      </w:pPr>
    </w:p>
    <w:p>
      <w:pPr>
        <w:ind w:left="420" w:right="260" w:hanging="412"/>
        <w:spacing w:after="0" w:line="232" w:lineRule="auto"/>
        <w:tabs>
          <w:tab w:leader="none" w:pos="3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Schwartz received Restricted Stock awards of 14,124 Common Shares in August 2022, plus accrued dividends, that vested on August 15, 2025; 9,944 Common Shares in July 2024, plus accrued dividends, that vested on July 15, 2025; and 11,326 Common Shares in October 2024, plus accrued dividends, that vested on October 15, 2025.</w:t>
      </w:r>
    </w:p>
    <w:p>
      <w:pPr>
        <w:spacing w:after="0" w:line="1" w:lineRule="exact"/>
        <w:rPr>
          <w:rFonts w:ascii="Times New Roman" w:cs="Times New Roman" w:eastAsia="Times New Roman" w:hAnsi="Times New Roman"/>
          <w:sz w:val="21"/>
          <w:szCs w:val="21"/>
          <w:color w:val="auto"/>
          <w:vertAlign w:val="superscript"/>
        </w:rPr>
      </w:pPr>
    </w:p>
    <w:p>
      <w:pPr>
        <w:ind w:left="300" w:hanging="292"/>
        <w:spacing w:after="0" w:line="187" w:lineRule="auto"/>
        <w:tabs>
          <w:tab w:leader="none" w:pos="3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DeMaria received a Restricted Stock award of 4,119 Common Shares in October 2024, plus accrued dividends, that vested on October 15, 2025.</w:t>
      </w:r>
    </w:p>
    <w:p>
      <w:pPr>
        <w:ind w:left="420" w:right="100" w:hanging="412"/>
        <w:spacing w:after="0" w:line="220" w:lineRule="auto"/>
        <w:tabs>
          <w:tab w:leader="none" w:pos="3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Price received Restricted Stock awards of 1,989 Common Shares in July 2024, plus accrued dividends, that vested on July 15, 2025; and 4,119 Common Shares in October 2024, plus accrued dividends, that vested on October 15, 2025.</w:t>
      </w:r>
    </w:p>
    <w:p>
      <w:pPr>
        <w:spacing w:after="0" w:line="1" w:lineRule="exact"/>
        <w:rPr>
          <w:rFonts w:ascii="Times New Roman" w:cs="Times New Roman" w:eastAsia="Times New Roman" w:hAnsi="Times New Roman"/>
          <w:sz w:val="21"/>
          <w:szCs w:val="21"/>
          <w:color w:val="auto"/>
          <w:vertAlign w:val="superscript"/>
        </w:rPr>
      </w:pPr>
    </w:p>
    <w:p>
      <w:pPr>
        <w:ind w:left="420" w:right="180" w:hanging="412"/>
        <w:spacing w:after="0" w:line="215" w:lineRule="auto"/>
        <w:tabs>
          <w:tab w:leader="none" w:pos="3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Young received an award of 7,955 Restricted Stock in July 2024 and 8,237 Restricted Stock in October 2024, each of which were forfeited upon his separation in 2025.</w:t>
      </w:r>
    </w:p>
    <w:p>
      <w:pPr>
        <w:ind w:left="260" w:hanging="252"/>
        <w:spacing w:after="0" w:line="201" w:lineRule="auto"/>
        <w:tabs>
          <w:tab w:leader="none" w:pos="2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closing price of our Common Shares of $11.38, $12.11 and $11.02 on July 15, 2025, August 15, 2025 and October 15, 2025,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entered into individual employment agreements with the following NEOs during 2025 (each, a “2025 Employment Agreement” and collectively, the “2025 Employment Agreements”):</w:t>
      </w:r>
    </w:p>
    <w:p>
      <w:pPr>
        <w:spacing w:after="0" w:line="94" w:lineRule="exact"/>
        <w:rPr>
          <w:sz w:val="20"/>
          <w:szCs w:val="20"/>
          <w:color w:val="auto"/>
        </w:rPr>
      </w:pPr>
    </w:p>
    <w:p>
      <w:pPr>
        <w:ind w:left="680" w:hanging="24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Sloane, as Chairman, Chief Executive Officer and President;</w:t>
      </w:r>
    </w:p>
    <w:p>
      <w:pPr>
        <w:spacing w:after="0" w:line="144"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Downs, as President of Newtek Bank;</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Schwartz, as Chief Legal Officer and Corporate Secretary; and</w:t>
      </w:r>
    </w:p>
    <w:p>
      <w:pPr>
        <w:spacing w:after="0" w:line="157" w:lineRule="exact"/>
        <w:rPr>
          <w:rFonts w:ascii="Times New Roman" w:cs="Times New Roman" w:eastAsia="Times New Roman" w:hAnsi="Times New Roman"/>
          <w:sz w:val="18"/>
          <w:szCs w:val="18"/>
          <w:color w:val="auto"/>
        </w:rPr>
      </w:pPr>
    </w:p>
    <w:p>
      <w:pPr>
        <w:ind w:left="680" w:hanging="240"/>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 DeMaria, as Chief Financial Officer.</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under the 2025 Employment Agreements, Messrs. Sloane, DeMaria, Downs and Schwartz were entitled to a set base compensation, cash bonuses pursuant to the Company’s annual cash bonus plan or by the action of the Board of Directors, and equity incentive compensation at the discretion of the Nominating Committee. In addition, Messrs. Sloane, DeMaria, Downs, Schwartz and Price were entitled to other benefits, such as participation in retirement and medical and other plans, executive benefits, and paid time off available to all employees of the Company. The 2025 Employment Agreements also provided for severance payments in the case of termination without just cause, as defined therein, or of resignation with good reason, as defined therein, and, in the cases of Messrs. Sloane, Downs and Schwartz, payment if their 2025 Employment Agreements were not renewed for other than just cause, as described in greater detail below. Under the 2025 Employment Agreements, during the term of their employment, Messrs. Sloane, DeMaria, Downs and Schwartz agreed to devote substantially all of their business time to the Company and to not engage in any business or activity contrary to the business or affairs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Company. The Company agreed to indemnify Messrs. Sloane, DeMaria, Downs and Schwartz for any and all loss, expenses, or liability that he may incur as a result of their services for the Company to the extent permitted by the Company’s Bylaws.</w:t>
      </w:r>
    </w:p>
    <w:p>
      <w:pPr>
        <w:spacing w:after="0" w:line="8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January 1, 2025, the Company and Mr. Sloane entered into an amendment to Mr. Sloane’s 2024 employment agreement, pursuant to which Mr. Sloane’s annual base compensation was increased to $1.0 million and the term of the 2024 employment agreement was extended through March 31, 2026. The other terms and conditions of Mr. Sloane’s 2024 employment agreement were unchanged, including at least one annual salary review by the Board of Directors; participation in any discretionary bonus plan established for senior executives; and retirement and medical plans, customary fringe benefits, paid time off and sick leave. On April 1, 2026, Mr. Sloanes’s 2025 Employment Agreement was renewed for a 12 month term, with no changes to the terms and conditions of his 2025 Employment Agreement.</w:t>
      </w:r>
    </w:p>
    <w:p>
      <w:pPr>
        <w:spacing w:after="0" w:line="1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Effective as of April 22, 2025, Mr. Downs entered into an employment agreement with Newtek Bank pursuant to which he serves as President, for a term through March 31, 2026, at an annual base salary of $750,000. Mr. Downs’ 2025 Employment Agreement also provided for at least one annual salary review by the Board of Directors; participation in any discretionary bonus plan established for senior executives; and retirement and medical plans, customary fringe benefits, paid time off and sick leave. On April 1, 2026, Mr. Down’s 2025 Employment Agreement was renewed for a 12 month term, and provides for a Non-renewal Payment equal to one year of base compensation; the other terms and conditions of the Mr. Downs 2025 Employment Agreement were unchanged.</w:t>
      </w:r>
    </w:p>
    <w:p>
      <w:pPr>
        <w:spacing w:after="0" w:line="363"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color w:val="auto"/>
        </w:rPr>
        <w:t>Mr. Schwartz’s 2025 Employment Agreement provided for a twelve-month term through March 31, 2026 at an annual base salary of $625,000; at least one annual salary review by the Board of Directors; participation in any discretionary bonus plan established for senior executives; and retirement and medical plans, customary fringe benefits, paid time off and sick leave. On April 1, 2026, Mr. Schwartz’ 2025 Employment Agreement was renewed for a</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12 month term, and provides for a Non-renewal Payment equal to one year of base compensation; the other terms and conditions of the Mr. Schwartz’ 2025 Employment Agreement were unchanged.</w:t>
      </w:r>
    </w:p>
    <w:p>
      <w:pPr>
        <w:spacing w:after="0" w:line="2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Mr. DeMaria entered into an employment agreement as of April 22, 2025, to serve as the Company’s Chief Financial Officer, for a term through March 31, 2026, at an annual base salary of $433,000; at least one annual salary review by the Board of Directors; participation in any discretionary bonus plan established for senior executives; and retirement and medical plans, customary fringe benefits, paid time off and sick leave. On April 1, 2026, Mr. DeMaria’s 2025 Employment Agreement was renewed for a 12 month term, and provides for a Non-renewal Payment equal to one year of base compensation; the other terms and conditions of the Mr. DeMaria’s 2025 Employment Agreement were unchanged.</w:t>
      </w:r>
    </w:p>
    <w:p>
      <w:pPr>
        <w:spacing w:after="0" w:line="1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Each 2025 Employment Agreement contained a non-competition provision that required Messrs. Sloane, DeMaria, Schwartz and Downs to devote substantially their full business time and efforts to the performance of their duties under their 2025 Employment Agreements. Messrs. Sloane, DeMaria, Schwartz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Change of Control, Non-renewal or Termination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Mr. Sloane’s 2025 Employment Agreement provided for a payment in the event of non-renewal of his employment in an amount equal to one (1) times the sum of his annual base compensation in effect at the time of termination plus any cash bonus paid with respect to the preceding fiscal year, or in the case of a change of control or termination other than for just cause, an amount equal to two (2) times the sum of the his annual base salary in effect at the time of termination, plus the amount of any cash bonus paid with respect to the immediately preceding fiscal year. In addition, in the case of termination other than for just cause, all outstanding and unvested equity awards were to be accelerated in full.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Downs’ and Schwartz’ 2025 Employment Agreements provided for a payment in the case of: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termination other than for just cause, equal to one (1) times the sum of their current annual base compensation plus any cash bonuses paid with respect to the immediately preceding fiscal year; and (ii) non-renewal of their employment agreements, amounts equal to 50% of the sum of their respective current annual base compensation plus any cash bonus paid with respect to the immediately preceding fiscal year. In addition, Messrs. Downs and Schwartz entered into change in control agreements with the Company, which provide for severance payments in the event of a termination following a change in control, equal to 1.15 times their respective annual base compensation in effect at the time of termination plus any cash bonus paid with respect to the immediately preceding fiscal year. In addition, in the case of termination other than for cause, or non-renewal or change in control, all outstanding and unvested equity awards are to be accelerated in full.</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Mr. DeMaria entered into change in control agreement with the Company, which provides for severance payment in the event of a termination following a change in control equal to 1.15 times his annual base compensation in effect at the time of termination. In addition, in the case of termination other than for cause, or non-renewal or change in control, his 2025 Employment Agreement provided that all outstanding and unvested equity awards were to be accelerated in full. In addition, Mr. DeMaria’s 2025 Employment Agreement provided for a payment in the case of termination other than for just cause, equal to .50 times his current annual base compensation in effect at the time of termination.</w:t>
      </w:r>
    </w:p>
    <w:p>
      <w:pPr>
        <w:spacing w:after="0" w:line="1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each of the 2025 Employment Agreements, the Company could terminate Messrs. Sloane’s, DeMaria’s, Schwartz’ or Downs’ employment for “just cause” as defined in the respective 2025 Employment Agreement, and upon the termination, no severance benefits are available. If Messrs. Sloane, DeMaria, Schwartz or Downs voluntarily terminated his 2025 Employment Agreement for “good reason” as defined in their 2025 Employment Agreements, the executive would have been entitled to the same payment as in the case of termination other than for cause. If the executive’s employment terminated during the term of the agreement due to death or disability, the executive would receive his compensation and executive benefits up to the date of executive’s last day of employment, and all outstanding and unvested equity awards were to be accelerated in full. The executive is able to terminate voluntarily his agreement by providing prior written notice to the Board of Directors, in which case the executive is entitled to receive only his compensation, vested rights and benefits up to the date of termination.</w:t>
      </w:r>
    </w:p>
    <w:p>
      <w:pPr>
        <w:spacing w:after="0" w:line="12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2026 employment agreements with Mr. Downs, Mr. Schwartz and Mr. DeMaria provide for a Non-renewal Payment equal to one year of base compensation if the respective 2026 employment agreements are not renewed.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Termination Payments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table below reflects the amount of compensation that would have been payable to the 2025 NEOs under the 2025 Employment Agreements if the hypothetical termination of employment events described above had occurred on December 31, 2025, given their compensation and service levels as of such date. All payments are payable by the Company in a lump sum unless otherwise noted.</w:t>
      </w:r>
    </w:p>
    <w:p>
      <w:pPr>
        <w:spacing w:after="0" w:line="9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 Therefore, the actual amounts that would be paid upon Mr. Sloane’s termination of employment can be determined only at the time of his separation from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Post Termination Payments</w:t>
            </w:r>
          </w:p>
        </w:tc>
        <w:tc>
          <w:tcPr>
            <w:tcW w:w="2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1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0" w:type="dxa"/>
            <w:vAlign w:val="bottom"/>
          </w:tcPr>
          <w:p>
            <w:pPr>
              <w:spacing w:after="0"/>
              <w:rPr>
                <w:sz w:val="18"/>
                <w:szCs w:val="18"/>
                <w:color w:val="auto"/>
              </w:rPr>
            </w:pP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 Control</w:t>
            </w:r>
          </w:p>
        </w:tc>
        <w:tc>
          <w:tcPr>
            <w:tcW w:w="220" w:type="dxa"/>
            <w:vAlign w:val="bottom"/>
          </w:tcPr>
          <w:p>
            <w:pPr>
              <w:spacing w:after="0"/>
              <w:rPr>
                <w:sz w:val="18"/>
                <w:szCs w:val="18"/>
                <w:color w:val="auto"/>
              </w:rPr>
            </w:pPr>
          </w:p>
        </w:tc>
        <w:tc>
          <w:tcPr>
            <w:tcW w:w="244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Non-Renewal</w:t>
            </w:r>
          </w:p>
        </w:tc>
        <w:tc>
          <w:tcPr>
            <w:tcW w:w="260" w:type="dxa"/>
            <w:vAlign w:val="bottom"/>
          </w:tcPr>
          <w:p>
            <w:pPr>
              <w:spacing w:after="0"/>
              <w:rPr>
                <w:sz w:val="18"/>
                <w:szCs w:val="18"/>
                <w:color w:val="auto"/>
              </w:rPr>
            </w:pP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Termination without cause</w:t>
            </w:r>
          </w:p>
        </w:tc>
      </w:tr>
      <w:tr>
        <w:trPr>
          <w:trHeight w:val="225"/>
        </w:trPr>
        <w:tc>
          <w:tcPr>
            <w:tcW w:w="3040" w:type="dxa"/>
            <w:vAlign w:val="bottom"/>
            <w:tcBorders>
              <w:top w:val="single" w:sz="8" w:color="auto"/>
            </w:tcBorders>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2,836,529</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1,836,529</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2,836,529</w:t>
            </w:r>
          </w:p>
        </w:tc>
      </w:tr>
      <w:tr>
        <w:trPr>
          <w:trHeight w:val="229"/>
        </w:trPr>
        <w:tc>
          <w:tcPr>
            <w:tcW w:w="32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3"/>
                <w:szCs w:val="23"/>
                <w:color w:val="auto"/>
                <w:vertAlign w:val="superscript"/>
              </w:rPr>
              <w:t>(2)(3)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0"/>
        </w:trPr>
        <w:tc>
          <w:tcPr>
            <w:tcW w:w="3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3"/>
                <w:szCs w:val="23"/>
                <w:color w:val="auto"/>
                <w:vertAlign w:val="superscript"/>
              </w:rPr>
              <w:t>(2)(3)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775,000</w:t>
            </w:r>
          </w:p>
        </w:tc>
      </w:tr>
      <w:tr>
        <w:trPr>
          <w:trHeight w:val="312"/>
        </w:trPr>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Frank DeMaria</w:t>
            </w:r>
            <w:r>
              <w:rPr>
                <w:rFonts w:ascii="Times New Roman" w:cs="Times New Roman" w:eastAsia="Times New Roman" w:hAnsi="Times New Roman"/>
                <w:sz w:val="23"/>
                <w:szCs w:val="23"/>
                <w:color w:val="auto"/>
                <w:vertAlign w:val="superscript"/>
              </w:rPr>
              <w:t>(4)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497,950</w:t>
            </w:r>
          </w:p>
        </w:tc>
        <w:tc>
          <w:tcPr>
            <w:tcW w:w="1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660" w:right="800" w:hanging="328"/>
        <w:spacing w:after="0" w:line="225" w:lineRule="auto"/>
        <w:tabs>
          <w:tab w:leader="none" w:pos="64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event of the termination without cause or non-renewal, NEO would receive the first $500,000 of the payment in a lump sum within 30 days after termination, with the remaining amount of the payment paid in equal installments over a six month period following non-renewal or termination.</w:t>
      </w:r>
    </w:p>
    <w:p>
      <w:pPr>
        <w:ind w:left="660" w:right="400" w:hanging="328"/>
        <w:spacing w:after="0" w:line="220" w:lineRule="auto"/>
        <w:tabs>
          <w:tab w:leader="none" w:pos="64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event of termination without cause, NEO would receive the termination without cause payment in equal installments over a 12 month period following termination of employment.</w:t>
      </w:r>
    </w:p>
    <w:p>
      <w:pPr>
        <w:spacing w:after="0" w:line="1" w:lineRule="exact"/>
        <w:rPr>
          <w:rFonts w:ascii="Times New Roman" w:cs="Times New Roman" w:eastAsia="Times New Roman" w:hAnsi="Times New Roman"/>
          <w:sz w:val="21"/>
          <w:szCs w:val="21"/>
          <w:color w:val="auto"/>
          <w:vertAlign w:val="superscript"/>
        </w:rPr>
      </w:pPr>
    </w:p>
    <w:p>
      <w:pPr>
        <w:ind w:left="660" w:right="200" w:hanging="328"/>
        <w:spacing w:after="0" w:line="218" w:lineRule="auto"/>
        <w:tabs>
          <w:tab w:leader="none" w:pos="64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event of the non-renewal of NEO’s employment agreement, NEO would receive the non-renewal payment in equal installments over the six month period following the non-renewal of the employment agreement.</w:t>
      </w:r>
    </w:p>
    <w:p>
      <w:pPr>
        <w:spacing w:after="0" w:line="1" w:lineRule="exact"/>
        <w:rPr>
          <w:rFonts w:ascii="Times New Roman" w:cs="Times New Roman" w:eastAsia="Times New Roman" w:hAnsi="Times New Roman"/>
          <w:sz w:val="21"/>
          <w:szCs w:val="21"/>
          <w:color w:val="auto"/>
          <w:vertAlign w:val="superscript"/>
        </w:rPr>
      </w:pPr>
    </w:p>
    <w:p>
      <w:pPr>
        <w:ind w:left="660" w:right="380" w:hanging="328"/>
        <w:spacing w:after="0" w:line="222" w:lineRule="auto"/>
        <w:tabs>
          <w:tab w:leader="none" w:pos="64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event of termination without cause, NEO would receive the termination without cause payment in equal installments over a six month period following termination of employment.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nonqualified deferred compensation in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obligation under pension benefit plans to the NEOs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6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Beginning on January 1, 2006, the Company began accounting for stock-based payments under its three incentive stock plans in accordance with the requirements of FASB ASC Topic 718.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24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Price</w:t>
            </w:r>
          </w:p>
        </w:tc>
        <w:tc>
          <w:tcPr>
            <w:tcW w:w="2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 Issuance Under</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 Outstanding Stock</w:t>
            </w:r>
          </w:p>
        </w:tc>
        <w:tc>
          <w:tcPr>
            <w:tcW w:w="244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of Outstanding Options,</w:t>
            </w:r>
          </w:p>
        </w:tc>
        <w:tc>
          <w:tcPr>
            <w:tcW w:w="2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 (excluding</w:t>
            </w: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Awards, Warrants and Rights</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reflected in column (a))</w:t>
            </w:r>
          </w:p>
        </w:tc>
        <w:tc>
          <w:tcPr>
            <w:tcW w:w="0" w:type="dxa"/>
            <w:vAlign w:val="bottom"/>
          </w:tcPr>
          <w:p>
            <w:pPr>
              <w:spacing w:after="0"/>
              <w:rPr>
                <w:sz w:val="1"/>
                <w:szCs w:val="1"/>
                <w:color w:val="auto"/>
              </w:rPr>
            </w:pPr>
          </w:p>
        </w:tc>
      </w:tr>
      <w:tr>
        <w:trPr>
          <w:trHeight w:val="214"/>
        </w:trPr>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w:t>
            </w:r>
          </w:p>
        </w:tc>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99"/>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Borders>
              <w:bottom w:val="single" w:sz="8" w:color="CCEEFF"/>
            </w:tcBorders>
          </w:tcPr>
          <w:p>
            <w:pPr>
              <w:spacing w:after="0"/>
              <w:rPr>
                <w:sz w:val="17"/>
                <w:szCs w:val="17"/>
                <w:color w:val="auto"/>
              </w:rPr>
            </w:pPr>
          </w:p>
        </w:tc>
        <w:tc>
          <w:tcPr>
            <w:tcW w:w="266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28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3200" w:type="dxa"/>
            <w:vAlign w:val="bottom"/>
            <w:gridSpan w:val="2"/>
            <w:vMerge w:val="restart"/>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660" w:type="dxa"/>
            <w:vAlign w:val="bottom"/>
            <w:shd w:val="clear" w:color="auto" w:fill="CCEEFF"/>
          </w:tcPr>
          <w:p>
            <w:pPr>
              <w:jc w:val="right"/>
              <w:ind w:right="61"/>
              <w:spacing w:after="0"/>
              <w:rPr>
                <w:sz w:val="20"/>
                <w:szCs w:val="20"/>
                <w:color w:val="auto"/>
              </w:rPr>
            </w:pPr>
            <w:r>
              <w:rPr>
                <w:rFonts w:ascii="Arial" w:cs="Arial" w:eastAsia="Arial" w:hAnsi="Arial"/>
                <w:sz w:val="9"/>
                <w:szCs w:val="9"/>
                <w:color w:val="auto"/>
              </w:rPr>
              <w:t>(1)</w:t>
            </w:r>
          </w:p>
        </w:tc>
        <w:tc>
          <w:tcPr>
            <w:tcW w:w="18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60" w:type="dxa"/>
            <w:vAlign w:val="bottom"/>
            <w:shd w:val="clear" w:color="auto" w:fill="CCEEFF"/>
          </w:tcPr>
          <w:p>
            <w:pPr>
              <w:jc w:val="right"/>
              <w:ind w:right="41"/>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53"/>
        </w:trPr>
        <w:tc>
          <w:tcPr>
            <w:tcW w:w="3200" w:type="dxa"/>
            <w:vAlign w:val="bottom"/>
            <w:gridSpan w:val="2"/>
            <w:vMerge w:val="continue"/>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w:t>
            </w:r>
          </w:p>
        </w:tc>
        <w:tc>
          <w:tcPr>
            <w:tcW w:w="284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275,779 shares</w:t>
            </w:r>
          </w:p>
        </w:tc>
        <w:tc>
          <w:tcPr>
            <w:tcW w:w="24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3"/>
              </w:rPr>
              <w:t>─</w:t>
            </w:r>
          </w:p>
        </w:tc>
        <w:tc>
          <w:tcPr>
            <w:tcW w:w="2760" w:type="dxa"/>
            <w:vAlign w:val="bottom"/>
            <w:shd w:val="clear" w:color="auto" w:fill="CCEEFF"/>
          </w:tcPr>
          <w:p>
            <w:pPr>
              <w:jc w:val="center"/>
              <w:ind w:right="261"/>
              <w:spacing w:after="0"/>
              <w:rPr>
                <w:sz w:val="20"/>
                <w:szCs w:val="20"/>
                <w:color w:val="auto"/>
              </w:rPr>
            </w:pPr>
            <w:r>
              <w:rPr>
                <w:rFonts w:ascii="Times New Roman" w:cs="Times New Roman" w:eastAsia="Times New Roman" w:hAnsi="Times New Roman"/>
                <w:sz w:val="18"/>
                <w:szCs w:val="18"/>
                <w:color w:val="auto"/>
              </w:rPr>
              <w:t>1,783,940 shares</w:t>
            </w:r>
          </w:p>
        </w:tc>
        <w:tc>
          <w:tcPr>
            <w:tcW w:w="0" w:type="dxa"/>
            <w:vAlign w:val="bottom"/>
          </w:tcPr>
          <w:p>
            <w:pPr>
              <w:spacing w:after="0"/>
              <w:rPr>
                <w:sz w:val="1"/>
                <w:szCs w:val="1"/>
                <w:color w:val="auto"/>
              </w:rPr>
            </w:pPr>
          </w:p>
        </w:tc>
      </w:tr>
      <w:tr>
        <w:trPr>
          <w:trHeight w:val="175"/>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w:t>
            </w:r>
          </w:p>
        </w:tc>
        <w:tc>
          <w:tcPr>
            <w:tcW w:w="2760" w:type="dxa"/>
            <w:vAlign w:val="bottom"/>
          </w:tcPr>
          <w:p>
            <w:pPr>
              <w:jc w:val="center"/>
              <w:ind w:right="2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3"/>
        </w:trPr>
        <w:tc>
          <w:tcPr>
            <w:tcW w:w="30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____________</w:t>
            </w: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0" w:hanging="432"/>
        <w:spacing w:after="0" w:line="234" w:lineRule="auto"/>
        <w:tabs>
          <w:tab w:leader="none" w:pos="332"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Represents 200,814 shares of Restricted Stock granted under the 2023 Stock Plan and 74,965 shares of Restricted Stock granted under the 2015 Stock Plan.</w:t>
      </w:r>
    </w:p>
    <w:p>
      <w:pPr>
        <w:spacing w:after="0" w:line="1" w:lineRule="exact"/>
        <w:rPr>
          <w:rFonts w:ascii="Times New Roman" w:cs="Times New Roman" w:eastAsia="Times New Roman" w:hAnsi="Times New Roman"/>
          <w:sz w:val="11"/>
          <w:szCs w:val="11"/>
          <w:color w:val="auto"/>
        </w:rPr>
      </w:pPr>
    </w:p>
    <w:p>
      <w:pPr>
        <w:ind w:left="420" w:hanging="412"/>
        <w:spacing w:after="0" w:line="212" w:lineRule="auto"/>
        <w:tabs>
          <w:tab w:leader="none" w:pos="379"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1,783,940 Common Shares available for issuance pursuant to the 2023 Stock Plan. No securities remain available for future issuance under the 2015 Stock Plan as the Nominating Committee terminated the 2015 Stock Plan on April 26,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BELIEVES THAT A VOTE FOR THE PROPOSAL TO ELECT EACH OF THE DIRECTORS OF THE COMPANY AS DESCRIBED ABOVE IS IN THE BEST INTEREST OF OUR SHAREHOLDERS AND RECOMMENDS A VOTE “FOR” EACH OF THE DIRECTORS INCLUDED IN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0" w:name="page41"/>
    <w:bookmarkEnd w:id="4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II — RATIFICATION OF INDEPENDENT AUDITORS</w:t>
      </w:r>
    </w:p>
    <w:p>
      <w:pPr>
        <w:spacing w:after="0" w:line="162"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and our independent directors, have reappointed RSM as our independent accountants to audit our consolidated financial statements for the fiscal year ending December 31, 2026, and the Audit Committee has asked that this selection be ratified by our shareholders.</w:t>
      </w:r>
    </w:p>
    <w:p>
      <w:pPr>
        <w:spacing w:after="0" w:line="95" w:lineRule="exact"/>
        <w:rPr>
          <w:sz w:val="20"/>
          <w:szCs w:val="20"/>
          <w:color w:val="auto"/>
        </w:rPr>
      </w:pPr>
    </w:p>
    <w:p>
      <w:pPr>
        <w:ind w:right="80" w:firstLine="432"/>
        <w:spacing w:after="0" w:line="272" w:lineRule="auto"/>
        <w:rPr>
          <w:sz w:val="20"/>
          <w:szCs w:val="20"/>
          <w:color w:val="auto"/>
        </w:rPr>
      </w:pPr>
      <w:r>
        <w:rPr>
          <w:rFonts w:ascii="Times New Roman" w:cs="Times New Roman" w:eastAsia="Times New Roman" w:hAnsi="Times New Roman"/>
          <w:sz w:val="17"/>
          <w:szCs w:val="17"/>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spacing w:after="0" w:line="2" w:lineRule="exact"/>
        <w:rPr>
          <w:sz w:val="20"/>
          <w:szCs w:val="20"/>
          <w:color w:val="auto"/>
        </w:rPr>
      </w:pPr>
    </w:p>
    <w:p>
      <w:pPr>
        <w:ind w:right="560" w:firstLine="8"/>
        <w:spacing w:after="0" w:line="260" w:lineRule="auto"/>
        <w:tabs>
          <w:tab w:leader="none" w:pos="3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1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The ratification of the selection of RSM as our independent accountants for the fiscal year ending December 31, 2026,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2026, but the Audit Committee is not bound by the outcome of the vote.</w:t>
      </w:r>
    </w:p>
    <w:p>
      <w:pPr>
        <w:spacing w:after="0" w:line="98" w:lineRule="exact"/>
        <w:rPr>
          <w:sz w:val="20"/>
          <w:szCs w:val="20"/>
          <w:color w:val="auto"/>
        </w:rPr>
      </w:pPr>
    </w:p>
    <w:p>
      <w:pPr>
        <w:ind w:right="16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BELIEVES THAT A VOTE FOR THE PROPOSAL TO RATIFY THE SELECTION OF THE INDEPENDENT AUDITORS AS DESCRIBED ABOVE IS IN THE BEST INTERESTS OF OUR SHAREHOLDERS AND RECOMMENDS A VOTE “FOR” SUCH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986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2025,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9"/>
        </w:trPr>
        <w:tc>
          <w:tcPr>
            <w:tcW w:w="9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9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9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2024,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Audit fees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30"/>
        </w:trPr>
        <w:tc>
          <w:tcPr>
            <w:tcW w:w="9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related fees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fees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All other fees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9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fees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24"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audit fees for the fiscal years ended December 31, 2025 and 2024 were for professional services rendered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of the Company’s annual financial statements, assistance with review of documents filed with the SEC, and other audit services required to be performed by our independent registered public accounting firm.</w:t>
      </w:r>
    </w:p>
    <w:p>
      <w:pPr>
        <w:spacing w:after="0" w:line="92" w:lineRule="exact"/>
        <w:rPr>
          <w:sz w:val="20"/>
          <w:szCs w:val="20"/>
          <w:color w:val="auto"/>
        </w:rPr>
      </w:pPr>
    </w:p>
    <w:p>
      <w:pPr>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All other fees billed to the Company by RSM during the fiscal years ended December 31, 2025 and 2024 for non-audit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assurance and related services for attestations not required by law.</w:t>
      </w:r>
    </w:p>
    <w:p>
      <w:pPr>
        <w:spacing w:after="0" w:line="91" w:lineRule="exact"/>
        <w:rPr>
          <w:sz w:val="20"/>
          <w:szCs w:val="20"/>
          <w:color w:val="auto"/>
        </w:rPr>
      </w:pPr>
    </w:p>
    <w:p>
      <w:pPr>
        <w:ind w:left="44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Tax Fees:</w:t>
      </w:r>
      <w:r>
        <w:rPr>
          <w:sz w:val="20"/>
          <w:szCs w:val="20"/>
          <w:color w:val="auto"/>
        </w:rPr>
        <w:tab/>
      </w:r>
      <w:r>
        <w:rPr>
          <w:rFonts w:ascii="Times New Roman" w:cs="Times New Roman" w:eastAsia="Times New Roman" w:hAnsi="Times New Roman"/>
          <w:sz w:val="17"/>
          <w:szCs w:val="17"/>
          <w:color w:val="auto"/>
        </w:rPr>
        <w:t>Tax fees were for professional services rendered in connection with tax compliance, tax advice, and tax planning.</w:t>
      </w:r>
    </w:p>
    <w:p>
      <w:pPr>
        <w:spacing w:after="0" w:line="158"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All Other Fees:</w:t>
      </w:r>
      <w:r>
        <w:rPr>
          <w:sz w:val="20"/>
          <w:szCs w:val="20"/>
          <w:color w:val="auto"/>
        </w:rPr>
        <w:tab/>
      </w:r>
      <w:r>
        <w:rPr>
          <w:rFonts w:ascii="Times New Roman" w:cs="Times New Roman" w:eastAsia="Times New Roman" w:hAnsi="Times New Roman"/>
          <w:sz w:val="17"/>
          <w:szCs w:val="17"/>
          <w:color w:val="auto"/>
        </w:rPr>
        <w:t>Non-audit related services billed by RSM were primarily related to consents and other SEC filings.</w:t>
      </w:r>
    </w:p>
    <w:p>
      <w:pPr>
        <w:spacing w:after="0" w:line="146"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the Audit Committee Charter, all of the foregoing audit and non-audit fees paid to, and the related services provided by, RSM were pre-approved by the Audit Committee after consulting with the Company’s Chief Accounting Officer.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During 2025, the Audit Committee convened 4 times to discuss with management and the independent auditors their respective accounting, auditing and financial reporting responsibilities with respect to the fiscal years 2025 and 2024. In addition, during 2025, the Audit Committee convened with management and the independent auditors to discuss the Company’s internal controls over financial reporting.</w:t>
      </w:r>
    </w:p>
    <w:p>
      <w:pPr>
        <w:spacing w:after="0" w:line="116"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December 31, 2025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Times New Roman" w:cs="Times New Roman" w:eastAsia="Times New Roman" w:hAnsi="Times New Roman"/>
          <w:sz w:val="18"/>
          <w:szCs w:val="18"/>
          <w:i w:val="1"/>
          <w:iCs w:val="1"/>
          <w:color w:val="auto"/>
        </w:rPr>
        <w:t>Communication with Audit Committees Concerning Independence</w:t>
      </w:r>
      <w:r>
        <w:rPr>
          <w:rFonts w:ascii="Times New Roman" w:cs="Times New Roman" w:eastAsia="Times New Roman" w:hAnsi="Times New Roman"/>
          <w:sz w:val="18"/>
          <w:szCs w:val="18"/>
          <w:color w:val="auto"/>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1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2025,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2025, for filing with the Securities and Exchange Commission.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Salute,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Fernando Perez-Hickman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Cestare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spacing w:after="0" w:line="95"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112"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At our 2025 Annual Meeting, we provided our shareholders with the opportunity to cast an advisory vote on say-on-pay with respect to the NEO compensation disclosed in our proxy statement. Approximately eighty-seven percent of the votes cast by our shareholders were in favor of our advisory vote on say-on-pay at the 2025 Annual Meeting.</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9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You are encouraged to read the detailed information under “Executive Compensation” of this Proxy Statement for additional details about our executive compensation programs.</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strongly endorses the Company’s executive compensation program and recommends that shareholders vote in favor of the following resolution:</w:t>
      </w:r>
    </w:p>
    <w:p>
      <w:pPr>
        <w:spacing w:after="0" w:line="94"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NewtekOne, Inc. hereby approve on an advisory basis, the compensation paid to the Company’s NEOs, as disclosed pursuant to Item 402 of Regulation S-K to the Company’s Proxy Statement for the 2026 Annual Meeting of Shareholders, including the Compensation Discussion and Analysis, executive compensation tables and narrative discussion.</w:t>
      </w:r>
    </w:p>
    <w:p>
      <w:pPr>
        <w:spacing w:after="0" w:line="91"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APPROVAL OF THE RESOLUTION RELATED TO THE COMPENSATION OF THE COMPANY’S NAMED EXECUTIVE OFFICERS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TO BE HELD ON June 12, 2026</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Proxy Statement and Annual Report for the year ended December 31, 2025, are available on the internet at </w:t>
      </w:r>
      <w:r>
        <w:rPr>
          <w:rFonts w:ascii="Times New Roman" w:cs="Times New Roman" w:eastAsia="Times New Roman" w:hAnsi="Times New Roman"/>
          <w:sz w:val="18"/>
          <w:szCs w:val="18"/>
          <w:i w:val="1"/>
          <w:iCs w:val="1"/>
          <w:color w:val="auto"/>
        </w:rPr>
        <w:t>http://www.proxyvote.com.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3" w:name="page44"/>
    <w:bookmarkEnd w:id="43"/>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ind w:right="1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Such information will also be furnished upon written request to NewtekOne, Inc., 4800 T Rex Avenue, Suite 120, Boca Raton, Florida 33431, Attention: Corporate Secretary, and can also be accessed through our website at </w:t>
      </w:r>
      <w:r>
        <w:rPr>
          <w:rFonts w:ascii="Times New Roman" w:cs="Times New Roman" w:eastAsia="Times New Roman" w:hAnsi="Times New Roman"/>
          <w:sz w:val="18"/>
          <w:szCs w:val="18"/>
          <w:i w:val="1"/>
          <w:iCs w:val="1"/>
          <w:color w:val="auto"/>
        </w:rPr>
        <w:t>www.newtekone.com</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NewtekOne, Inc., 4800 T Rex Avenue, Suite 120, Boca Raton, Florida 33431,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162" w:lineRule="exact"/>
        <w:rPr>
          <w:sz w:val="20"/>
          <w:szCs w:val="20"/>
          <w:color w:val="auto"/>
        </w:rPr>
      </w:pPr>
    </w:p>
    <w:p>
      <w:pPr>
        <w:jc w:val="both"/>
        <w:ind w:right="60" w:firstLine="432"/>
        <w:spacing w:after="0" w:line="312" w:lineRule="auto"/>
        <w:rPr>
          <w:sz w:val="20"/>
          <w:szCs w:val="20"/>
          <w:color w:val="auto"/>
        </w:rPr>
      </w:pPr>
      <w:r>
        <w:rPr>
          <w:rFonts w:ascii="Times New Roman" w:cs="Times New Roman" w:eastAsia="Times New Roman" w:hAnsi="Times New Roman"/>
          <w:sz w:val="17"/>
          <w:szCs w:val="17"/>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16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9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Shareholders may send written communications to the Board of Directors to the attention of the Board of Directors, c/o NewtekOne, Inc. 4800 T Rex Avenue, Suite 120, Boca Raton, Florida 33431.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ind w:right="40" w:firstLine="432"/>
        <w:spacing w:after="0" w:line="277" w:lineRule="auto"/>
        <w:rPr>
          <w:sz w:val="20"/>
          <w:szCs w:val="20"/>
          <w:color w:val="auto"/>
        </w:rPr>
      </w:pPr>
      <w:r>
        <w:rPr>
          <w:rFonts w:ascii="Times New Roman" w:cs="Times New Roman" w:eastAsia="Times New Roman" w:hAnsi="Times New Roman"/>
          <w:sz w:val="17"/>
          <w:szCs w:val="17"/>
          <w:color w:val="auto"/>
        </w:rPr>
        <w:t>The Company expects that the 2027 annual meeting of shareholders will be held on or about June 11, 2027, but the exact date, time, and location of such meeting may change. A shareholder who intends to present a proposal at the 2027 annual meeting of shareholders pursuant to the SEC’s Rule 14a-8 must submit the proposal in writing to the Corporate Secretary of the Company at 4800 T Rex Avenue, Suite 120, Boca Raton, Florida 33431. The Company must receive the proposal no later than December 25, 2026, in order for the proposal to be considered for inclusion in the Company’s proxy statement for that meeting. The submission of a proposal does not guarantee its inclusion in the Company’s proxy statement or presentation at the meeting.</w:t>
      </w:r>
    </w:p>
    <w:p>
      <w:pPr>
        <w:spacing w:after="0" w:line="10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Shareholder proposals or director nominations to be presented at the 2027 annual meeting of shareholders, other than shareholder proposals submitted pursuant to the SEC’s Rule 14a-8, must be submitted in accordance with the advance notice procedures and other requirements set forth in our bylaws. These requirements are separate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nor later than 5:00 p.m., Eastern Time, on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first anniversary of the date of this proxy statement. As a result, for the Company’s 2027 annual meeting of shareholders, a shareholder’s notice pursuant to these provisions of our bylaws must be received no earlier than November 25, 2026 and no later than 5:00 p.m., Eastern Time, on December 25, 2026; provided, however, that in the event that the date of the 2027 annual meeting of shareholders is advanced or delayed by more than 30 days from the first anniversary of this Annual Meeting, notice by the shareholder to be timely must be so delivered not earlier than the 150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2027 annual meeting of shareholders and not later than 5:00 p.m., Eastern Time, on the later of the 120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prior to the date of the 2027 annual meeting of shareholders, as originally convened, or the tenth day following the day on which public announcement of the date of the 2027 annual meeting of shareholders is first made. The public announcement of a postponement or adjournment of an annual meeting shall not commence a new time period for the giving of a shareholder’s notice.</w:t>
      </w:r>
    </w:p>
    <w:p>
      <w:pPr>
        <w:spacing w:after="0" w:line="10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Company’s Bylaws, to comply with the universal proxy rules, shareholders who intend to solicit proxies in support of director nominees other than the Company’s nominees for the 2027 annual meeting of shareholders must provide notice that sets forth the information required by Rule 14a-19 under the Exchange Act no later than April 15, 2027.</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489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S"/>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1"/>
    </w:lvl>
    <w:lvl w:ilvl="1">
      <w:lvlJc w:val="left"/>
      <w:lvlText w:val="(%2)"/>
      <w:numFmt w:val="lowerLetter"/>
      <w:start w:val="1"/>
    </w:lvl>
  </w:abstractNum>
  <w:abstractNum w:abstractNumId="26">
    <w:nsid w:val="614FD4A1"/>
    <w:multiLevelType w:val="hybridMultilevel"/>
    <w:lvl w:ilvl="0">
      <w:lvlJc w:val="left"/>
      <w:lvlText w:val="(%1)"/>
      <w:numFmt w:val="decimal"/>
      <w:start w:val="3"/>
    </w:lvl>
    <w:lvl w:ilvl="1">
      <w:lvlJc w:val="left"/>
      <w:lvlText w:val="%2"/>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Letter"/>
      <w:start w:val="1"/>
    </w:lvl>
  </w:abstractNum>
  <w:abstractNum w:abstractNumId="28">
    <w:nsid w:val="5577F8E1"/>
    <w:multiLevelType w:val="hybridMultilevel"/>
    <w:lvl w:ilvl="0">
      <w:lvlJc w:val="left"/>
      <w:lvlText w:val="(%1)"/>
      <w:numFmt w:val="decimal"/>
      <w:start w:val="4"/>
    </w:lvl>
    <w:lvl w:ilvl="1">
      <w:lvlJc w:val="left"/>
      <w:lvlText w:val="%2"/>
      <w:numFmt w:val="lowerLetter"/>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9"/>
    </w:lvl>
  </w:abstractNum>
  <w:abstractNum w:abstractNumId="34">
    <w:nsid w:val="5C482A97"/>
    <w:multiLevelType w:val="hybridMultilevel"/>
    <w:lvl w:ilvl="0">
      <w:lvlJc w:val="left"/>
      <w:lvlText w:val="(%1)"/>
      <w:numFmt w:val="decimal"/>
      <w:start w:val="10"/>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2026-04-24T13:15:42Z</dcterms:created>
  <dcterms:modified xsi:type="dcterms:W3CDTF">2026-04-24T13:15:42Z</dcterms:modified>
</cp:coreProperties>
</file>